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A03" w:rsidRDefault="00F65A03" w:rsidP="009B780E">
      <w:pPr>
        <w:jc w:val="center"/>
        <w:rPr>
          <w:rFonts w:asciiTheme="minorHAnsi" w:hAnsiTheme="minorHAnsi"/>
          <w:b/>
          <w:sz w:val="28"/>
          <w:szCs w:val="28"/>
        </w:rPr>
      </w:pPr>
    </w:p>
    <w:p w:rsidR="000A0147" w:rsidRPr="00515D12" w:rsidRDefault="000A0147" w:rsidP="009B780E">
      <w:pPr>
        <w:jc w:val="center"/>
        <w:rPr>
          <w:rFonts w:asciiTheme="minorHAnsi" w:hAnsiTheme="minorHAnsi"/>
          <w:b/>
          <w:sz w:val="28"/>
          <w:szCs w:val="28"/>
        </w:rPr>
      </w:pPr>
      <w:r w:rsidRPr="00515D12">
        <w:rPr>
          <w:rFonts w:asciiTheme="minorHAnsi" w:hAnsiTheme="minorHAnsi"/>
          <w:b/>
          <w:sz w:val="28"/>
          <w:szCs w:val="28"/>
        </w:rPr>
        <w:t>Smlouva</w:t>
      </w:r>
    </w:p>
    <w:p w:rsidR="000A0147" w:rsidRPr="00515D12" w:rsidRDefault="000A0147" w:rsidP="000A0147">
      <w:pPr>
        <w:jc w:val="center"/>
        <w:rPr>
          <w:rFonts w:asciiTheme="minorHAnsi" w:hAnsiTheme="minorHAnsi"/>
          <w:sz w:val="28"/>
          <w:szCs w:val="28"/>
        </w:rPr>
      </w:pPr>
      <w:r w:rsidRPr="00515D12">
        <w:rPr>
          <w:rFonts w:asciiTheme="minorHAnsi" w:hAnsiTheme="minorHAnsi"/>
          <w:b/>
          <w:sz w:val="28"/>
          <w:szCs w:val="28"/>
        </w:rPr>
        <w:t xml:space="preserve">o poskytnutí dotace č. </w:t>
      </w:r>
      <w:r w:rsidR="00156F3F">
        <w:rPr>
          <w:rFonts w:asciiTheme="minorHAnsi" w:hAnsiTheme="minorHAnsi"/>
          <w:b/>
          <w:sz w:val="28"/>
          <w:szCs w:val="28"/>
        </w:rPr>
        <w:t>D1734/</w:t>
      </w:r>
      <w:r w:rsidR="00F32FFE">
        <w:rPr>
          <w:rFonts w:asciiTheme="minorHAnsi" w:hAnsiTheme="minorHAnsi"/>
          <w:b/>
          <w:sz w:val="28"/>
          <w:szCs w:val="28"/>
        </w:rPr>
        <w:t>00013</w:t>
      </w:r>
      <w:r w:rsidR="00B7536D">
        <w:rPr>
          <w:rFonts w:asciiTheme="minorHAnsi" w:hAnsiTheme="minorHAnsi"/>
          <w:b/>
          <w:sz w:val="28"/>
          <w:szCs w:val="28"/>
        </w:rPr>
        <w:t>/1</w:t>
      </w:r>
      <w:r w:rsidR="00DC7B59">
        <w:rPr>
          <w:rFonts w:asciiTheme="minorHAnsi" w:hAnsiTheme="minorHAnsi"/>
          <w:b/>
          <w:sz w:val="28"/>
          <w:szCs w:val="28"/>
        </w:rPr>
        <w:t>9</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0A0147" w:rsidRPr="00634164" w:rsidRDefault="000A0147" w:rsidP="007A01F4">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rsidR="000A0147" w:rsidRPr="00515D12" w:rsidRDefault="000A0147" w:rsidP="00EE1818">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sidR="00EE1818">
        <w:rPr>
          <w:rFonts w:asciiTheme="minorHAnsi" w:hAnsiTheme="minorHAnsi"/>
          <w:sz w:val="22"/>
          <w:szCs w:val="22"/>
        </w:rPr>
        <w:t xml:space="preserve"> </w:t>
      </w:r>
      <w:r w:rsidR="007A01F4">
        <w:rPr>
          <w:rFonts w:asciiTheme="minorHAnsi" w:hAnsiTheme="minorHAnsi"/>
          <w:sz w:val="22"/>
          <w:szCs w:val="22"/>
        </w:rPr>
        <w:t xml:space="preserve">Mgr. Ivanou </w:t>
      </w:r>
      <w:proofErr w:type="spellStart"/>
      <w:r w:rsidR="007A01F4">
        <w:rPr>
          <w:rFonts w:asciiTheme="minorHAnsi" w:hAnsiTheme="minorHAnsi"/>
          <w:sz w:val="22"/>
          <w:szCs w:val="22"/>
        </w:rPr>
        <w:t>Liedermanovou</w:t>
      </w:r>
      <w:proofErr w:type="spellEnd"/>
      <w:r w:rsidR="00696A0E">
        <w:rPr>
          <w:rFonts w:asciiTheme="minorHAnsi" w:hAnsiTheme="minorHAnsi"/>
          <w:sz w:val="22"/>
          <w:szCs w:val="22"/>
        </w:rPr>
        <w:t xml:space="preserve">, </w:t>
      </w:r>
      <w:r w:rsidR="007A01F4">
        <w:rPr>
          <w:rFonts w:asciiTheme="minorHAnsi" w:hAnsiTheme="minorHAnsi"/>
          <w:sz w:val="22"/>
          <w:szCs w:val="22"/>
        </w:rPr>
        <w:t xml:space="preserve">vedoucí odboru školství, kultury a sportu </w:t>
      </w:r>
      <w:r w:rsidR="00EE1818">
        <w:rPr>
          <w:rFonts w:asciiTheme="minorHAnsi" w:hAnsiTheme="minorHAnsi"/>
          <w:sz w:val="22"/>
          <w:szCs w:val="22"/>
        </w:rPr>
        <w:t>Magistrátu  města Pardubic</w:t>
      </w:r>
    </w:p>
    <w:p w:rsidR="000A0147" w:rsidRPr="00BE0522" w:rsidRDefault="000A0147" w:rsidP="004C62E8">
      <w:pPr>
        <w:tabs>
          <w:tab w:val="left" w:pos="426"/>
          <w:tab w:val="left" w:pos="3660"/>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r w:rsidR="004C62E8">
        <w:rPr>
          <w:rFonts w:asciiTheme="minorHAnsi" w:hAnsiTheme="minorHAnsi"/>
          <w:i/>
          <w:sz w:val="22"/>
          <w:szCs w:val="22"/>
        </w:rPr>
        <w:tab/>
      </w:r>
    </w:p>
    <w:p w:rsidR="000A0147" w:rsidRPr="00515D12" w:rsidRDefault="000A0147" w:rsidP="007A01F4">
      <w:pPr>
        <w:tabs>
          <w:tab w:val="left" w:pos="426"/>
        </w:tabs>
        <w:ind w:left="426" w:hanging="426"/>
        <w:jc w:val="both"/>
        <w:rPr>
          <w:rFonts w:asciiTheme="minorHAnsi" w:hAnsiTheme="minorHAnsi"/>
          <w:sz w:val="22"/>
          <w:szCs w:val="22"/>
        </w:rPr>
      </w:pPr>
    </w:p>
    <w:p w:rsidR="000A0147" w:rsidRPr="00634164" w:rsidRDefault="000A0147" w:rsidP="007A01F4">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2B33E0" w:rsidRPr="002B33E0" w:rsidRDefault="002B33E0" w:rsidP="002B33E0">
      <w:pPr>
        <w:tabs>
          <w:tab w:val="left" w:pos="426"/>
        </w:tabs>
        <w:ind w:left="426" w:hanging="426"/>
        <w:jc w:val="both"/>
        <w:rPr>
          <w:rFonts w:asciiTheme="minorHAnsi" w:hAnsiTheme="minorHAnsi"/>
          <w:sz w:val="22"/>
          <w:szCs w:val="22"/>
        </w:rPr>
      </w:pPr>
      <w:r>
        <w:rPr>
          <w:rFonts w:asciiTheme="minorHAnsi" w:hAnsiTheme="minorHAnsi"/>
          <w:sz w:val="22"/>
          <w:szCs w:val="22"/>
        </w:rPr>
        <w:tab/>
      </w:r>
      <w:r w:rsidRPr="002B33E0">
        <w:rPr>
          <w:rFonts w:asciiTheme="minorHAnsi" w:hAnsiTheme="minorHAnsi"/>
          <w:sz w:val="22"/>
          <w:szCs w:val="22"/>
        </w:rPr>
        <w:t xml:space="preserve">Basketbalový klub Pardubice z. </w:t>
      </w:r>
      <w:proofErr w:type="gramStart"/>
      <w:r w:rsidRPr="002B33E0">
        <w:rPr>
          <w:rFonts w:asciiTheme="minorHAnsi" w:hAnsiTheme="minorHAnsi"/>
          <w:sz w:val="22"/>
          <w:szCs w:val="22"/>
        </w:rPr>
        <w:t>s.</w:t>
      </w:r>
      <w:proofErr w:type="gramEnd"/>
      <w:r w:rsidRPr="002B33E0">
        <w:rPr>
          <w:rFonts w:asciiTheme="minorHAnsi" w:hAnsiTheme="minorHAnsi"/>
          <w:sz w:val="22"/>
          <w:szCs w:val="22"/>
        </w:rPr>
        <w:t xml:space="preserve">, </w:t>
      </w:r>
    </w:p>
    <w:p w:rsidR="002B33E0" w:rsidRPr="002B33E0" w:rsidRDefault="002B33E0" w:rsidP="002B33E0">
      <w:pPr>
        <w:tabs>
          <w:tab w:val="left" w:pos="426"/>
        </w:tabs>
        <w:ind w:left="426" w:hanging="426"/>
        <w:jc w:val="both"/>
        <w:rPr>
          <w:rFonts w:asciiTheme="minorHAnsi" w:hAnsiTheme="minorHAnsi"/>
          <w:sz w:val="22"/>
          <w:szCs w:val="22"/>
        </w:rPr>
      </w:pPr>
      <w:r w:rsidRPr="002B33E0">
        <w:rPr>
          <w:rFonts w:asciiTheme="minorHAnsi" w:hAnsiTheme="minorHAnsi"/>
          <w:sz w:val="22"/>
          <w:szCs w:val="22"/>
        </w:rPr>
        <w:tab/>
        <w:t>sídlo: V Ráji 311, 530 02 Pardubice,</w:t>
      </w:r>
    </w:p>
    <w:p w:rsidR="002B33E0" w:rsidRPr="002B33E0" w:rsidRDefault="002B33E0" w:rsidP="002B33E0">
      <w:pPr>
        <w:tabs>
          <w:tab w:val="left" w:pos="426"/>
        </w:tabs>
        <w:ind w:left="426" w:hanging="426"/>
        <w:jc w:val="both"/>
        <w:rPr>
          <w:rFonts w:asciiTheme="minorHAnsi" w:hAnsiTheme="minorHAnsi"/>
          <w:sz w:val="22"/>
          <w:szCs w:val="22"/>
        </w:rPr>
      </w:pPr>
      <w:r w:rsidRPr="002B33E0">
        <w:rPr>
          <w:rFonts w:asciiTheme="minorHAnsi" w:hAnsiTheme="minorHAnsi"/>
          <w:sz w:val="22"/>
          <w:szCs w:val="22"/>
        </w:rPr>
        <w:tab/>
        <w:t>IČ 67441629,</w:t>
      </w:r>
      <w:r w:rsidRPr="002B33E0">
        <w:rPr>
          <w:rFonts w:asciiTheme="minorHAnsi" w:hAnsiTheme="minorHAnsi"/>
          <w:sz w:val="22"/>
          <w:szCs w:val="22"/>
        </w:rPr>
        <w:tab/>
      </w:r>
    </w:p>
    <w:p w:rsidR="002B33E0" w:rsidRPr="002B33E0" w:rsidRDefault="002B33E0" w:rsidP="002B33E0">
      <w:pPr>
        <w:tabs>
          <w:tab w:val="left" w:pos="426"/>
        </w:tabs>
        <w:ind w:left="426" w:hanging="426"/>
        <w:jc w:val="both"/>
        <w:rPr>
          <w:rFonts w:asciiTheme="minorHAnsi" w:hAnsiTheme="minorHAnsi"/>
          <w:sz w:val="22"/>
          <w:szCs w:val="22"/>
        </w:rPr>
      </w:pPr>
      <w:r w:rsidRPr="002B33E0">
        <w:rPr>
          <w:rFonts w:asciiTheme="minorHAnsi" w:hAnsiTheme="minorHAnsi"/>
          <w:sz w:val="22"/>
          <w:szCs w:val="22"/>
        </w:rPr>
        <w:tab/>
        <w:t>číslo bankovního účtu: 1036028886/5500,</w:t>
      </w:r>
    </w:p>
    <w:p w:rsidR="002B33E0" w:rsidRPr="002B33E0" w:rsidRDefault="002B33E0" w:rsidP="002B33E0">
      <w:pPr>
        <w:tabs>
          <w:tab w:val="left" w:pos="426"/>
        </w:tabs>
        <w:ind w:left="426" w:hanging="426"/>
        <w:jc w:val="both"/>
        <w:rPr>
          <w:rFonts w:asciiTheme="minorHAnsi" w:hAnsiTheme="minorHAnsi"/>
          <w:sz w:val="22"/>
          <w:szCs w:val="22"/>
        </w:rPr>
      </w:pPr>
      <w:r w:rsidRPr="002B33E0">
        <w:rPr>
          <w:rFonts w:asciiTheme="minorHAnsi" w:hAnsiTheme="minorHAnsi"/>
          <w:sz w:val="22"/>
          <w:szCs w:val="22"/>
        </w:rPr>
        <w:tab/>
        <w:t>zastoupený: Ing. Tomášem Netolickým, předsedou výboru</w:t>
      </w:r>
    </w:p>
    <w:p w:rsidR="00EB5E74" w:rsidRPr="00BE0522" w:rsidRDefault="002B33E0" w:rsidP="002B33E0">
      <w:pPr>
        <w:tabs>
          <w:tab w:val="left" w:pos="426"/>
        </w:tabs>
        <w:ind w:left="426" w:hanging="426"/>
        <w:jc w:val="both"/>
        <w:rPr>
          <w:rFonts w:asciiTheme="minorHAnsi" w:hAnsiTheme="minorHAnsi"/>
          <w:i/>
          <w:sz w:val="22"/>
          <w:szCs w:val="22"/>
        </w:rPr>
      </w:pPr>
      <w:r w:rsidRPr="002B33E0">
        <w:rPr>
          <w:rFonts w:asciiTheme="minorHAnsi" w:hAnsiTheme="minorHAnsi"/>
          <w:sz w:val="22"/>
          <w:szCs w:val="22"/>
        </w:rPr>
        <w:tab/>
        <w:t>(dále jen „příjemce“)</w:t>
      </w:r>
    </w:p>
    <w:p w:rsidR="000A0147" w:rsidRPr="00515D12" w:rsidRDefault="000A0147" w:rsidP="000A0147">
      <w:pPr>
        <w:tabs>
          <w:tab w:val="left" w:pos="360"/>
        </w:tabs>
        <w:jc w:val="center"/>
        <w:rPr>
          <w:rFonts w:asciiTheme="minorHAnsi" w:hAnsiTheme="minorHAnsi"/>
          <w:sz w:val="22"/>
          <w:szCs w:val="22"/>
        </w:rPr>
      </w:pPr>
    </w:p>
    <w:p w:rsidR="00DC7B59" w:rsidRPr="00515D12" w:rsidRDefault="00DC7B59" w:rsidP="00DC7B59">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rsidR="000A0147" w:rsidRDefault="000A0147" w:rsidP="000A0147">
      <w:pPr>
        <w:tabs>
          <w:tab w:val="left" w:pos="360"/>
        </w:tabs>
        <w:jc w:val="center"/>
        <w:rPr>
          <w:rFonts w:asciiTheme="minorHAnsi" w:hAnsiTheme="minorHAnsi"/>
          <w:sz w:val="22"/>
          <w:szCs w:val="22"/>
        </w:rPr>
      </w:pPr>
    </w:p>
    <w:p w:rsidR="00DC7B59" w:rsidRPr="00DC7B59" w:rsidRDefault="00DC7B59" w:rsidP="00DC7B59">
      <w:pPr>
        <w:numPr>
          <w:ilvl w:val="0"/>
          <w:numId w:val="2"/>
        </w:numPr>
        <w:tabs>
          <w:tab w:val="clear" w:pos="720"/>
          <w:tab w:val="num" w:pos="426"/>
        </w:tabs>
        <w:ind w:left="426" w:hanging="426"/>
        <w:jc w:val="both"/>
        <w:rPr>
          <w:rFonts w:asciiTheme="minorHAnsi" w:hAnsiTheme="minorHAnsi"/>
          <w:sz w:val="22"/>
          <w:szCs w:val="22"/>
        </w:rPr>
      </w:pPr>
      <w:r w:rsidRPr="00DC7B59">
        <w:rPr>
          <w:rFonts w:asciiTheme="minorHAnsi" w:hAnsiTheme="minorHAnsi"/>
          <w:sz w:val="22"/>
          <w:szCs w:val="22"/>
        </w:rPr>
        <w:t>Dotace je ve smyslu zákona č. 320/2001 Sb., o finanční kontr</w:t>
      </w:r>
      <w:r>
        <w:rPr>
          <w:rFonts w:asciiTheme="minorHAnsi" w:hAnsiTheme="minorHAnsi"/>
          <w:sz w:val="22"/>
          <w:szCs w:val="22"/>
        </w:rPr>
        <w:t xml:space="preserve">ole ve veřejné správě a o změně </w:t>
      </w:r>
      <w:r w:rsidRPr="00DC7B59">
        <w:rPr>
          <w:rFonts w:asciiTheme="minorHAnsi" w:hAnsiTheme="minorHAnsi"/>
          <w:sz w:val="22"/>
          <w:szCs w:val="22"/>
        </w:rPr>
        <w:t xml:space="preserve">některých zákonů, ve znění pozdějších předpisů (dále jen „zákon o finanční kontrole“), veřejnou finanční podporou a vztahují se na ni ustanovení tohoto zákona. </w:t>
      </w:r>
    </w:p>
    <w:p w:rsidR="00DC7B59" w:rsidRPr="00DC7B59" w:rsidRDefault="00DC7B59" w:rsidP="00DC7B59">
      <w:pPr>
        <w:jc w:val="both"/>
        <w:rPr>
          <w:rFonts w:asciiTheme="minorHAnsi" w:hAnsiTheme="minorHAnsi"/>
          <w:sz w:val="22"/>
          <w:szCs w:val="22"/>
        </w:rPr>
      </w:pPr>
    </w:p>
    <w:p w:rsidR="00DC7B59" w:rsidRPr="00DC7B59" w:rsidRDefault="00DC7B59" w:rsidP="00DC7B59">
      <w:pPr>
        <w:numPr>
          <w:ilvl w:val="0"/>
          <w:numId w:val="2"/>
        </w:numPr>
        <w:tabs>
          <w:tab w:val="clear" w:pos="720"/>
          <w:tab w:val="num" w:pos="426"/>
        </w:tabs>
        <w:ind w:left="426" w:hanging="426"/>
        <w:jc w:val="both"/>
        <w:rPr>
          <w:rFonts w:asciiTheme="minorHAnsi" w:hAnsiTheme="minorHAnsi"/>
          <w:sz w:val="22"/>
          <w:szCs w:val="22"/>
        </w:rPr>
      </w:pPr>
      <w:r w:rsidRPr="00DC7B59">
        <w:rPr>
          <w:rFonts w:asciiTheme="minorHAnsi" w:hAnsiTheme="minorHAns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DC7B59" w:rsidRPr="00DC7B59" w:rsidRDefault="00DC7B59" w:rsidP="00DC7B59">
      <w:pPr>
        <w:jc w:val="both"/>
        <w:rPr>
          <w:rFonts w:asciiTheme="minorHAnsi" w:hAnsiTheme="minorHAnsi"/>
          <w:sz w:val="22"/>
          <w:szCs w:val="22"/>
        </w:rPr>
      </w:pPr>
    </w:p>
    <w:p w:rsidR="00DC7B59" w:rsidRPr="00DC7B59" w:rsidRDefault="00DC7B59" w:rsidP="00DC7B59">
      <w:pPr>
        <w:numPr>
          <w:ilvl w:val="0"/>
          <w:numId w:val="2"/>
        </w:numPr>
        <w:tabs>
          <w:tab w:val="clear" w:pos="720"/>
          <w:tab w:val="num" w:pos="426"/>
        </w:tabs>
        <w:ind w:left="426" w:hanging="426"/>
        <w:jc w:val="both"/>
        <w:rPr>
          <w:rFonts w:asciiTheme="minorHAnsi" w:hAnsiTheme="minorHAnsi"/>
          <w:sz w:val="22"/>
          <w:szCs w:val="22"/>
        </w:rPr>
      </w:pPr>
      <w:r w:rsidRPr="00DC7B59">
        <w:rPr>
          <w:rFonts w:asciiTheme="minorHAnsi" w:hAnsiTheme="minorHAnsi"/>
          <w:sz w:val="22"/>
          <w:szCs w:val="22"/>
        </w:rPr>
        <w:t>Smluvní strany prohlašují, že pro právní vztah založený touto smlouvou jsou stejně jako ustanovení této smlouvy závazná rovněž Pravidla pro poskytování dotací z Programu podpory sportu pro rok 2019 schválená Zastupitelstvem města Pardubic na schůzi dne 20. 12. 2018 usnesením č. Z/152/2018 (dále jen „Pravidla“) a Zásady pro poskytování dotací z rozpočtu statutárního města Pardubice přijaté Zastupitelstvem města Pardubic dne 20. 12. 2018 usnesením č. Z/147/2018 (Směrnice č. 14/2018 – dále jen „Zásady“). Pravidla a Zásady jsou zveřejněny na webových stránkách statutárního města Pardubice (</w:t>
      </w:r>
      <w:hyperlink r:id="rId8" w:history="1">
        <w:r w:rsidRPr="00DC7B59">
          <w:rPr>
            <w:rFonts w:asciiTheme="minorHAnsi" w:hAnsiTheme="minorHAnsi"/>
            <w:color w:val="0000FF" w:themeColor="hyperlink"/>
            <w:sz w:val="22"/>
            <w:szCs w:val="22"/>
            <w:u w:val="single"/>
          </w:rPr>
          <w:t>www.pardubice.eu</w:t>
        </w:r>
      </w:hyperlink>
      <w:r w:rsidRPr="00DC7B59">
        <w:rPr>
          <w:rFonts w:asciiTheme="minorHAnsi" w:hAnsiTheme="minorHAnsi"/>
          <w:sz w:val="22"/>
          <w:szCs w:val="22"/>
        </w:rPr>
        <w:t>) a příjemce dotace podpisem této smlouvy stvrzuje, že se s jejich obsahem řádně seznámil.</w:t>
      </w:r>
    </w:p>
    <w:p w:rsidR="00DC7B59" w:rsidRPr="00DC7B59" w:rsidRDefault="00DC7B59" w:rsidP="00DC7B59">
      <w:pPr>
        <w:tabs>
          <w:tab w:val="left" w:pos="360"/>
        </w:tabs>
        <w:jc w:val="center"/>
        <w:rPr>
          <w:rFonts w:asciiTheme="minorHAnsi" w:hAnsiTheme="minorHAnsi"/>
          <w:sz w:val="22"/>
          <w:szCs w:val="22"/>
        </w:rPr>
      </w:pPr>
    </w:p>
    <w:p w:rsidR="00DC7B59" w:rsidRPr="00DC7B59" w:rsidRDefault="00DC7B59" w:rsidP="00DC7B59">
      <w:pPr>
        <w:jc w:val="center"/>
        <w:rPr>
          <w:rFonts w:asciiTheme="minorHAnsi" w:hAnsiTheme="minorHAnsi"/>
          <w:b/>
        </w:rPr>
      </w:pPr>
    </w:p>
    <w:p w:rsidR="00DC7B59" w:rsidRPr="00DC7B59" w:rsidRDefault="00DC7B59" w:rsidP="00DC7B59">
      <w:pPr>
        <w:jc w:val="center"/>
        <w:rPr>
          <w:rFonts w:asciiTheme="minorHAnsi" w:hAnsiTheme="minorHAnsi"/>
          <w:b/>
        </w:rPr>
      </w:pPr>
      <w:r w:rsidRPr="00DC7B59">
        <w:rPr>
          <w:rFonts w:asciiTheme="minorHAnsi" w:hAnsiTheme="minorHAnsi"/>
          <w:b/>
        </w:rPr>
        <w:t>III. Předmět smlouvy</w:t>
      </w:r>
    </w:p>
    <w:p w:rsidR="00DC7B59" w:rsidRPr="00DC7B59" w:rsidRDefault="00DC7B59" w:rsidP="00DC7B59">
      <w:pPr>
        <w:jc w:val="center"/>
        <w:rPr>
          <w:rFonts w:asciiTheme="minorHAnsi" w:hAnsiTheme="minorHAnsi"/>
          <w:b/>
        </w:rPr>
      </w:pPr>
    </w:p>
    <w:p w:rsidR="00DC7B59" w:rsidRPr="00DC7B59" w:rsidRDefault="00DC7B59" w:rsidP="00DC7B59">
      <w:pPr>
        <w:jc w:val="both"/>
        <w:rPr>
          <w:rFonts w:asciiTheme="minorHAnsi" w:hAnsiTheme="minorHAnsi"/>
          <w:sz w:val="22"/>
          <w:szCs w:val="22"/>
        </w:rPr>
      </w:pPr>
      <w:r w:rsidRPr="00DC7B59">
        <w:rPr>
          <w:rFonts w:asciiTheme="minorHAnsi" w:hAnsiTheme="minorHAns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DC7B59" w:rsidRPr="00DC7B59" w:rsidRDefault="00DC7B59" w:rsidP="00DC7B59">
      <w:pPr>
        <w:spacing w:after="200" w:line="276" w:lineRule="auto"/>
        <w:jc w:val="center"/>
        <w:rPr>
          <w:rFonts w:asciiTheme="minorHAnsi" w:hAnsiTheme="minorHAnsi"/>
          <w:b/>
        </w:rPr>
      </w:pPr>
      <w:r w:rsidRPr="00DC7B59">
        <w:rPr>
          <w:rFonts w:asciiTheme="minorHAnsi" w:hAnsiTheme="minorHAnsi"/>
          <w:sz w:val="22"/>
          <w:szCs w:val="22"/>
        </w:rPr>
        <w:br w:type="page"/>
      </w:r>
      <w:r w:rsidRPr="00DC7B59">
        <w:rPr>
          <w:rFonts w:asciiTheme="minorHAnsi" w:hAnsiTheme="minorHAnsi"/>
          <w:b/>
        </w:rPr>
        <w:lastRenderedPageBreak/>
        <w:t>IV. Výše, účel a způsob poskytnutí dotace</w:t>
      </w:r>
    </w:p>
    <w:p w:rsidR="00DC7B59" w:rsidRPr="00DC7B59" w:rsidRDefault="00DC7B59" w:rsidP="00DC7B59">
      <w:pPr>
        <w:jc w:val="both"/>
        <w:rPr>
          <w:rFonts w:asciiTheme="minorHAnsi" w:hAnsiTheme="minorHAnsi"/>
          <w:sz w:val="22"/>
          <w:szCs w:val="22"/>
        </w:rPr>
      </w:pPr>
    </w:p>
    <w:p w:rsidR="00DC7B59" w:rsidRPr="00DC7B59" w:rsidRDefault="00DC7B59" w:rsidP="00DC7B59">
      <w:pPr>
        <w:numPr>
          <w:ilvl w:val="0"/>
          <w:numId w:val="5"/>
        </w:numPr>
        <w:ind w:left="284" w:hanging="284"/>
        <w:jc w:val="both"/>
        <w:rPr>
          <w:rFonts w:asciiTheme="minorHAnsi" w:hAnsiTheme="minorHAnsi"/>
          <w:sz w:val="22"/>
          <w:szCs w:val="22"/>
        </w:rPr>
      </w:pPr>
      <w:r w:rsidRPr="00DC7B59">
        <w:rPr>
          <w:rFonts w:asciiTheme="minorHAnsi" w:hAnsiTheme="minorHAnsi"/>
          <w:sz w:val="22"/>
          <w:szCs w:val="22"/>
        </w:rPr>
        <w:t>Poskytovatel touto smlouvou poskytuje příjemci dotaci z Programu podpory sportu pro rok 2019 ve výši</w:t>
      </w:r>
      <w:r w:rsidRPr="00DC7B59">
        <w:rPr>
          <w:rFonts w:asciiTheme="minorHAnsi" w:hAnsiTheme="minorHAnsi"/>
          <w:b/>
          <w:sz w:val="22"/>
          <w:szCs w:val="22"/>
        </w:rPr>
        <w:t xml:space="preserve"> </w:t>
      </w:r>
      <w:r w:rsidR="002B33E0">
        <w:rPr>
          <w:rFonts w:asciiTheme="minorHAnsi" w:hAnsiTheme="minorHAnsi"/>
          <w:b/>
          <w:sz w:val="22"/>
          <w:szCs w:val="22"/>
        </w:rPr>
        <w:t>2</w:t>
      </w:r>
      <w:r w:rsidRPr="00DC7B59">
        <w:rPr>
          <w:rFonts w:asciiTheme="minorHAnsi" w:hAnsiTheme="minorHAnsi"/>
          <w:b/>
          <w:sz w:val="22"/>
          <w:szCs w:val="22"/>
        </w:rPr>
        <w:t xml:space="preserve"> </w:t>
      </w:r>
      <w:r w:rsidR="002B33E0">
        <w:rPr>
          <w:rFonts w:asciiTheme="minorHAnsi" w:hAnsiTheme="minorHAnsi"/>
          <w:b/>
          <w:sz w:val="22"/>
          <w:szCs w:val="22"/>
        </w:rPr>
        <w:t>85</w:t>
      </w:r>
      <w:r w:rsidRPr="00DC7B59">
        <w:rPr>
          <w:rFonts w:asciiTheme="minorHAnsi" w:hAnsiTheme="minorHAnsi"/>
          <w:b/>
          <w:sz w:val="22"/>
          <w:szCs w:val="22"/>
        </w:rPr>
        <w:t xml:space="preserve">0 000,- Kč </w:t>
      </w:r>
      <w:r w:rsidRPr="00DC7B59">
        <w:rPr>
          <w:rFonts w:asciiTheme="minorHAnsi" w:hAnsiTheme="minorHAnsi"/>
          <w:sz w:val="22"/>
          <w:szCs w:val="22"/>
        </w:rPr>
        <w:t xml:space="preserve">(slovy: </w:t>
      </w:r>
      <w:proofErr w:type="spellStart"/>
      <w:r w:rsidR="002B33E0">
        <w:rPr>
          <w:rFonts w:asciiTheme="minorHAnsi" w:hAnsiTheme="minorHAnsi"/>
          <w:sz w:val="22"/>
          <w:szCs w:val="22"/>
        </w:rPr>
        <w:t>dva</w:t>
      </w:r>
      <w:r w:rsidRPr="00DC7B59">
        <w:rPr>
          <w:rFonts w:asciiTheme="minorHAnsi" w:hAnsiTheme="minorHAnsi"/>
          <w:sz w:val="22"/>
          <w:szCs w:val="22"/>
        </w:rPr>
        <w:t>milion</w:t>
      </w:r>
      <w:r w:rsidR="002B33E0">
        <w:rPr>
          <w:rFonts w:asciiTheme="minorHAnsi" w:hAnsiTheme="minorHAnsi"/>
          <w:sz w:val="22"/>
          <w:szCs w:val="22"/>
        </w:rPr>
        <w:t>yosmsetpadesát</w:t>
      </w:r>
      <w:r>
        <w:rPr>
          <w:rFonts w:asciiTheme="minorHAnsi" w:hAnsiTheme="minorHAnsi"/>
          <w:sz w:val="22"/>
          <w:szCs w:val="22"/>
        </w:rPr>
        <w:t>tisíc</w:t>
      </w:r>
      <w:r w:rsidRPr="00DC7B59">
        <w:rPr>
          <w:rFonts w:asciiTheme="minorHAnsi" w:hAnsiTheme="minorHAnsi"/>
          <w:sz w:val="22"/>
          <w:szCs w:val="22"/>
        </w:rPr>
        <w:t>korunčeských</w:t>
      </w:r>
      <w:proofErr w:type="spellEnd"/>
      <w:r w:rsidRPr="00DC7B59">
        <w:rPr>
          <w:rFonts w:asciiTheme="minorHAnsi" w:hAnsiTheme="minorHAnsi"/>
          <w:sz w:val="22"/>
          <w:szCs w:val="22"/>
        </w:rPr>
        <w:t>) na realizaci projektu „</w:t>
      </w:r>
      <w:r w:rsidR="002B33E0">
        <w:rPr>
          <w:rFonts w:asciiTheme="minorHAnsi" w:hAnsiTheme="minorHAnsi"/>
          <w:sz w:val="22"/>
          <w:szCs w:val="22"/>
        </w:rPr>
        <w:t>Č</w:t>
      </w:r>
      <w:r w:rsidR="002B33E0" w:rsidRPr="002B33E0">
        <w:rPr>
          <w:rFonts w:asciiTheme="minorHAnsi" w:hAnsiTheme="minorHAnsi"/>
          <w:sz w:val="22"/>
          <w:szCs w:val="22"/>
        </w:rPr>
        <w:t xml:space="preserve">innost Basketbalového klubu </w:t>
      </w:r>
      <w:proofErr w:type="gramStart"/>
      <w:r w:rsidR="002B33E0" w:rsidRPr="002B33E0">
        <w:rPr>
          <w:rFonts w:asciiTheme="minorHAnsi" w:hAnsiTheme="minorHAnsi"/>
          <w:sz w:val="22"/>
          <w:szCs w:val="22"/>
        </w:rPr>
        <w:t>Pardubice z.s.</w:t>
      </w:r>
      <w:proofErr w:type="gramEnd"/>
      <w:r w:rsidRPr="00DC7B59">
        <w:rPr>
          <w:rFonts w:asciiTheme="minorHAnsi" w:hAnsiTheme="minorHAnsi"/>
          <w:sz w:val="22"/>
          <w:szCs w:val="22"/>
        </w:rPr>
        <w:t xml:space="preserve">“ (dále jen </w:t>
      </w:r>
      <w:r w:rsidRPr="00DC7B59">
        <w:rPr>
          <w:rFonts w:asciiTheme="minorHAnsi" w:hAnsiTheme="minorHAnsi"/>
          <w:i/>
          <w:sz w:val="22"/>
          <w:szCs w:val="22"/>
        </w:rPr>
        <w:t>„projekt“</w:t>
      </w:r>
      <w:r w:rsidRPr="00DC7B59">
        <w:rPr>
          <w:rFonts w:asciiTheme="minorHAnsi" w:hAnsiTheme="minorHAnsi"/>
          <w:sz w:val="22"/>
          <w:szCs w:val="22"/>
        </w:rPr>
        <w:t>).</w:t>
      </w:r>
    </w:p>
    <w:p w:rsidR="00DC7B59" w:rsidRPr="00DC7B59" w:rsidRDefault="00DC7B59" w:rsidP="00DC7B59">
      <w:pPr>
        <w:ind w:left="284" w:hanging="284"/>
        <w:jc w:val="both"/>
        <w:rPr>
          <w:rFonts w:asciiTheme="minorHAnsi" w:hAnsiTheme="minorHAnsi"/>
          <w:sz w:val="22"/>
          <w:szCs w:val="22"/>
        </w:rPr>
      </w:pPr>
    </w:p>
    <w:p w:rsidR="00DC7B59" w:rsidRPr="00DC7B59" w:rsidRDefault="00DC7B59" w:rsidP="00DC7B59">
      <w:pPr>
        <w:numPr>
          <w:ilvl w:val="0"/>
          <w:numId w:val="19"/>
        </w:numPr>
        <w:ind w:left="284" w:hanging="284"/>
        <w:jc w:val="both"/>
        <w:rPr>
          <w:rFonts w:asciiTheme="minorHAnsi" w:hAnsiTheme="minorHAnsi"/>
          <w:sz w:val="22"/>
          <w:szCs w:val="22"/>
        </w:rPr>
      </w:pPr>
      <w:r w:rsidRPr="00DC7B59">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rsidR="00DC7B59" w:rsidRPr="00DC7B59" w:rsidRDefault="00DC7B59" w:rsidP="00DC7B59">
      <w:pPr>
        <w:ind w:left="284"/>
        <w:jc w:val="both"/>
        <w:rPr>
          <w:rFonts w:asciiTheme="minorHAnsi" w:hAnsiTheme="minorHAnsi"/>
          <w:sz w:val="22"/>
          <w:szCs w:val="22"/>
        </w:rPr>
      </w:pPr>
    </w:p>
    <w:p w:rsidR="00DC7B59" w:rsidRPr="00DC7B59" w:rsidRDefault="00DC7B59" w:rsidP="00DC7B59">
      <w:pPr>
        <w:jc w:val="both"/>
        <w:rPr>
          <w:rFonts w:asciiTheme="minorHAnsi" w:hAnsiTheme="minorHAnsi"/>
          <w:sz w:val="22"/>
          <w:szCs w:val="22"/>
        </w:rPr>
      </w:pPr>
    </w:p>
    <w:p w:rsidR="00DC7B59" w:rsidRPr="00DC7B59" w:rsidRDefault="00DC7B59" w:rsidP="00DC7B59">
      <w:pPr>
        <w:ind w:left="720"/>
        <w:jc w:val="both"/>
        <w:rPr>
          <w:rFonts w:asciiTheme="minorHAnsi" w:hAnsiTheme="minorHAnsi"/>
          <w:sz w:val="22"/>
          <w:szCs w:val="22"/>
        </w:rPr>
      </w:pPr>
    </w:p>
    <w:p w:rsidR="00DC7B59" w:rsidRPr="00DC7B59" w:rsidRDefault="00DC7B59" w:rsidP="00DC7B59">
      <w:pPr>
        <w:jc w:val="center"/>
        <w:rPr>
          <w:rFonts w:asciiTheme="minorHAnsi" w:hAnsiTheme="minorHAnsi"/>
          <w:b/>
        </w:rPr>
      </w:pPr>
      <w:r w:rsidRPr="00DC7B59">
        <w:rPr>
          <w:rFonts w:asciiTheme="minorHAnsi" w:hAnsiTheme="minorHAnsi"/>
          <w:b/>
        </w:rPr>
        <w:t>V. Doba dosažení účelu dotace</w:t>
      </w:r>
    </w:p>
    <w:p w:rsidR="00DC7B59" w:rsidRPr="00DC7B59" w:rsidRDefault="00DC7B59" w:rsidP="00DC7B59">
      <w:pPr>
        <w:jc w:val="both"/>
        <w:rPr>
          <w:rFonts w:asciiTheme="minorHAnsi" w:hAnsiTheme="minorHAnsi"/>
          <w:sz w:val="22"/>
          <w:szCs w:val="22"/>
        </w:rPr>
      </w:pPr>
    </w:p>
    <w:p w:rsidR="00DC7B59" w:rsidRPr="00DC7B59" w:rsidRDefault="00DC7B59" w:rsidP="00DC7B59">
      <w:pPr>
        <w:jc w:val="both"/>
        <w:rPr>
          <w:rFonts w:asciiTheme="minorHAnsi" w:hAnsiTheme="minorHAnsi"/>
          <w:sz w:val="22"/>
          <w:szCs w:val="22"/>
        </w:rPr>
      </w:pPr>
      <w:r w:rsidRPr="00DC7B59">
        <w:rPr>
          <w:rFonts w:asciiTheme="minorHAnsi" w:hAnsiTheme="minorHAnsi"/>
          <w:sz w:val="22"/>
          <w:szCs w:val="22"/>
        </w:rPr>
        <w:t xml:space="preserve">Účelu dotace musí být dosaženo nejpozději do </w:t>
      </w:r>
      <w:r w:rsidRPr="00DC7B59">
        <w:rPr>
          <w:rFonts w:asciiTheme="minorHAnsi" w:hAnsiTheme="minorHAnsi"/>
          <w:b/>
          <w:sz w:val="22"/>
          <w:szCs w:val="22"/>
        </w:rPr>
        <w:t>31. 12. 2019</w:t>
      </w:r>
      <w:r w:rsidRPr="00DC7B59">
        <w:rPr>
          <w:rFonts w:asciiTheme="minorHAnsi" w:hAnsiTheme="minorHAnsi"/>
          <w:sz w:val="22"/>
          <w:szCs w:val="22"/>
        </w:rPr>
        <w:t>.</w:t>
      </w:r>
    </w:p>
    <w:p w:rsidR="00DC7B59" w:rsidRPr="00DC7B59" w:rsidRDefault="00DC7B59" w:rsidP="00DC7B59">
      <w:pPr>
        <w:jc w:val="both"/>
        <w:rPr>
          <w:rFonts w:asciiTheme="minorHAnsi" w:hAnsiTheme="minorHAnsi"/>
          <w:sz w:val="22"/>
          <w:szCs w:val="22"/>
        </w:rPr>
      </w:pPr>
    </w:p>
    <w:p w:rsidR="00DC7B59" w:rsidRPr="00DC7B59" w:rsidRDefault="00DC7B59" w:rsidP="00DC7B59">
      <w:pPr>
        <w:ind w:left="720"/>
        <w:jc w:val="both"/>
        <w:rPr>
          <w:rFonts w:asciiTheme="minorHAnsi" w:hAnsiTheme="minorHAnsi"/>
          <w:sz w:val="22"/>
          <w:szCs w:val="22"/>
        </w:rPr>
      </w:pPr>
    </w:p>
    <w:p w:rsidR="00DC7B59" w:rsidRPr="00DC7B59" w:rsidRDefault="00DC7B59" w:rsidP="00DC7B59">
      <w:pPr>
        <w:jc w:val="center"/>
        <w:rPr>
          <w:rFonts w:asciiTheme="minorHAnsi" w:hAnsiTheme="minorHAnsi"/>
          <w:b/>
        </w:rPr>
      </w:pPr>
      <w:r w:rsidRPr="00DC7B59">
        <w:rPr>
          <w:rFonts w:asciiTheme="minorHAnsi" w:hAnsiTheme="minorHAnsi"/>
          <w:b/>
        </w:rPr>
        <w:t>VI. Podmínky použití dotace, práva a povinnosti smluvních stran</w:t>
      </w:r>
    </w:p>
    <w:p w:rsidR="00DC7B59" w:rsidRPr="00DC7B59" w:rsidRDefault="00DC7B59" w:rsidP="00DC7B59">
      <w:pPr>
        <w:jc w:val="both"/>
        <w:rPr>
          <w:rFonts w:asciiTheme="minorHAnsi" w:hAnsiTheme="minorHAnsi"/>
          <w:sz w:val="22"/>
          <w:szCs w:val="22"/>
        </w:rPr>
      </w:pPr>
    </w:p>
    <w:p w:rsidR="00DC7B59" w:rsidRPr="00DC7B59" w:rsidRDefault="00DC7B59" w:rsidP="00DC7B59">
      <w:pPr>
        <w:numPr>
          <w:ilvl w:val="0"/>
          <w:numId w:val="7"/>
        </w:numPr>
        <w:ind w:left="284" w:hanging="284"/>
        <w:contextualSpacing/>
        <w:jc w:val="both"/>
        <w:rPr>
          <w:rFonts w:asciiTheme="minorHAnsi" w:hAnsiTheme="minorHAnsi"/>
          <w:sz w:val="22"/>
          <w:szCs w:val="22"/>
        </w:rPr>
      </w:pPr>
      <w:r w:rsidRPr="00DC7B59">
        <w:rPr>
          <w:rFonts w:asciiTheme="minorHAnsi" w:hAnsiTheme="minorHAnsi"/>
          <w:sz w:val="22"/>
          <w:szCs w:val="22"/>
        </w:rPr>
        <w:t>Příjemce se zavazuje:</w:t>
      </w:r>
    </w:p>
    <w:p w:rsidR="00DC7B59" w:rsidRPr="00DC7B59" w:rsidRDefault="00DC7B59" w:rsidP="00DC7B59">
      <w:pPr>
        <w:jc w:val="both"/>
        <w:rPr>
          <w:rFonts w:asciiTheme="minorHAnsi" w:hAnsiTheme="minorHAnsi"/>
          <w:sz w:val="22"/>
          <w:szCs w:val="22"/>
        </w:rPr>
      </w:pP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 xml:space="preserve">použít dotaci co nejhospodárněji a výhradně v souladu s předmětem této smlouvy, </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 xml:space="preserve">realizovat projekt vlastním jménem, na vlastní účet a na svou vlastní odpovědnost, </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při použití a vyúčtování poskytnuté dotace řídit se touto smlouvou, podmínkami uvedenými v Pravidlech a Zásadách a obecně závaznými právními předpisy,</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 xml:space="preserve">použít poskytnutou dotaci k účelu stanovenému v žádosti podané příjemcem dne </w:t>
      </w:r>
      <w:r w:rsidR="002B33E0">
        <w:rPr>
          <w:rFonts w:asciiTheme="minorHAnsi" w:hAnsiTheme="minorHAnsi"/>
          <w:sz w:val="22"/>
          <w:szCs w:val="22"/>
        </w:rPr>
        <w:t>1</w:t>
      </w:r>
      <w:r>
        <w:rPr>
          <w:rFonts w:asciiTheme="minorHAnsi" w:hAnsiTheme="minorHAnsi"/>
          <w:sz w:val="22"/>
          <w:szCs w:val="22"/>
        </w:rPr>
        <w:t>2</w:t>
      </w:r>
      <w:r w:rsidRPr="00DC7B59">
        <w:rPr>
          <w:rFonts w:asciiTheme="minorHAnsi" w:hAnsiTheme="minorHAnsi"/>
          <w:sz w:val="22"/>
          <w:szCs w:val="22"/>
        </w:rPr>
        <w:t xml:space="preserve">. 12. 2018 a zaevidované poskytovatelem pod č. j. </w:t>
      </w:r>
      <w:proofErr w:type="spellStart"/>
      <w:r w:rsidRPr="00DC7B59">
        <w:rPr>
          <w:rFonts w:asciiTheme="minorHAnsi" w:hAnsiTheme="minorHAnsi"/>
          <w:sz w:val="22"/>
          <w:szCs w:val="22"/>
        </w:rPr>
        <w:t>MmP</w:t>
      </w:r>
      <w:proofErr w:type="spellEnd"/>
      <w:r w:rsidRPr="00DC7B59">
        <w:rPr>
          <w:rFonts w:asciiTheme="minorHAnsi" w:hAnsiTheme="minorHAnsi"/>
          <w:sz w:val="22"/>
          <w:szCs w:val="22"/>
        </w:rPr>
        <w:t xml:space="preserve"> 10</w:t>
      </w:r>
      <w:r>
        <w:rPr>
          <w:rFonts w:asciiTheme="minorHAnsi" w:hAnsiTheme="minorHAnsi"/>
          <w:sz w:val="22"/>
          <w:szCs w:val="22"/>
        </w:rPr>
        <w:t>6</w:t>
      </w:r>
      <w:r w:rsidR="002B33E0">
        <w:rPr>
          <w:rFonts w:asciiTheme="minorHAnsi" w:hAnsiTheme="minorHAnsi"/>
          <w:sz w:val="22"/>
          <w:szCs w:val="22"/>
        </w:rPr>
        <w:t>706</w:t>
      </w:r>
      <w:r w:rsidRPr="00DC7B59">
        <w:rPr>
          <w:rFonts w:asciiTheme="minorHAnsi" w:hAnsiTheme="minorHAnsi"/>
          <w:sz w:val="22"/>
          <w:szCs w:val="22"/>
        </w:rPr>
        <w:t>/2018, vyúčtovat dotaci na položky stanovené v rozpočtu, který je nedílnou součástí této smlouvy jako příloha č. 1,</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vést ve svém účetnictví přehled o čerpání dotace na projekt odděleně, a to v</w:t>
      </w:r>
      <w:r w:rsidRPr="00DC7B59">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DC7B59">
        <w:rPr>
          <w:rFonts w:asciiTheme="minorHAnsi" w:hAnsiTheme="minorHAnsi"/>
          <w:sz w:val="22"/>
          <w:szCs w:val="22"/>
        </w:rPr>
        <w:t xml:space="preserve"> a prokázat řádnými účetními doklady celkové skutečně vynaložené náklady na daný účel. </w:t>
      </w:r>
      <w:r w:rsidRPr="00DC7B59">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DC7B59">
        <w:rPr>
          <w:rFonts w:asciiTheme="minorHAnsi" w:hAnsiTheme="minorHAnsi" w:cstheme="minorHAnsi"/>
          <w:sz w:val="22"/>
          <w:szCs w:val="22"/>
        </w:rPr>
        <w:t>,</w:t>
      </w:r>
      <w:r w:rsidRPr="00DC7B59">
        <w:rPr>
          <w:rFonts w:asciiTheme="minorHAnsi" w:hAnsiTheme="minorHAnsi"/>
          <w:sz w:val="22"/>
          <w:szCs w:val="22"/>
        </w:rPr>
        <w:t xml:space="preserve"> </w:t>
      </w:r>
    </w:p>
    <w:p w:rsidR="00DC7B59" w:rsidRPr="00DC7B59" w:rsidRDefault="00DC7B59" w:rsidP="00DC7B59">
      <w:pPr>
        <w:numPr>
          <w:ilvl w:val="0"/>
          <w:numId w:val="8"/>
        </w:numPr>
        <w:contextualSpacing/>
        <w:jc w:val="both"/>
        <w:rPr>
          <w:rFonts w:ascii="Calibri" w:hAnsi="Calibri"/>
          <w:sz w:val="22"/>
          <w:szCs w:val="22"/>
        </w:rPr>
      </w:pPr>
      <w:r w:rsidRPr="00DC7B59">
        <w:rPr>
          <w:rFonts w:ascii="Calibri" w:hAnsi="Calibri"/>
          <w:sz w:val="22"/>
          <w:szCs w:val="22"/>
        </w:rPr>
        <w:t xml:space="preserve">předložit poskytovateli </w:t>
      </w:r>
      <w:r w:rsidRPr="00DC7B59">
        <w:rPr>
          <w:rFonts w:ascii="Calibri" w:hAnsi="Calibri"/>
          <w:b/>
          <w:sz w:val="22"/>
          <w:szCs w:val="22"/>
        </w:rPr>
        <w:t>nejpozději do  31. 01. 2020</w:t>
      </w:r>
      <w:r w:rsidRPr="00DC7B59">
        <w:rPr>
          <w:rFonts w:ascii="Calibri" w:hAnsi="Calibri"/>
          <w:sz w:val="22"/>
          <w:szCs w:val="22"/>
        </w:rPr>
        <w:t xml:space="preserve"> vyúčtování dotace v listinné podobě s připojeným podpisem oprávněné osoby, včetně čestného prohlášení o účelovém použití prostředků dotace, </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w:t>
      </w:r>
      <w:proofErr w:type="spellStart"/>
      <w:r w:rsidRPr="00DC7B59">
        <w:rPr>
          <w:rFonts w:asciiTheme="minorHAnsi" w:hAnsiTheme="minorHAnsi"/>
          <w:sz w:val="22"/>
          <w:szCs w:val="22"/>
        </w:rPr>
        <w:t>SmP</w:t>
      </w:r>
      <w:proofErr w:type="spellEnd"/>
      <w:r w:rsidRPr="00DC7B59">
        <w:rPr>
          <w:rFonts w:asciiTheme="minorHAnsi" w:hAnsiTheme="minorHAnsi"/>
          <w:sz w:val="22"/>
          <w:szCs w:val="22"/>
        </w:rPr>
        <w:t>)),</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 xml:space="preserve">oznámit neprodleně, tj. nejpozději do 7 kalendářních dnů, poskytovateli změnu všech identifikačních údajů, </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w:t>
      </w:r>
      <w:r w:rsidRPr="00DC7B59">
        <w:rPr>
          <w:rFonts w:asciiTheme="minorHAnsi" w:hAnsiTheme="minorHAnsi"/>
          <w:sz w:val="22"/>
          <w:szCs w:val="22"/>
        </w:rPr>
        <w:lastRenderedPageBreak/>
        <w:t xml:space="preserve">pohledávky, zejména skutečnosti, které mají nebo mohou mít za následek příjemcův zánik či přeměnu (fúze, rozdělení a změna právní formy), </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v rámci propagační kampaně projektu a v průběhu jeho konání vhodným a viditelným způsobem prezentovat statutární město Pardubice,</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 xml:space="preserve">poskytnout potřebnou součinnost při akcích pořádaných statutárním městem Pardubice, </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rsidR="00DC7B59" w:rsidRPr="00DC7B59" w:rsidRDefault="00DC7B59" w:rsidP="00DC7B59">
      <w:pPr>
        <w:numPr>
          <w:ilvl w:val="0"/>
          <w:numId w:val="8"/>
        </w:numPr>
        <w:contextualSpacing/>
        <w:jc w:val="both"/>
        <w:rPr>
          <w:rFonts w:asciiTheme="minorHAnsi" w:hAnsiTheme="minorHAnsi"/>
          <w:sz w:val="22"/>
          <w:szCs w:val="22"/>
        </w:rPr>
      </w:pPr>
      <w:r w:rsidRPr="00DC7B59">
        <w:rPr>
          <w:rFonts w:ascii="Calibri" w:hAnsi="Calibri"/>
          <w:sz w:val="22"/>
          <w:szCs w:val="22"/>
        </w:rPr>
        <w:t xml:space="preserve">umožnit poskytovateli provedení kontroly v místě a  čase konání akcí realizovaných v rámci dotovaného projektu.  </w:t>
      </w:r>
    </w:p>
    <w:p w:rsidR="00DC7B59" w:rsidRPr="00DC7B59" w:rsidRDefault="00DC7B59" w:rsidP="00DC7B59">
      <w:pPr>
        <w:jc w:val="both"/>
        <w:rPr>
          <w:rFonts w:asciiTheme="minorHAnsi" w:hAnsiTheme="minorHAnsi"/>
          <w:sz w:val="22"/>
          <w:szCs w:val="22"/>
          <w:u w:val="single"/>
        </w:rPr>
      </w:pPr>
    </w:p>
    <w:p w:rsidR="00DC7B59" w:rsidRPr="00DC7B59" w:rsidRDefault="00DC7B59" w:rsidP="00DC7B59">
      <w:pPr>
        <w:numPr>
          <w:ilvl w:val="0"/>
          <w:numId w:val="7"/>
        </w:numPr>
        <w:tabs>
          <w:tab w:val="left" w:pos="426"/>
        </w:tabs>
        <w:ind w:left="284" w:hanging="284"/>
        <w:contextualSpacing/>
        <w:jc w:val="both"/>
        <w:rPr>
          <w:rFonts w:asciiTheme="minorHAnsi" w:hAnsiTheme="minorHAnsi"/>
          <w:sz w:val="22"/>
          <w:szCs w:val="22"/>
        </w:rPr>
      </w:pPr>
      <w:r w:rsidRPr="00DC7B59">
        <w:rPr>
          <w:rFonts w:asciiTheme="minorHAnsi" w:hAnsiTheme="minorHAnsi"/>
          <w:sz w:val="22"/>
          <w:szCs w:val="22"/>
        </w:rPr>
        <w:t>Poskytovatel je oprávněn:</w:t>
      </w:r>
    </w:p>
    <w:p w:rsidR="00DC7B59" w:rsidRPr="00DC7B59" w:rsidRDefault="00DC7B59" w:rsidP="00DC7B59">
      <w:pPr>
        <w:jc w:val="both"/>
        <w:rPr>
          <w:rFonts w:asciiTheme="minorHAnsi" w:hAnsiTheme="minorHAnsi"/>
          <w:sz w:val="22"/>
          <w:szCs w:val="22"/>
        </w:rPr>
      </w:pPr>
    </w:p>
    <w:p w:rsidR="00DC7B59" w:rsidRPr="00DC7B59" w:rsidRDefault="00DC7B59" w:rsidP="00DC7B59">
      <w:pPr>
        <w:numPr>
          <w:ilvl w:val="0"/>
          <w:numId w:val="9"/>
        </w:numPr>
        <w:contextualSpacing/>
        <w:jc w:val="both"/>
        <w:rPr>
          <w:rFonts w:asciiTheme="minorHAnsi" w:hAnsiTheme="minorHAnsi"/>
          <w:sz w:val="22"/>
          <w:szCs w:val="22"/>
        </w:rPr>
      </w:pPr>
      <w:r w:rsidRPr="00DC7B59">
        <w:rPr>
          <w:rFonts w:asciiTheme="minorHAnsi" w:hAnsiTheme="minorHAnsi"/>
          <w:sz w:val="22"/>
          <w:szCs w:val="22"/>
        </w:rPr>
        <w:t xml:space="preserve">ověřit si, že prostředky dotace byly příjemcem účelně a účelově použity, </w:t>
      </w:r>
    </w:p>
    <w:p w:rsidR="00DC7B59" w:rsidRPr="00DC7B59" w:rsidRDefault="00DC7B59" w:rsidP="00DC7B59">
      <w:pPr>
        <w:numPr>
          <w:ilvl w:val="0"/>
          <w:numId w:val="9"/>
        </w:numPr>
        <w:contextualSpacing/>
        <w:jc w:val="both"/>
        <w:rPr>
          <w:rFonts w:asciiTheme="minorHAnsi" w:hAnsiTheme="minorHAnsi"/>
          <w:sz w:val="22"/>
          <w:szCs w:val="22"/>
        </w:rPr>
      </w:pPr>
      <w:r w:rsidRPr="00DC7B59">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rsidR="00DC7B59" w:rsidRPr="00DC7B59" w:rsidRDefault="00DC7B59" w:rsidP="00DC7B59">
      <w:pPr>
        <w:ind w:left="720"/>
        <w:contextualSpacing/>
        <w:jc w:val="both"/>
        <w:rPr>
          <w:rFonts w:asciiTheme="minorHAnsi" w:hAnsiTheme="minorHAnsi"/>
          <w:sz w:val="22"/>
          <w:szCs w:val="22"/>
        </w:rPr>
      </w:pPr>
    </w:p>
    <w:p w:rsidR="00DC7B59" w:rsidRPr="00DC7B59" w:rsidRDefault="00DC7B59" w:rsidP="00DC7B59">
      <w:pPr>
        <w:numPr>
          <w:ilvl w:val="0"/>
          <w:numId w:val="7"/>
        </w:numPr>
        <w:tabs>
          <w:tab w:val="left" w:pos="426"/>
        </w:tabs>
        <w:ind w:left="284" w:hanging="284"/>
        <w:contextualSpacing/>
        <w:jc w:val="both"/>
        <w:rPr>
          <w:rFonts w:asciiTheme="minorHAnsi" w:hAnsiTheme="minorHAnsi"/>
          <w:sz w:val="22"/>
          <w:szCs w:val="22"/>
        </w:rPr>
      </w:pPr>
      <w:r w:rsidRPr="00DC7B59">
        <w:rPr>
          <w:rFonts w:asciiTheme="minorHAnsi" w:hAnsiTheme="minorHAnsi"/>
          <w:sz w:val="22"/>
          <w:szCs w:val="22"/>
        </w:rPr>
        <w:t>Za účelem splnění povinnosti příjemce uvedené v odst. 1 písm. k) tohoto článku smlouvy uděluje poskytovatel souhlas s užitím loga statutárního města Pardubice, v souladu s </w:t>
      </w:r>
      <w:proofErr w:type="spellStart"/>
      <w:r w:rsidRPr="00DC7B59">
        <w:rPr>
          <w:rFonts w:asciiTheme="minorHAnsi" w:hAnsiTheme="minorHAnsi"/>
          <w:sz w:val="22"/>
          <w:szCs w:val="22"/>
        </w:rPr>
        <w:t>logomanuálem</w:t>
      </w:r>
      <w:proofErr w:type="spellEnd"/>
      <w:r w:rsidRPr="00DC7B59">
        <w:rPr>
          <w:rFonts w:asciiTheme="minorHAnsi" w:hAnsiTheme="minorHAnsi"/>
          <w:sz w:val="22"/>
          <w:szCs w:val="22"/>
        </w:rPr>
        <w:t xml:space="preserve"> poskytovatele, a to v souvislosti s propagační kampaní a realizací projektu. </w:t>
      </w:r>
    </w:p>
    <w:p w:rsidR="00DC7B59" w:rsidRPr="00DC7B59" w:rsidRDefault="00DC7B59" w:rsidP="00DC7B59">
      <w:pPr>
        <w:tabs>
          <w:tab w:val="left" w:pos="426"/>
        </w:tabs>
        <w:jc w:val="both"/>
        <w:rPr>
          <w:rFonts w:asciiTheme="minorHAnsi" w:hAnsiTheme="minorHAnsi"/>
          <w:sz w:val="22"/>
          <w:szCs w:val="22"/>
        </w:rPr>
      </w:pPr>
    </w:p>
    <w:p w:rsidR="00DC7B59" w:rsidRPr="00DC7B59" w:rsidRDefault="00DC7B59" w:rsidP="00DC7B59">
      <w:pPr>
        <w:tabs>
          <w:tab w:val="left" w:pos="426"/>
        </w:tabs>
        <w:jc w:val="both"/>
        <w:rPr>
          <w:rFonts w:asciiTheme="minorHAnsi" w:hAnsiTheme="minorHAnsi"/>
          <w:sz w:val="22"/>
          <w:szCs w:val="22"/>
        </w:rPr>
      </w:pPr>
    </w:p>
    <w:p w:rsidR="00DC7B59" w:rsidRPr="00DC7B59" w:rsidRDefault="00DC7B59" w:rsidP="00DC7B59">
      <w:pPr>
        <w:jc w:val="center"/>
        <w:rPr>
          <w:rFonts w:asciiTheme="minorHAnsi" w:hAnsiTheme="minorHAnsi"/>
          <w:b/>
        </w:rPr>
      </w:pPr>
      <w:r w:rsidRPr="00DC7B59">
        <w:rPr>
          <w:rFonts w:asciiTheme="minorHAnsi" w:hAnsiTheme="minorHAnsi"/>
          <w:b/>
        </w:rPr>
        <w:t>VII. Čerpání dotace</w:t>
      </w:r>
    </w:p>
    <w:p w:rsidR="00DC7B59" w:rsidRPr="00DC7B59" w:rsidRDefault="00DC7B59" w:rsidP="00DC7B59">
      <w:pPr>
        <w:jc w:val="both"/>
        <w:rPr>
          <w:rFonts w:asciiTheme="minorHAnsi" w:hAnsiTheme="minorHAnsi"/>
          <w:sz w:val="22"/>
          <w:szCs w:val="22"/>
        </w:rPr>
      </w:pPr>
    </w:p>
    <w:p w:rsidR="00DC7B59" w:rsidRPr="00DC7B59" w:rsidRDefault="00DC7B59" w:rsidP="00DC7B59">
      <w:pPr>
        <w:numPr>
          <w:ilvl w:val="0"/>
          <w:numId w:val="6"/>
        </w:numPr>
        <w:ind w:left="284" w:hanging="284"/>
        <w:jc w:val="both"/>
        <w:rPr>
          <w:rFonts w:asciiTheme="minorHAnsi" w:hAnsiTheme="minorHAnsi"/>
          <w:sz w:val="22"/>
          <w:szCs w:val="22"/>
        </w:rPr>
      </w:pPr>
      <w:r w:rsidRPr="00DC7B59">
        <w:rPr>
          <w:rFonts w:asciiTheme="minorHAnsi" w:hAnsiTheme="minorHAnsi"/>
          <w:sz w:val="22"/>
          <w:szCs w:val="22"/>
        </w:rPr>
        <w:t>Čerpáním dotace se rozumí úhrada uznatelných výdajů vzniklých při realizaci projektu.</w:t>
      </w:r>
    </w:p>
    <w:p w:rsidR="00DC7B59" w:rsidRPr="00DC7B59" w:rsidRDefault="00DC7B59" w:rsidP="00DC7B59">
      <w:pPr>
        <w:ind w:left="284" w:hanging="284"/>
        <w:jc w:val="both"/>
        <w:rPr>
          <w:rFonts w:asciiTheme="minorHAnsi" w:hAnsiTheme="minorHAnsi"/>
          <w:sz w:val="22"/>
          <w:szCs w:val="22"/>
        </w:rPr>
      </w:pPr>
    </w:p>
    <w:p w:rsidR="00DC7B59" w:rsidRPr="00DC7B59" w:rsidRDefault="00DC7B59" w:rsidP="00DC7B59">
      <w:pPr>
        <w:numPr>
          <w:ilvl w:val="0"/>
          <w:numId w:val="6"/>
        </w:numPr>
        <w:ind w:left="284" w:hanging="284"/>
        <w:jc w:val="both"/>
        <w:rPr>
          <w:rFonts w:asciiTheme="minorHAnsi" w:hAnsiTheme="minorHAnsi"/>
          <w:sz w:val="22"/>
          <w:szCs w:val="22"/>
        </w:rPr>
      </w:pPr>
      <w:r w:rsidRPr="00DC7B59">
        <w:rPr>
          <w:rFonts w:asciiTheme="minorHAnsi" w:hAnsiTheme="minorHAnsi"/>
          <w:sz w:val="22"/>
          <w:szCs w:val="22"/>
        </w:rPr>
        <w:t xml:space="preserve">Příjemce je oprávněn čerpat dotaci k realizaci projektu </w:t>
      </w:r>
      <w:r w:rsidRPr="00DC7B59">
        <w:rPr>
          <w:rFonts w:asciiTheme="minorHAnsi" w:hAnsiTheme="minorHAnsi"/>
          <w:b/>
          <w:sz w:val="22"/>
          <w:szCs w:val="22"/>
        </w:rPr>
        <w:t>nejpozději do 31. 12. 2019.</w:t>
      </w:r>
    </w:p>
    <w:p w:rsidR="00DC7B59" w:rsidRPr="00DC7B59" w:rsidRDefault="00DC7B59" w:rsidP="00DC7B59">
      <w:pPr>
        <w:ind w:left="284" w:hanging="284"/>
        <w:jc w:val="both"/>
        <w:rPr>
          <w:rFonts w:asciiTheme="minorHAnsi" w:hAnsiTheme="minorHAnsi"/>
          <w:sz w:val="22"/>
          <w:szCs w:val="22"/>
        </w:rPr>
      </w:pPr>
    </w:p>
    <w:p w:rsidR="00DC7B59" w:rsidRPr="00DC7B59" w:rsidRDefault="00DC7B59" w:rsidP="00DC7B59">
      <w:pPr>
        <w:numPr>
          <w:ilvl w:val="0"/>
          <w:numId w:val="6"/>
        </w:numPr>
        <w:ind w:left="284" w:hanging="284"/>
        <w:jc w:val="both"/>
        <w:rPr>
          <w:rFonts w:asciiTheme="minorHAnsi" w:hAnsiTheme="minorHAnsi"/>
          <w:sz w:val="22"/>
          <w:szCs w:val="22"/>
        </w:rPr>
      </w:pPr>
      <w:r w:rsidRPr="00DC7B59">
        <w:rPr>
          <w:rFonts w:asciiTheme="minorHAnsi" w:hAnsiTheme="minorHAnsi"/>
          <w:sz w:val="22"/>
          <w:szCs w:val="22"/>
        </w:rPr>
        <w:t xml:space="preserve">Příjemce není oprávněn převádět prostředky dotace do roku následujícího. </w:t>
      </w:r>
    </w:p>
    <w:p w:rsidR="00DC7B59" w:rsidRPr="00DC7B59" w:rsidRDefault="00DC7B59" w:rsidP="00DC7B59">
      <w:pPr>
        <w:ind w:left="284" w:hanging="284"/>
        <w:jc w:val="both"/>
        <w:rPr>
          <w:rFonts w:asciiTheme="minorHAnsi" w:hAnsiTheme="minorHAnsi"/>
          <w:sz w:val="22"/>
          <w:szCs w:val="22"/>
        </w:rPr>
      </w:pPr>
    </w:p>
    <w:p w:rsidR="00DC7B59" w:rsidRPr="00DC7B59" w:rsidRDefault="00DC7B59" w:rsidP="00DC7B59">
      <w:pPr>
        <w:numPr>
          <w:ilvl w:val="0"/>
          <w:numId w:val="6"/>
        </w:numPr>
        <w:ind w:left="284" w:hanging="284"/>
        <w:jc w:val="both"/>
        <w:rPr>
          <w:rFonts w:asciiTheme="minorHAnsi" w:hAnsiTheme="minorHAnsi"/>
          <w:sz w:val="22"/>
          <w:szCs w:val="22"/>
        </w:rPr>
      </w:pPr>
      <w:r w:rsidRPr="00DC7B59">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DC7B59">
        <w:rPr>
          <w:rFonts w:asciiTheme="minorHAnsi" w:hAnsiTheme="minorHAnsi"/>
          <w:b/>
          <w:sz w:val="22"/>
          <w:szCs w:val="22"/>
        </w:rPr>
        <w:t>nejpozději</w:t>
      </w:r>
      <w:r w:rsidRPr="00DC7B59">
        <w:rPr>
          <w:rFonts w:asciiTheme="minorHAnsi" w:hAnsiTheme="minorHAnsi"/>
          <w:sz w:val="22"/>
          <w:szCs w:val="22"/>
        </w:rPr>
        <w:t xml:space="preserve"> </w:t>
      </w:r>
      <w:r w:rsidRPr="00DC7B59">
        <w:rPr>
          <w:rFonts w:asciiTheme="minorHAnsi" w:hAnsiTheme="minorHAnsi"/>
          <w:b/>
          <w:sz w:val="22"/>
          <w:szCs w:val="22"/>
        </w:rPr>
        <w:t>do 31. 01. 2020.</w:t>
      </w:r>
      <w:r w:rsidRPr="00DC7B59">
        <w:rPr>
          <w:rFonts w:asciiTheme="minorHAnsi" w:hAnsiTheme="minorHAnsi"/>
          <w:sz w:val="22"/>
          <w:szCs w:val="22"/>
        </w:rPr>
        <w:t xml:space="preserve"> </w:t>
      </w:r>
    </w:p>
    <w:p w:rsidR="00DC7B59" w:rsidRPr="00DC7B59" w:rsidRDefault="00DC7B59" w:rsidP="00DC7B59">
      <w:pPr>
        <w:ind w:left="284" w:hanging="284"/>
        <w:jc w:val="both"/>
        <w:rPr>
          <w:rFonts w:asciiTheme="minorHAnsi" w:hAnsiTheme="minorHAnsi"/>
          <w:sz w:val="22"/>
          <w:szCs w:val="22"/>
        </w:rPr>
      </w:pPr>
    </w:p>
    <w:p w:rsidR="00DC7B59" w:rsidRPr="00DC7B59" w:rsidRDefault="00DC7B59" w:rsidP="00DC7B59">
      <w:pPr>
        <w:numPr>
          <w:ilvl w:val="0"/>
          <w:numId w:val="6"/>
        </w:numPr>
        <w:ind w:left="284" w:hanging="284"/>
        <w:jc w:val="both"/>
        <w:rPr>
          <w:rFonts w:asciiTheme="minorHAnsi" w:hAnsiTheme="minorHAnsi"/>
          <w:sz w:val="22"/>
          <w:szCs w:val="22"/>
        </w:rPr>
      </w:pPr>
      <w:r w:rsidRPr="00DC7B59">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DC7B59">
        <w:rPr>
          <w:rFonts w:asciiTheme="minorHAnsi" w:hAnsiTheme="minorHAnsi"/>
          <w:b/>
          <w:sz w:val="22"/>
          <w:szCs w:val="22"/>
        </w:rPr>
        <w:t>nejpozději do 31. 01. 2020.</w:t>
      </w:r>
    </w:p>
    <w:p w:rsidR="00DC7B59" w:rsidRPr="00DC7B59" w:rsidRDefault="00DC7B59" w:rsidP="00DC7B59">
      <w:pPr>
        <w:ind w:left="284" w:hanging="284"/>
        <w:jc w:val="both"/>
        <w:rPr>
          <w:rFonts w:asciiTheme="minorHAnsi" w:hAnsiTheme="minorHAnsi"/>
          <w:sz w:val="22"/>
          <w:szCs w:val="22"/>
        </w:rPr>
      </w:pPr>
    </w:p>
    <w:p w:rsidR="00DC7B59" w:rsidRPr="00DC7B59" w:rsidRDefault="00DC7B59" w:rsidP="00DC7B59">
      <w:pPr>
        <w:numPr>
          <w:ilvl w:val="0"/>
          <w:numId w:val="6"/>
        </w:numPr>
        <w:ind w:left="284" w:hanging="284"/>
        <w:jc w:val="both"/>
        <w:rPr>
          <w:rFonts w:asciiTheme="minorHAnsi" w:hAnsiTheme="minorHAnsi"/>
          <w:sz w:val="22"/>
          <w:szCs w:val="22"/>
        </w:rPr>
      </w:pPr>
      <w:r w:rsidRPr="00DC7B59">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rsidR="00DC7B59" w:rsidRPr="00DC7B59" w:rsidRDefault="00DC7B59" w:rsidP="00DC7B59">
      <w:pPr>
        <w:ind w:left="284" w:hanging="284"/>
        <w:jc w:val="both"/>
        <w:rPr>
          <w:rFonts w:asciiTheme="minorHAnsi" w:hAnsiTheme="minorHAnsi"/>
          <w:sz w:val="22"/>
          <w:szCs w:val="22"/>
        </w:rPr>
      </w:pPr>
    </w:p>
    <w:p w:rsidR="00DC7B59" w:rsidRPr="00DC7B59" w:rsidRDefault="00DC7B59" w:rsidP="00DC7B59">
      <w:pPr>
        <w:jc w:val="both"/>
        <w:rPr>
          <w:rFonts w:asciiTheme="minorHAnsi" w:hAnsiTheme="minorHAnsi"/>
          <w:sz w:val="22"/>
          <w:szCs w:val="22"/>
        </w:rPr>
      </w:pPr>
    </w:p>
    <w:p w:rsidR="00DC7B59" w:rsidRPr="00DC7B59" w:rsidRDefault="00DC7B59" w:rsidP="00DC7B59">
      <w:pPr>
        <w:jc w:val="center"/>
        <w:rPr>
          <w:rFonts w:asciiTheme="minorHAnsi" w:hAnsiTheme="minorHAnsi"/>
          <w:b/>
        </w:rPr>
      </w:pPr>
      <w:r w:rsidRPr="00DC7B59">
        <w:rPr>
          <w:rFonts w:asciiTheme="minorHAnsi" w:hAnsiTheme="minorHAnsi"/>
          <w:b/>
        </w:rPr>
        <w:t>VIII. Uznatelné a neuznatelné náklady</w:t>
      </w:r>
    </w:p>
    <w:p w:rsidR="00DC7B59" w:rsidRPr="00DC7B59" w:rsidRDefault="00DC7B59" w:rsidP="00DC7B59">
      <w:pPr>
        <w:jc w:val="both"/>
        <w:rPr>
          <w:rFonts w:asciiTheme="minorHAnsi" w:hAnsiTheme="minorHAnsi"/>
          <w:sz w:val="22"/>
          <w:szCs w:val="22"/>
        </w:rPr>
      </w:pPr>
    </w:p>
    <w:p w:rsidR="00DC7B59" w:rsidRPr="00DC7B59" w:rsidRDefault="00DC7B59" w:rsidP="00DC7B59">
      <w:pPr>
        <w:numPr>
          <w:ilvl w:val="0"/>
          <w:numId w:val="10"/>
        </w:numPr>
        <w:tabs>
          <w:tab w:val="num" w:pos="284"/>
        </w:tabs>
        <w:autoSpaceDE w:val="0"/>
        <w:autoSpaceDN w:val="0"/>
        <w:adjustRightInd w:val="0"/>
        <w:ind w:left="284" w:hanging="284"/>
        <w:jc w:val="both"/>
        <w:rPr>
          <w:rFonts w:asciiTheme="minorHAnsi" w:eastAsiaTheme="minorHAnsi" w:hAnsiTheme="minorHAnsi"/>
          <w:color w:val="000000"/>
          <w:sz w:val="22"/>
          <w:szCs w:val="22"/>
          <w:lang w:eastAsia="en-US"/>
        </w:rPr>
      </w:pPr>
      <w:r w:rsidRPr="00DC7B59">
        <w:rPr>
          <w:rFonts w:asciiTheme="minorHAnsi" w:eastAsiaTheme="minorHAnsi" w:hAnsiTheme="minorHAnsi"/>
          <w:color w:val="000000"/>
          <w:sz w:val="22"/>
          <w:szCs w:val="22"/>
          <w:lang w:eastAsia="en-US"/>
        </w:rPr>
        <w:t>Dotaci lze použít pouze na úhradu způsobilých (uznatelných) nákladů příjemce spojených s realizací projektu</w:t>
      </w:r>
      <w:r w:rsidRPr="00DC7B59">
        <w:rPr>
          <w:rFonts w:asciiTheme="minorHAnsi" w:eastAsiaTheme="minorHAnsi" w:hAnsiTheme="minorHAnsi"/>
          <w:bCs/>
          <w:color w:val="000000"/>
          <w:sz w:val="22"/>
          <w:szCs w:val="22"/>
          <w:lang w:eastAsia="en-US"/>
        </w:rPr>
        <w:t xml:space="preserve"> </w:t>
      </w:r>
      <w:r w:rsidRPr="00DC7B59">
        <w:rPr>
          <w:rFonts w:asciiTheme="minorHAnsi" w:eastAsiaTheme="minorHAnsi" w:hAnsiTheme="minorHAnsi"/>
          <w:color w:val="000000"/>
          <w:sz w:val="22"/>
          <w:szCs w:val="22"/>
          <w:lang w:eastAsia="en-US"/>
        </w:rPr>
        <w:t>při dodržení zásad hospodárnosti, účelnosti a efektivnosti vynaložených prostředků</w:t>
      </w:r>
      <w:r w:rsidRPr="00DC7B59">
        <w:rPr>
          <w:rFonts w:asciiTheme="minorHAnsi" w:eastAsiaTheme="minorHAnsi" w:hAnsiTheme="minorHAnsi"/>
          <w:i/>
          <w:iCs/>
          <w:color w:val="000000"/>
          <w:sz w:val="22"/>
          <w:szCs w:val="22"/>
          <w:lang w:eastAsia="en-US"/>
        </w:rPr>
        <w:t xml:space="preserve">. </w:t>
      </w:r>
    </w:p>
    <w:p w:rsidR="00DC7B59" w:rsidRPr="00DC7B59" w:rsidRDefault="00DC7B59" w:rsidP="00DC7B59">
      <w:pPr>
        <w:numPr>
          <w:ilvl w:val="0"/>
          <w:numId w:val="10"/>
        </w:numPr>
        <w:tabs>
          <w:tab w:val="left" w:pos="360"/>
        </w:tabs>
        <w:suppressAutoHyphens/>
        <w:spacing w:before="120"/>
        <w:ind w:left="357" w:hanging="357"/>
        <w:jc w:val="both"/>
        <w:rPr>
          <w:rFonts w:asciiTheme="minorHAnsi" w:hAnsiTheme="minorHAnsi" w:cs="Tahoma"/>
          <w:sz w:val="22"/>
          <w:szCs w:val="22"/>
        </w:rPr>
      </w:pPr>
      <w:r w:rsidRPr="00DC7B59">
        <w:rPr>
          <w:rFonts w:asciiTheme="minorHAnsi" w:hAnsiTheme="minorHAnsi" w:cs="Tahoma"/>
          <w:sz w:val="22"/>
          <w:szCs w:val="22"/>
        </w:rPr>
        <w:t>Uznatelným nákladem je náklad, který splňuje všechny níže uvedené podmínky:</w:t>
      </w:r>
    </w:p>
    <w:p w:rsidR="00DC7B59" w:rsidRPr="00DC7B59" w:rsidRDefault="00DC7B59" w:rsidP="00DC7B59">
      <w:pPr>
        <w:numPr>
          <w:ilvl w:val="1"/>
          <w:numId w:val="10"/>
        </w:numPr>
        <w:tabs>
          <w:tab w:val="left" w:pos="720"/>
        </w:tabs>
        <w:suppressAutoHyphens/>
        <w:spacing w:before="60"/>
        <w:ind w:left="720"/>
        <w:jc w:val="both"/>
        <w:rPr>
          <w:rFonts w:asciiTheme="minorHAnsi" w:hAnsiTheme="minorHAnsi" w:cs="Tahoma"/>
          <w:sz w:val="22"/>
          <w:szCs w:val="22"/>
        </w:rPr>
      </w:pPr>
      <w:r w:rsidRPr="00DC7B59">
        <w:rPr>
          <w:rFonts w:asciiTheme="minorHAnsi" w:hAnsiTheme="minorHAnsi" w:cs="Tahoma"/>
          <w:sz w:val="22"/>
          <w:szCs w:val="22"/>
        </w:rPr>
        <w:t xml:space="preserve">vznikl a byl příjemcem uhrazen v období realizace projektu, </w:t>
      </w:r>
    </w:p>
    <w:p w:rsidR="00DC7B59" w:rsidRPr="00DC7B59" w:rsidRDefault="00DC7B59" w:rsidP="00DC7B59">
      <w:pPr>
        <w:numPr>
          <w:ilvl w:val="1"/>
          <w:numId w:val="10"/>
        </w:numPr>
        <w:tabs>
          <w:tab w:val="left" w:pos="720"/>
        </w:tabs>
        <w:suppressAutoHyphens/>
        <w:spacing w:before="60"/>
        <w:ind w:left="720"/>
        <w:jc w:val="both"/>
        <w:rPr>
          <w:rFonts w:asciiTheme="minorHAnsi" w:hAnsiTheme="minorHAnsi" w:cs="Tahoma"/>
          <w:sz w:val="22"/>
          <w:szCs w:val="22"/>
        </w:rPr>
      </w:pPr>
      <w:r w:rsidRPr="00DC7B59">
        <w:rPr>
          <w:rFonts w:asciiTheme="minorHAnsi" w:hAnsiTheme="minorHAnsi" w:cs="Tahoma"/>
          <w:sz w:val="22"/>
          <w:szCs w:val="22"/>
        </w:rPr>
        <w:t>byl vynaložen v souladu s účelovým určením dle čl. IV. této smlouvy, ostatními podmínkami této smlouvy a podmínkami uvedenými v Pravidlech a Zásadách,</w:t>
      </w:r>
    </w:p>
    <w:p w:rsidR="00DC7B59" w:rsidRPr="00DC7B59" w:rsidRDefault="00DC7B59" w:rsidP="00DC7B59">
      <w:pPr>
        <w:numPr>
          <w:ilvl w:val="1"/>
          <w:numId w:val="10"/>
        </w:numPr>
        <w:tabs>
          <w:tab w:val="left" w:pos="720"/>
        </w:tabs>
        <w:suppressAutoHyphens/>
        <w:spacing w:before="60"/>
        <w:ind w:left="720"/>
        <w:jc w:val="both"/>
        <w:rPr>
          <w:rFonts w:asciiTheme="minorHAnsi" w:hAnsiTheme="minorHAnsi" w:cs="Tahoma"/>
          <w:sz w:val="22"/>
          <w:szCs w:val="22"/>
        </w:rPr>
      </w:pPr>
      <w:r w:rsidRPr="00DC7B59">
        <w:rPr>
          <w:rFonts w:asciiTheme="minorHAnsi" w:hAnsiTheme="minorHAnsi" w:cs="Tahoma"/>
          <w:sz w:val="22"/>
          <w:szCs w:val="22"/>
        </w:rPr>
        <w:lastRenderedPageBreak/>
        <w:t>vyhovuje zásadám účelnosti, efektivnosti a hospodárnosti dle zákona o finanční kontrole,</w:t>
      </w:r>
    </w:p>
    <w:p w:rsidR="00DC7B59" w:rsidRPr="00DC7B59" w:rsidRDefault="00DC7B59" w:rsidP="00DC7B59">
      <w:pPr>
        <w:numPr>
          <w:ilvl w:val="1"/>
          <w:numId w:val="10"/>
        </w:numPr>
        <w:tabs>
          <w:tab w:val="left" w:pos="720"/>
        </w:tabs>
        <w:suppressAutoHyphens/>
        <w:spacing w:before="60"/>
        <w:ind w:left="720"/>
        <w:jc w:val="both"/>
        <w:rPr>
          <w:rFonts w:asciiTheme="minorHAnsi" w:hAnsiTheme="minorHAnsi" w:cs="Tahoma"/>
          <w:sz w:val="22"/>
          <w:szCs w:val="22"/>
        </w:rPr>
      </w:pPr>
      <w:r w:rsidRPr="00DC7B59">
        <w:rPr>
          <w:rFonts w:asciiTheme="minorHAnsi" w:hAnsiTheme="minorHAnsi" w:cs="Tahoma"/>
          <w:sz w:val="22"/>
          <w:szCs w:val="22"/>
        </w:rPr>
        <w:t>je uveden v nákladovém rozpočtu projektu přiloženém k této smlouvě a</w:t>
      </w:r>
    </w:p>
    <w:p w:rsidR="00DC7B59" w:rsidRPr="00DC7B59" w:rsidRDefault="00DC7B59" w:rsidP="00DC7B59">
      <w:pPr>
        <w:numPr>
          <w:ilvl w:val="1"/>
          <w:numId w:val="10"/>
        </w:numPr>
        <w:tabs>
          <w:tab w:val="left" w:pos="720"/>
          <w:tab w:val="num" w:pos="851"/>
        </w:tabs>
        <w:suppressAutoHyphens/>
        <w:spacing w:before="60"/>
        <w:ind w:left="720"/>
        <w:jc w:val="both"/>
        <w:rPr>
          <w:rFonts w:asciiTheme="minorHAnsi" w:hAnsiTheme="minorHAnsi" w:cs="Tahoma"/>
          <w:sz w:val="22"/>
          <w:szCs w:val="22"/>
        </w:rPr>
      </w:pPr>
      <w:r w:rsidRPr="00DC7B59">
        <w:rPr>
          <w:rFonts w:asciiTheme="minorHAnsi" w:hAnsiTheme="minorHAnsi"/>
          <w:sz w:val="22"/>
          <w:szCs w:val="22"/>
        </w:rPr>
        <w:t>nejedná se o nezpůsobilý (neuznatelný) náklad uvedený v odstavci 3 tohoto článku smlouvy</w:t>
      </w:r>
      <w:r w:rsidRPr="00DC7B59">
        <w:rPr>
          <w:rFonts w:asciiTheme="minorHAnsi" w:hAnsiTheme="minorHAnsi" w:cs="Tahoma"/>
          <w:sz w:val="22"/>
          <w:szCs w:val="22"/>
        </w:rPr>
        <w:t>.</w:t>
      </w:r>
    </w:p>
    <w:p w:rsidR="00DC7B59" w:rsidRPr="00DC7B59" w:rsidRDefault="00DC7B59" w:rsidP="00DC7B59">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C7B59">
        <w:rPr>
          <w:rFonts w:asciiTheme="minorHAnsi" w:hAnsiTheme="minorHAnsi"/>
          <w:sz w:val="22"/>
          <w:szCs w:val="22"/>
        </w:rPr>
        <w:t xml:space="preserve">Dotaci </w:t>
      </w:r>
      <w:r w:rsidRPr="00DC7B59">
        <w:rPr>
          <w:rFonts w:asciiTheme="minorHAnsi" w:hAnsiTheme="minorHAnsi"/>
          <w:bCs/>
          <w:sz w:val="22"/>
          <w:szCs w:val="22"/>
        </w:rPr>
        <w:t>nelze použít</w:t>
      </w:r>
      <w:r w:rsidRPr="00DC7B59">
        <w:rPr>
          <w:rFonts w:asciiTheme="minorHAnsi" w:hAnsiTheme="minorHAnsi"/>
          <w:b/>
          <w:bCs/>
          <w:sz w:val="22"/>
          <w:szCs w:val="22"/>
        </w:rPr>
        <w:t xml:space="preserve"> </w:t>
      </w:r>
      <w:r w:rsidRPr="00DC7B59">
        <w:rPr>
          <w:rFonts w:asciiTheme="minorHAnsi" w:hAnsiTheme="minorHAnsi"/>
          <w:sz w:val="22"/>
          <w:szCs w:val="22"/>
        </w:rPr>
        <w:t>na nezpůsobilé (neuznatelné) náklady projektu. Neuznatelným nákladem se rozumí:</w:t>
      </w:r>
    </w:p>
    <w:p w:rsidR="00DC7B59" w:rsidRPr="00DC7B59" w:rsidRDefault="00DC7B59" w:rsidP="00DC7B59">
      <w:pPr>
        <w:numPr>
          <w:ilvl w:val="0"/>
          <w:numId w:val="13"/>
        </w:numPr>
        <w:tabs>
          <w:tab w:val="left" w:pos="360"/>
        </w:tabs>
        <w:suppressAutoHyphens/>
        <w:spacing w:before="120"/>
        <w:ind w:left="709" w:hanging="283"/>
        <w:contextualSpacing/>
        <w:jc w:val="both"/>
        <w:rPr>
          <w:rFonts w:asciiTheme="minorHAnsi" w:hAnsiTheme="minorHAnsi" w:cs="Tahoma"/>
          <w:sz w:val="22"/>
          <w:szCs w:val="22"/>
        </w:rPr>
      </w:pPr>
      <w:r w:rsidRPr="00DC7B59">
        <w:rPr>
          <w:rFonts w:asciiTheme="minorHAnsi" w:hAnsiTheme="minorHAnsi" w:cs="Tahoma"/>
          <w:bCs/>
          <w:sz w:val="22"/>
          <w:szCs w:val="22"/>
        </w:rPr>
        <w:t>výdaj za zboží, činnosti, služby a nájem poskytovaný pro příjemce dotace fyzickou osobou, která je členem statutárního nebo kontrolního orgánu tohoto příjemce dotace</w:t>
      </w:r>
      <w:r w:rsidRPr="00DC7B59">
        <w:rPr>
          <w:rFonts w:asciiTheme="minorHAnsi" w:hAnsiTheme="minorHAnsi" w:cs="Tahoma"/>
          <w:sz w:val="22"/>
          <w:szCs w:val="22"/>
        </w:rPr>
        <w:t>,</w:t>
      </w:r>
    </w:p>
    <w:p w:rsidR="00DC7B59" w:rsidRPr="00DC7B59" w:rsidRDefault="00DC7B59" w:rsidP="00DC7B59">
      <w:pPr>
        <w:numPr>
          <w:ilvl w:val="0"/>
          <w:numId w:val="13"/>
        </w:numPr>
        <w:tabs>
          <w:tab w:val="left" w:pos="360"/>
        </w:tabs>
        <w:suppressAutoHyphens/>
        <w:spacing w:before="120"/>
        <w:ind w:left="709" w:hanging="283"/>
        <w:contextualSpacing/>
        <w:jc w:val="both"/>
        <w:rPr>
          <w:rFonts w:asciiTheme="minorHAnsi" w:hAnsiTheme="minorHAnsi" w:cs="Tahoma"/>
          <w:sz w:val="22"/>
          <w:szCs w:val="22"/>
        </w:rPr>
      </w:pPr>
      <w:r w:rsidRPr="00DC7B59">
        <w:rPr>
          <w:rFonts w:asciiTheme="minorHAnsi" w:hAnsiTheme="minorHAnsi" w:cs="Tahoma"/>
          <w:bCs/>
          <w:sz w:val="22"/>
          <w:szCs w:val="22"/>
        </w:rPr>
        <w:t>výdaj za zboží, činnosti, služby a nájem poskytovaný pro příjemce dotace právnickou osobou, jejíž statutární zástupce či člen statutárního orgánu je současně statutárním zástupcem či členem statutárního nebo kontrolního orgánu příjemce dotace</w:t>
      </w:r>
      <w:r w:rsidRPr="00DC7B59">
        <w:rPr>
          <w:rFonts w:asciiTheme="minorHAnsi" w:hAnsiTheme="minorHAnsi" w:cs="Tahoma"/>
          <w:sz w:val="22"/>
          <w:szCs w:val="22"/>
        </w:rPr>
        <w:t xml:space="preserve">,  </w:t>
      </w:r>
    </w:p>
    <w:p w:rsidR="00DC7B59" w:rsidRPr="00DC7B59" w:rsidRDefault="00DC7B59" w:rsidP="00DC7B59">
      <w:pPr>
        <w:numPr>
          <w:ilvl w:val="0"/>
          <w:numId w:val="13"/>
        </w:numPr>
        <w:tabs>
          <w:tab w:val="left" w:pos="360"/>
        </w:tabs>
        <w:suppressAutoHyphens/>
        <w:spacing w:before="120"/>
        <w:ind w:left="709" w:hanging="283"/>
        <w:contextualSpacing/>
        <w:jc w:val="both"/>
        <w:rPr>
          <w:rFonts w:asciiTheme="minorHAnsi" w:hAnsiTheme="minorHAnsi" w:cs="Tahoma"/>
          <w:sz w:val="22"/>
          <w:szCs w:val="22"/>
        </w:rPr>
      </w:pPr>
      <w:r w:rsidRPr="00DC7B59">
        <w:rPr>
          <w:rFonts w:asciiTheme="minorHAnsi" w:hAnsiTheme="minorHAnsi" w:cs="Tahoma"/>
          <w:sz w:val="22"/>
          <w:szCs w:val="22"/>
        </w:rPr>
        <w:t>daň z přidané hodnoty, pokud je příjemce plátcem této daně a vzniká mu nárok na odpočet této daně,</w:t>
      </w:r>
    </w:p>
    <w:p w:rsidR="00DC7B59" w:rsidRPr="00DC7B59" w:rsidRDefault="00DC7B59" w:rsidP="00DC7B59">
      <w:pPr>
        <w:numPr>
          <w:ilvl w:val="0"/>
          <w:numId w:val="13"/>
        </w:numPr>
        <w:tabs>
          <w:tab w:val="left" w:pos="360"/>
        </w:tabs>
        <w:suppressAutoHyphens/>
        <w:spacing w:before="120"/>
        <w:ind w:left="709" w:hanging="283"/>
        <w:contextualSpacing/>
        <w:jc w:val="both"/>
        <w:rPr>
          <w:rFonts w:asciiTheme="minorHAnsi" w:hAnsiTheme="minorHAnsi" w:cs="Tahoma"/>
          <w:sz w:val="22"/>
          <w:szCs w:val="22"/>
        </w:rPr>
      </w:pPr>
      <w:r w:rsidRPr="00DC7B59">
        <w:rPr>
          <w:rFonts w:asciiTheme="minorHAnsi" w:hAnsiTheme="minorHAnsi" w:cs="Tahoma"/>
          <w:sz w:val="22"/>
          <w:szCs w:val="22"/>
        </w:rPr>
        <w:t>další náklady uvedené v  Pravidlech.</w:t>
      </w:r>
    </w:p>
    <w:p w:rsidR="00DC7B59" w:rsidRPr="00DC7B59" w:rsidRDefault="00DC7B59" w:rsidP="00DC7B59">
      <w:pPr>
        <w:jc w:val="both"/>
        <w:rPr>
          <w:rFonts w:asciiTheme="minorHAnsi" w:hAnsiTheme="minorHAnsi"/>
          <w:sz w:val="22"/>
          <w:szCs w:val="22"/>
        </w:rPr>
      </w:pPr>
    </w:p>
    <w:p w:rsidR="00DC7B59" w:rsidRPr="00DC7B59" w:rsidRDefault="00DC7B59" w:rsidP="00DC7B59">
      <w:pPr>
        <w:jc w:val="both"/>
        <w:rPr>
          <w:rFonts w:asciiTheme="minorHAnsi" w:hAnsiTheme="minorHAnsi"/>
          <w:sz w:val="22"/>
          <w:szCs w:val="22"/>
        </w:rPr>
      </w:pPr>
    </w:p>
    <w:p w:rsidR="00DC7B59" w:rsidRPr="00DC7B59" w:rsidRDefault="00DC7B59" w:rsidP="00DC7B59">
      <w:pPr>
        <w:jc w:val="center"/>
        <w:rPr>
          <w:rFonts w:asciiTheme="minorHAnsi" w:hAnsiTheme="minorHAnsi"/>
          <w:b/>
        </w:rPr>
      </w:pPr>
      <w:r w:rsidRPr="00DC7B59">
        <w:rPr>
          <w:rFonts w:asciiTheme="minorHAnsi" w:hAnsiTheme="minorHAnsi"/>
          <w:b/>
        </w:rPr>
        <w:t>IX. Důsledky porušení povinností příjemce</w:t>
      </w:r>
    </w:p>
    <w:p w:rsidR="00DC7B59" w:rsidRPr="00DC7B59" w:rsidRDefault="00DC7B59" w:rsidP="00DC7B59">
      <w:pPr>
        <w:jc w:val="center"/>
        <w:rPr>
          <w:rFonts w:asciiTheme="minorHAnsi" w:hAnsiTheme="minorHAnsi"/>
          <w:b/>
          <w:sz w:val="22"/>
          <w:szCs w:val="22"/>
        </w:rPr>
      </w:pPr>
    </w:p>
    <w:p w:rsidR="00DC7B59" w:rsidRPr="00DC7B59" w:rsidRDefault="00DC7B59" w:rsidP="00DC7B59">
      <w:pPr>
        <w:numPr>
          <w:ilvl w:val="0"/>
          <w:numId w:val="3"/>
        </w:numPr>
        <w:tabs>
          <w:tab w:val="num" w:pos="284"/>
        </w:tabs>
        <w:autoSpaceDE w:val="0"/>
        <w:autoSpaceDN w:val="0"/>
        <w:adjustRightInd w:val="0"/>
        <w:ind w:left="284" w:hanging="284"/>
        <w:contextualSpacing/>
        <w:jc w:val="both"/>
        <w:rPr>
          <w:rFonts w:asciiTheme="minorHAnsi" w:eastAsiaTheme="minorHAnsi" w:hAnsiTheme="minorHAnsi" w:cs="Arial"/>
          <w:color w:val="000000"/>
          <w:sz w:val="22"/>
          <w:szCs w:val="22"/>
          <w:lang w:eastAsia="en-US"/>
        </w:rPr>
      </w:pPr>
      <w:r w:rsidRPr="00DC7B59">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rsidR="00DC7B59" w:rsidRPr="00DC7B59" w:rsidRDefault="00DC7B59" w:rsidP="00DC7B59">
      <w:pPr>
        <w:autoSpaceDE w:val="0"/>
        <w:autoSpaceDN w:val="0"/>
        <w:adjustRightInd w:val="0"/>
        <w:ind w:left="284"/>
        <w:contextualSpacing/>
        <w:jc w:val="both"/>
        <w:rPr>
          <w:rFonts w:asciiTheme="minorHAnsi" w:eastAsiaTheme="minorHAnsi" w:hAnsiTheme="minorHAnsi" w:cs="Arial"/>
          <w:color w:val="000000"/>
          <w:sz w:val="22"/>
          <w:szCs w:val="22"/>
          <w:lang w:eastAsia="en-US"/>
        </w:rPr>
      </w:pPr>
      <w:r w:rsidRPr="00DC7B59">
        <w:rPr>
          <w:rFonts w:asciiTheme="minorHAnsi" w:eastAsiaTheme="minorHAnsi" w:hAnsiTheme="minorHAnsi" w:cs="Arial"/>
          <w:color w:val="000000"/>
          <w:sz w:val="22"/>
          <w:szCs w:val="22"/>
          <w:lang w:eastAsia="en-US"/>
        </w:rPr>
        <w:t xml:space="preserve"> </w:t>
      </w:r>
    </w:p>
    <w:p w:rsidR="00DC7B59" w:rsidRPr="00DC7B59" w:rsidRDefault="00DC7B59" w:rsidP="00DC7B59">
      <w:pPr>
        <w:numPr>
          <w:ilvl w:val="0"/>
          <w:numId w:val="3"/>
        </w:numPr>
        <w:tabs>
          <w:tab w:val="num" w:pos="284"/>
        </w:tabs>
        <w:ind w:left="284" w:hanging="284"/>
        <w:jc w:val="both"/>
        <w:rPr>
          <w:rFonts w:asciiTheme="minorHAnsi" w:hAnsiTheme="minorHAnsi"/>
          <w:sz w:val="22"/>
          <w:szCs w:val="22"/>
        </w:rPr>
      </w:pPr>
      <w:r w:rsidRPr="00DC7B59">
        <w:rPr>
          <w:rFonts w:asciiTheme="minorHAnsi" w:hAnsiTheme="minorHAnsi"/>
          <w:sz w:val="22"/>
          <w:szCs w:val="22"/>
        </w:rPr>
        <w:t>V případě porušení rozpočtové kázně postupuje poskytovatel v souladu s </w:t>
      </w:r>
      <w:proofErr w:type="spellStart"/>
      <w:r w:rsidRPr="00DC7B59">
        <w:rPr>
          <w:rFonts w:asciiTheme="minorHAnsi" w:hAnsiTheme="minorHAnsi"/>
          <w:sz w:val="22"/>
          <w:szCs w:val="22"/>
        </w:rPr>
        <w:t>ust</w:t>
      </w:r>
      <w:proofErr w:type="spellEnd"/>
      <w:r w:rsidRPr="00DC7B59">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rsidR="00DC7B59" w:rsidRPr="00DC7B59" w:rsidRDefault="00DC7B59" w:rsidP="00DC7B59">
      <w:pPr>
        <w:numPr>
          <w:ilvl w:val="1"/>
          <w:numId w:val="16"/>
        </w:numPr>
        <w:tabs>
          <w:tab w:val="num" w:pos="284"/>
        </w:tabs>
        <w:ind w:left="709" w:hanging="425"/>
        <w:contextualSpacing/>
        <w:jc w:val="both"/>
        <w:rPr>
          <w:rFonts w:asciiTheme="minorHAnsi" w:hAnsiTheme="minorHAnsi"/>
          <w:sz w:val="22"/>
          <w:szCs w:val="22"/>
        </w:rPr>
      </w:pPr>
      <w:r w:rsidRPr="00DC7B59">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rsidR="00DC7B59" w:rsidRPr="00DC7B59" w:rsidRDefault="00DC7B59" w:rsidP="00DC7B59">
      <w:pPr>
        <w:numPr>
          <w:ilvl w:val="1"/>
          <w:numId w:val="16"/>
        </w:numPr>
        <w:tabs>
          <w:tab w:val="num" w:pos="284"/>
        </w:tabs>
        <w:ind w:left="709" w:hanging="425"/>
        <w:contextualSpacing/>
        <w:jc w:val="both"/>
        <w:rPr>
          <w:rFonts w:asciiTheme="minorHAnsi" w:hAnsiTheme="minorHAnsi"/>
          <w:sz w:val="22"/>
          <w:szCs w:val="22"/>
        </w:rPr>
      </w:pPr>
      <w:r w:rsidRPr="00DC7B59">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rsidR="00DC7B59" w:rsidRPr="00DC7B59" w:rsidRDefault="00DC7B59" w:rsidP="00DC7B59">
      <w:pPr>
        <w:numPr>
          <w:ilvl w:val="1"/>
          <w:numId w:val="16"/>
        </w:numPr>
        <w:tabs>
          <w:tab w:val="num" w:pos="284"/>
        </w:tabs>
        <w:ind w:left="709" w:hanging="425"/>
        <w:contextualSpacing/>
        <w:jc w:val="both"/>
        <w:rPr>
          <w:rFonts w:asciiTheme="minorHAnsi" w:hAnsiTheme="minorHAnsi"/>
          <w:sz w:val="22"/>
          <w:szCs w:val="22"/>
        </w:rPr>
      </w:pPr>
      <w:r w:rsidRPr="00DC7B59">
        <w:rPr>
          <w:rFonts w:asciiTheme="minorHAnsi" w:hAnsiTheme="minorHAnsi"/>
          <w:sz w:val="22"/>
          <w:szCs w:val="22"/>
        </w:rPr>
        <w:t>neprokáže-li příjemce peněžních prostředků, jak byly tyto prostředky použity.</w:t>
      </w:r>
    </w:p>
    <w:p w:rsidR="00DC7B59" w:rsidRPr="00DC7B59" w:rsidRDefault="00DC7B59" w:rsidP="00DC7B59">
      <w:pPr>
        <w:numPr>
          <w:ilvl w:val="0"/>
          <w:numId w:val="3"/>
        </w:numPr>
        <w:tabs>
          <w:tab w:val="num" w:pos="284"/>
        </w:tabs>
        <w:autoSpaceDE w:val="0"/>
        <w:autoSpaceDN w:val="0"/>
        <w:adjustRightInd w:val="0"/>
        <w:ind w:left="284" w:hanging="284"/>
        <w:contextualSpacing/>
        <w:jc w:val="both"/>
        <w:rPr>
          <w:rFonts w:asciiTheme="minorHAnsi" w:eastAsiaTheme="minorHAnsi" w:hAnsiTheme="minorHAnsi" w:cs="Arial"/>
          <w:color w:val="000000"/>
          <w:sz w:val="22"/>
          <w:szCs w:val="22"/>
          <w:lang w:eastAsia="en-US"/>
        </w:rPr>
      </w:pPr>
      <w:r w:rsidRPr="00DC7B59">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1 promile z částky odvodu za každý den prodlení, nejvýše však do výše tohoto odvodu. </w:t>
      </w:r>
    </w:p>
    <w:p w:rsidR="00DC7B59" w:rsidRPr="00DC7B59" w:rsidRDefault="00DC7B59" w:rsidP="00DC7B59">
      <w:pPr>
        <w:jc w:val="both"/>
        <w:rPr>
          <w:rFonts w:asciiTheme="minorHAnsi" w:hAnsiTheme="minorHAnsi"/>
          <w:sz w:val="22"/>
          <w:szCs w:val="22"/>
        </w:rPr>
      </w:pPr>
    </w:p>
    <w:p w:rsidR="00DC7B59" w:rsidRPr="00DC7B59" w:rsidRDefault="00DC7B59" w:rsidP="00DC7B59">
      <w:pPr>
        <w:numPr>
          <w:ilvl w:val="0"/>
          <w:numId w:val="3"/>
        </w:numPr>
        <w:ind w:left="284" w:hanging="284"/>
        <w:jc w:val="both"/>
        <w:rPr>
          <w:rFonts w:asciiTheme="minorHAnsi" w:hAnsiTheme="minorHAnsi"/>
          <w:sz w:val="22"/>
          <w:szCs w:val="22"/>
        </w:rPr>
      </w:pPr>
      <w:r w:rsidRPr="00DC7B59">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podmínek ve smyslu </w:t>
      </w:r>
      <w:proofErr w:type="spellStart"/>
      <w:r w:rsidRPr="00DC7B59">
        <w:rPr>
          <w:rFonts w:asciiTheme="minorHAnsi" w:hAnsiTheme="minorHAnsi"/>
          <w:sz w:val="22"/>
          <w:szCs w:val="22"/>
        </w:rPr>
        <w:t>ust</w:t>
      </w:r>
      <w:proofErr w:type="spellEnd"/>
      <w:r w:rsidRPr="00DC7B59">
        <w:rPr>
          <w:rFonts w:asciiTheme="minorHAnsi" w:hAnsiTheme="minorHAnsi"/>
          <w:sz w:val="22"/>
          <w:szCs w:val="22"/>
        </w:rPr>
        <w:t>. § 10a odst. 6 zákona o rozpočtových pravidlech územních rozpočtů se považuje:</w:t>
      </w:r>
    </w:p>
    <w:p w:rsidR="00DC7B59" w:rsidRPr="00DC7B59" w:rsidRDefault="00DC7B59" w:rsidP="00DC7B59">
      <w:pPr>
        <w:numPr>
          <w:ilvl w:val="0"/>
          <w:numId w:val="11"/>
        </w:numPr>
        <w:ind w:left="567" w:hanging="283"/>
        <w:contextualSpacing/>
        <w:jc w:val="both"/>
        <w:rPr>
          <w:rFonts w:ascii="Calibri" w:hAnsi="Calibri"/>
          <w:sz w:val="22"/>
          <w:szCs w:val="22"/>
        </w:rPr>
      </w:pPr>
      <w:r w:rsidRPr="00DC7B59">
        <w:rPr>
          <w:rFonts w:asciiTheme="minorHAnsi" w:hAnsiTheme="minorHAnsi"/>
          <w:sz w:val="22"/>
          <w:szCs w:val="22"/>
        </w:rPr>
        <w:t xml:space="preserve">předložení vyúčtování dotace v termínu do 15 kalendářních dnů po stanovené lhůtě; </w:t>
      </w:r>
      <w:r w:rsidRPr="00DC7B59">
        <w:rPr>
          <w:rFonts w:ascii="Calibri" w:hAnsi="Calibri"/>
          <w:sz w:val="22"/>
          <w:szCs w:val="22"/>
        </w:rPr>
        <w:t xml:space="preserve">v tomto případě činí odvod za porušení rozpočtové kázně 10 % z poskytnuté dotace,  </w:t>
      </w:r>
    </w:p>
    <w:p w:rsidR="00DC7B59" w:rsidRPr="00DC7B59" w:rsidRDefault="00DC7B59" w:rsidP="00DC7B59">
      <w:pPr>
        <w:numPr>
          <w:ilvl w:val="0"/>
          <w:numId w:val="11"/>
        </w:numPr>
        <w:ind w:left="567" w:hanging="283"/>
        <w:contextualSpacing/>
        <w:jc w:val="both"/>
        <w:rPr>
          <w:rFonts w:asciiTheme="minorHAnsi" w:hAnsiTheme="minorHAnsi"/>
          <w:sz w:val="22"/>
          <w:szCs w:val="22"/>
        </w:rPr>
      </w:pPr>
      <w:r w:rsidRPr="00DC7B59">
        <w:rPr>
          <w:rFonts w:asciiTheme="minorHAnsi" w:hAnsiTheme="minorHAnsi"/>
          <w:sz w:val="22"/>
          <w:szCs w:val="22"/>
        </w:rPr>
        <w:t xml:space="preserve">oznámení změny identifikačních údajů poskytovateli v termínu do 15 kalendářních dnů po stanovené lhůtě; </w:t>
      </w:r>
      <w:r w:rsidRPr="00DC7B59">
        <w:rPr>
          <w:rFonts w:ascii="Calibri" w:hAnsi="Calibri"/>
          <w:sz w:val="22"/>
          <w:szCs w:val="22"/>
        </w:rPr>
        <w:t xml:space="preserve">v tomto případě činí odvod za porušení rozpočtové kázně 5 % z poskytnuté dotace, </w:t>
      </w:r>
    </w:p>
    <w:p w:rsidR="00DC7B59" w:rsidRPr="00DC7B59" w:rsidRDefault="00DC7B59" w:rsidP="00DC7B59">
      <w:pPr>
        <w:numPr>
          <w:ilvl w:val="0"/>
          <w:numId w:val="11"/>
        </w:numPr>
        <w:ind w:left="567" w:hanging="283"/>
        <w:contextualSpacing/>
        <w:jc w:val="both"/>
        <w:rPr>
          <w:rFonts w:asciiTheme="minorHAnsi" w:hAnsiTheme="minorHAnsi"/>
          <w:sz w:val="22"/>
          <w:szCs w:val="22"/>
        </w:rPr>
      </w:pPr>
      <w:r w:rsidRPr="00DC7B59">
        <w:rPr>
          <w:rFonts w:ascii="Calibri" w:hAnsi="Calibri"/>
          <w:sz w:val="22"/>
          <w:szCs w:val="22"/>
        </w:rPr>
        <w:lastRenderedPageBreak/>
        <w:t>porušení povinnosti uvedené v čl. VI. odst. 1 písm. e) této smlouvy; v tomto případě činí odvod za porušení rozpočtové kázně 10 % z poskytnuté dotace,</w:t>
      </w:r>
    </w:p>
    <w:p w:rsidR="00DC7B59" w:rsidRPr="00DC7B59" w:rsidRDefault="00DC7B59" w:rsidP="00DC7B59">
      <w:pPr>
        <w:numPr>
          <w:ilvl w:val="0"/>
          <w:numId w:val="11"/>
        </w:numPr>
        <w:ind w:left="567" w:hanging="283"/>
        <w:contextualSpacing/>
        <w:jc w:val="both"/>
        <w:rPr>
          <w:rFonts w:asciiTheme="minorHAnsi" w:hAnsiTheme="minorHAnsi"/>
          <w:sz w:val="22"/>
          <w:szCs w:val="22"/>
        </w:rPr>
      </w:pPr>
      <w:r w:rsidRPr="00DC7B59">
        <w:rPr>
          <w:rFonts w:ascii="Calibri" w:hAnsi="Calibri"/>
          <w:sz w:val="22"/>
          <w:szCs w:val="22"/>
        </w:rPr>
        <w:t>porušení povinnosti uvedené v čl. VI. odst. 1 písm. k) této smlouvy; v tomto případě činí odvod za porušení rozpočtové kázně 10 % z poskytnuté dotace.</w:t>
      </w:r>
    </w:p>
    <w:p w:rsidR="00DC7B59" w:rsidRPr="00DC7B59" w:rsidRDefault="00DC7B59" w:rsidP="00DC7B59">
      <w:pPr>
        <w:jc w:val="both"/>
        <w:rPr>
          <w:rFonts w:asciiTheme="minorHAnsi" w:hAnsiTheme="minorHAnsi"/>
          <w:sz w:val="22"/>
          <w:szCs w:val="22"/>
        </w:rPr>
      </w:pPr>
    </w:p>
    <w:p w:rsidR="00DC7B59" w:rsidRPr="00DC7B59" w:rsidRDefault="00DC7B59" w:rsidP="00DC7B59">
      <w:pPr>
        <w:jc w:val="both"/>
        <w:rPr>
          <w:rFonts w:asciiTheme="minorHAnsi" w:hAnsiTheme="minorHAnsi"/>
          <w:sz w:val="22"/>
          <w:szCs w:val="22"/>
        </w:rPr>
      </w:pPr>
    </w:p>
    <w:p w:rsidR="00DC7B59" w:rsidRPr="00DC7B59" w:rsidRDefault="00DC7B59" w:rsidP="00DC7B59">
      <w:pPr>
        <w:keepLines/>
        <w:ind w:left="426" w:hanging="426"/>
        <w:jc w:val="center"/>
        <w:rPr>
          <w:rFonts w:asciiTheme="minorHAnsi" w:hAnsiTheme="minorHAnsi"/>
          <w:b/>
        </w:rPr>
      </w:pPr>
      <w:r w:rsidRPr="00DC7B59">
        <w:rPr>
          <w:rFonts w:asciiTheme="minorHAnsi" w:hAnsiTheme="minorHAnsi"/>
          <w:b/>
        </w:rPr>
        <w:t>X. Zvláštní ustanovení</w:t>
      </w:r>
    </w:p>
    <w:p w:rsidR="00DC7B59" w:rsidRPr="00DC7B59" w:rsidRDefault="00DC7B59" w:rsidP="00DC7B59">
      <w:pPr>
        <w:keepLines/>
        <w:ind w:left="426" w:hanging="426"/>
        <w:jc w:val="center"/>
        <w:rPr>
          <w:rFonts w:asciiTheme="minorHAnsi" w:hAnsiTheme="minorHAnsi"/>
          <w:b/>
        </w:rPr>
      </w:pPr>
    </w:p>
    <w:p w:rsidR="00DC7B59" w:rsidRPr="00DC7B59" w:rsidRDefault="00DC7B59" w:rsidP="00DC7B59">
      <w:pPr>
        <w:keepLines/>
        <w:numPr>
          <w:ilvl w:val="0"/>
          <w:numId w:val="12"/>
        </w:numPr>
        <w:ind w:left="426" w:hanging="426"/>
        <w:contextualSpacing/>
        <w:jc w:val="both"/>
        <w:rPr>
          <w:rFonts w:asciiTheme="minorHAnsi" w:hAnsiTheme="minorHAnsi"/>
          <w:sz w:val="22"/>
          <w:szCs w:val="22"/>
        </w:rPr>
      </w:pPr>
      <w:r w:rsidRPr="00DC7B59">
        <w:rPr>
          <w:rFonts w:asciiTheme="minorHAnsi" w:hAnsiTheme="minorHAnsi"/>
          <w:sz w:val="22"/>
          <w:szCs w:val="22"/>
        </w:rPr>
        <w:t>V souladu s </w:t>
      </w:r>
      <w:proofErr w:type="spellStart"/>
      <w:r w:rsidRPr="00DC7B59">
        <w:rPr>
          <w:rFonts w:asciiTheme="minorHAnsi" w:hAnsiTheme="minorHAnsi"/>
          <w:sz w:val="22"/>
          <w:szCs w:val="22"/>
        </w:rPr>
        <w:t>ust</w:t>
      </w:r>
      <w:proofErr w:type="spellEnd"/>
      <w:r w:rsidRPr="00DC7B59">
        <w:rPr>
          <w:rFonts w:asciiTheme="minorHAnsi" w:hAnsiTheme="minorHAnsi"/>
          <w:sz w:val="22"/>
          <w:szCs w:val="22"/>
        </w:rPr>
        <w:t xml:space="preserve">. § 10a zákona o rozpočtových pravidlech územních rozpočtů se tato smlouva uzavírá jako smlouva veřejnoprávní. </w:t>
      </w:r>
    </w:p>
    <w:p w:rsidR="00DC7B59" w:rsidRPr="00DC7B59" w:rsidRDefault="00DC7B59" w:rsidP="00DC7B59">
      <w:pPr>
        <w:keepLines/>
        <w:jc w:val="both"/>
        <w:rPr>
          <w:rFonts w:asciiTheme="minorHAnsi" w:hAnsiTheme="minorHAnsi"/>
          <w:sz w:val="22"/>
          <w:szCs w:val="22"/>
        </w:rPr>
      </w:pPr>
    </w:p>
    <w:p w:rsidR="00DC7B59" w:rsidRPr="00DC7B59" w:rsidRDefault="00DC7B59" w:rsidP="00DC7B59">
      <w:pPr>
        <w:keepLines/>
        <w:numPr>
          <w:ilvl w:val="0"/>
          <w:numId w:val="12"/>
        </w:numPr>
        <w:ind w:left="426" w:hanging="426"/>
        <w:contextualSpacing/>
        <w:jc w:val="both"/>
        <w:rPr>
          <w:rFonts w:asciiTheme="minorHAnsi" w:hAnsiTheme="minorHAnsi"/>
          <w:sz w:val="22"/>
          <w:szCs w:val="22"/>
        </w:rPr>
      </w:pPr>
      <w:r w:rsidRPr="00DC7B59">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rsidR="00DC7B59" w:rsidRPr="00DC7B59" w:rsidRDefault="00DC7B59" w:rsidP="00DC7B59">
      <w:pPr>
        <w:ind w:left="426" w:hanging="426"/>
        <w:rPr>
          <w:rFonts w:asciiTheme="minorHAnsi" w:hAnsiTheme="minorHAnsi"/>
          <w:sz w:val="22"/>
          <w:szCs w:val="22"/>
        </w:rPr>
      </w:pPr>
    </w:p>
    <w:p w:rsidR="00DC7B59" w:rsidRPr="00DC7B59" w:rsidRDefault="00DC7B59" w:rsidP="00DC7B59">
      <w:pPr>
        <w:rPr>
          <w:rFonts w:asciiTheme="minorHAnsi" w:hAnsiTheme="minorHAnsi"/>
          <w:sz w:val="22"/>
          <w:szCs w:val="22"/>
        </w:rPr>
      </w:pPr>
    </w:p>
    <w:p w:rsidR="00DC7B59" w:rsidRDefault="00DC7B59" w:rsidP="00DC7B59">
      <w:pPr>
        <w:rPr>
          <w:rFonts w:asciiTheme="minorHAnsi" w:hAnsiTheme="minorHAnsi"/>
          <w:sz w:val="22"/>
          <w:szCs w:val="22"/>
        </w:rPr>
      </w:pPr>
    </w:p>
    <w:p w:rsidR="00DC7B59" w:rsidRPr="00DC7B59" w:rsidRDefault="00DC7B59" w:rsidP="00DC7B59">
      <w:pPr>
        <w:jc w:val="center"/>
        <w:rPr>
          <w:rFonts w:asciiTheme="minorHAnsi" w:hAnsiTheme="minorHAnsi"/>
          <w:b/>
        </w:rPr>
      </w:pPr>
      <w:r w:rsidRPr="00DC7B59">
        <w:rPr>
          <w:rFonts w:asciiTheme="minorHAnsi" w:hAnsiTheme="minorHAnsi"/>
          <w:b/>
        </w:rPr>
        <w:t>XI. Závěrečná ustanovení</w:t>
      </w:r>
    </w:p>
    <w:p w:rsidR="00DC7B59" w:rsidRPr="00DC7B59" w:rsidRDefault="00DC7B59" w:rsidP="00DC7B59">
      <w:pPr>
        <w:ind w:left="426" w:hanging="426"/>
        <w:jc w:val="center"/>
        <w:rPr>
          <w:rFonts w:asciiTheme="minorHAnsi" w:hAnsiTheme="minorHAnsi"/>
          <w:sz w:val="22"/>
          <w:szCs w:val="22"/>
        </w:rPr>
      </w:pPr>
    </w:p>
    <w:p w:rsidR="00DC7B59" w:rsidRPr="00DC7B59" w:rsidRDefault="00DC7B59" w:rsidP="00DC7B59">
      <w:pPr>
        <w:numPr>
          <w:ilvl w:val="0"/>
          <w:numId w:val="18"/>
        </w:numPr>
        <w:tabs>
          <w:tab w:val="num" w:pos="540"/>
        </w:tabs>
        <w:ind w:left="540" w:hanging="540"/>
        <w:jc w:val="both"/>
        <w:outlineLvl w:val="0"/>
        <w:rPr>
          <w:rFonts w:asciiTheme="minorHAnsi" w:hAnsiTheme="minorHAnsi" w:cstheme="minorHAnsi"/>
          <w:sz w:val="22"/>
          <w:szCs w:val="22"/>
        </w:rPr>
      </w:pPr>
      <w:r w:rsidRPr="00DC7B59">
        <w:rPr>
          <w:rFonts w:asciiTheme="minorHAnsi" w:hAnsiTheme="minorHAnsi" w:cstheme="minorHAnsi"/>
          <w:sz w:val="22"/>
          <w:szCs w:val="22"/>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rsidR="00DC7B59" w:rsidRPr="00DC7B59" w:rsidRDefault="00DC7B59" w:rsidP="00DC7B59"/>
    <w:p w:rsidR="00DC7B59" w:rsidRPr="00DC7B59" w:rsidRDefault="00DC7B59" w:rsidP="00DC7B59">
      <w:pPr>
        <w:numPr>
          <w:ilvl w:val="0"/>
          <w:numId w:val="18"/>
        </w:numPr>
        <w:tabs>
          <w:tab w:val="num" w:pos="540"/>
        </w:tabs>
        <w:autoSpaceDE w:val="0"/>
        <w:autoSpaceDN w:val="0"/>
        <w:adjustRightInd w:val="0"/>
        <w:ind w:left="540" w:hanging="540"/>
        <w:jc w:val="both"/>
        <w:rPr>
          <w:rFonts w:asciiTheme="minorHAnsi" w:hAnsiTheme="minorHAnsi" w:cstheme="minorHAnsi"/>
          <w:sz w:val="22"/>
          <w:szCs w:val="22"/>
        </w:rPr>
      </w:pPr>
      <w:r w:rsidRPr="00DC7B5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rsidR="00DC7B59" w:rsidRPr="00DC7B59" w:rsidRDefault="00DC7B59" w:rsidP="00DC7B59">
      <w:pPr>
        <w:autoSpaceDE w:val="0"/>
        <w:autoSpaceDN w:val="0"/>
        <w:adjustRightInd w:val="0"/>
        <w:jc w:val="both"/>
        <w:rPr>
          <w:rFonts w:asciiTheme="minorHAnsi" w:hAnsiTheme="minorHAnsi" w:cstheme="minorHAnsi"/>
          <w:sz w:val="22"/>
          <w:szCs w:val="22"/>
        </w:rPr>
      </w:pPr>
    </w:p>
    <w:p w:rsidR="00DC7B59" w:rsidRPr="00DC7B59" w:rsidRDefault="00DC7B59" w:rsidP="00DC7B59">
      <w:pPr>
        <w:numPr>
          <w:ilvl w:val="0"/>
          <w:numId w:val="18"/>
        </w:numPr>
        <w:tabs>
          <w:tab w:val="num" w:pos="540"/>
        </w:tabs>
        <w:autoSpaceDE w:val="0"/>
        <w:autoSpaceDN w:val="0"/>
        <w:adjustRightInd w:val="0"/>
        <w:ind w:left="540" w:hanging="540"/>
        <w:jc w:val="both"/>
        <w:rPr>
          <w:rFonts w:asciiTheme="minorHAnsi" w:hAnsiTheme="minorHAnsi" w:cstheme="minorHAnsi"/>
          <w:sz w:val="22"/>
          <w:szCs w:val="22"/>
        </w:rPr>
      </w:pPr>
      <w:r w:rsidRPr="00DC7B5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rsidR="00DC7B59" w:rsidRPr="00DC7B59" w:rsidRDefault="00DC7B59" w:rsidP="00DC7B59">
      <w:pPr>
        <w:autoSpaceDE w:val="0"/>
        <w:autoSpaceDN w:val="0"/>
        <w:adjustRightInd w:val="0"/>
        <w:ind w:left="540"/>
        <w:jc w:val="both"/>
        <w:rPr>
          <w:rFonts w:asciiTheme="minorHAnsi" w:hAnsiTheme="minorHAnsi" w:cstheme="minorHAnsi"/>
          <w:sz w:val="22"/>
          <w:szCs w:val="22"/>
        </w:rPr>
      </w:pPr>
    </w:p>
    <w:p w:rsidR="00DC7B59" w:rsidRPr="00DC7B59" w:rsidRDefault="00DC7B59" w:rsidP="00DC7B59">
      <w:pPr>
        <w:numPr>
          <w:ilvl w:val="0"/>
          <w:numId w:val="18"/>
        </w:numPr>
        <w:tabs>
          <w:tab w:val="num" w:pos="540"/>
        </w:tabs>
        <w:autoSpaceDE w:val="0"/>
        <w:autoSpaceDN w:val="0"/>
        <w:adjustRightInd w:val="0"/>
        <w:ind w:left="540" w:hanging="540"/>
        <w:jc w:val="both"/>
        <w:rPr>
          <w:rFonts w:asciiTheme="minorHAnsi" w:hAnsiTheme="minorHAnsi" w:cstheme="minorHAnsi"/>
          <w:sz w:val="22"/>
          <w:szCs w:val="22"/>
        </w:rPr>
      </w:pPr>
      <w:r w:rsidRPr="00DC7B5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rsidR="00DC7B59" w:rsidRPr="00DC7B59" w:rsidRDefault="00DC7B59" w:rsidP="00DC7B59">
      <w:pPr>
        <w:ind w:left="720"/>
        <w:contextualSpacing/>
        <w:rPr>
          <w:rFonts w:asciiTheme="minorHAnsi" w:hAnsiTheme="minorHAnsi" w:cstheme="minorHAnsi"/>
          <w:sz w:val="22"/>
          <w:szCs w:val="22"/>
        </w:rPr>
      </w:pPr>
    </w:p>
    <w:p w:rsidR="00DC7B59" w:rsidRPr="00DC7B59" w:rsidRDefault="00DC7B59" w:rsidP="00DC7B59">
      <w:pPr>
        <w:numPr>
          <w:ilvl w:val="0"/>
          <w:numId w:val="18"/>
        </w:numPr>
        <w:autoSpaceDE w:val="0"/>
        <w:autoSpaceDN w:val="0"/>
        <w:adjustRightInd w:val="0"/>
        <w:ind w:left="567" w:hanging="567"/>
        <w:jc w:val="both"/>
        <w:rPr>
          <w:rFonts w:asciiTheme="minorHAnsi" w:eastAsia="Calibri" w:hAnsiTheme="minorHAnsi" w:cstheme="minorHAnsi"/>
          <w:sz w:val="22"/>
          <w:szCs w:val="22"/>
          <w:lang w:eastAsia="en-US"/>
        </w:rPr>
      </w:pPr>
      <w:r w:rsidRPr="00DC7B5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rsidR="00DC7B59" w:rsidRPr="00DC7B59" w:rsidRDefault="00DC7B59" w:rsidP="00DC7B59">
      <w:pPr>
        <w:numPr>
          <w:ilvl w:val="0"/>
          <w:numId w:val="18"/>
        </w:numPr>
        <w:autoSpaceDE w:val="0"/>
        <w:autoSpaceDN w:val="0"/>
        <w:adjustRightInd w:val="0"/>
        <w:ind w:left="567" w:hanging="567"/>
        <w:jc w:val="both"/>
        <w:rPr>
          <w:rFonts w:asciiTheme="minorHAnsi" w:eastAsia="Calibri" w:hAnsiTheme="minorHAnsi" w:cstheme="minorHAnsi"/>
          <w:sz w:val="22"/>
          <w:szCs w:val="22"/>
          <w:lang w:eastAsia="en-US"/>
        </w:rPr>
      </w:pPr>
      <w:r w:rsidRPr="00DC7B59">
        <w:rPr>
          <w:rFonts w:asciiTheme="minorHAnsi" w:hAnsiTheme="minorHAnsi" w:cstheme="minorHAnsi"/>
          <w:sz w:val="22"/>
          <w:szCs w:val="22"/>
          <w:lang w:eastAsia="en-US"/>
        </w:rPr>
        <w:t xml:space="preserve">V souladu se zněním předchozího odstavce platí, že pro případ, kdy by smlouva obsahovala osobní údaje, které nejsou zahrnuty ve výše uvedeném výčtu a které zároveň nepodléhají uveřejnění dle příslušných právních předpisů, příjemce uděluje </w:t>
      </w:r>
      <w:r w:rsidRPr="00DC7B59">
        <w:rPr>
          <w:rFonts w:asciiTheme="minorHAnsi" w:eastAsia="Calibri" w:hAnsiTheme="minorHAnsi" w:cstheme="minorHAnsi"/>
          <w:sz w:val="22"/>
          <w:szCs w:val="22"/>
          <w:lang w:eastAsia="en-US"/>
        </w:rPr>
        <w:t>svůj souhlas se zpracováním těchto údajů, konkrétně s jejich zveřejněním v registru smluv ve smyslu zákona o registru smluv. Souhlas se uděluje na dobu neurčitou a je poskytnut dobrovolně</w:t>
      </w:r>
    </w:p>
    <w:p w:rsidR="00DC7B59" w:rsidRPr="00DC7B59" w:rsidRDefault="00DC7B59" w:rsidP="00DC7B59">
      <w:pPr>
        <w:ind w:left="720"/>
        <w:contextualSpacing/>
        <w:rPr>
          <w:rFonts w:asciiTheme="minorHAnsi" w:eastAsia="Calibri" w:hAnsiTheme="minorHAnsi" w:cstheme="minorHAnsi"/>
          <w:sz w:val="22"/>
          <w:szCs w:val="22"/>
          <w:lang w:eastAsia="en-US"/>
        </w:rPr>
      </w:pPr>
    </w:p>
    <w:p w:rsidR="00DC7B59" w:rsidRPr="00DC7B59" w:rsidRDefault="00DC7B59" w:rsidP="00DC7B59">
      <w:pPr>
        <w:numPr>
          <w:ilvl w:val="0"/>
          <w:numId w:val="18"/>
        </w:numPr>
        <w:autoSpaceDE w:val="0"/>
        <w:autoSpaceDN w:val="0"/>
        <w:adjustRightInd w:val="0"/>
        <w:ind w:left="567" w:hanging="567"/>
        <w:jc w:val="both"/>
        <w:rPr>
          <w:rFonts w:asciiTheme="minorHAnsi" w:eastAsia="Calibri" w:hAnsiTheme="minorHAnsi" w:cstheme="minorHAnsi"/>
          <w:sz w:val="22"/>
          <w:szCs w:val="22"/>
          <w:lang w:eastAsia="en-US"/>
        </w:rPr>
      </w:pPr>
      <w:r w:rsidRPr="00DC7B5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DC7B59" w:rsidRPr="00DC7B59" w:rsidRDefault="00DC7B59" w:rsidP="00DC7B59">
      <w:pPr>
        <w:ind w:left="720"/>
        <w:contextualSpacing/>
        <w:rPr>
          <w:rFonts w:asciiTheme="minorHAnsi" w:eastAsia="Calibri" w:hAnsiTheme="minorHAnsi" w:cstheme="minorHAnsi"/>
          <w:sz w:val="22"/>
          <w:szCs w:val="22"/>
          <w:lang w:eastAsia="en-US"/>
        </w:rPr>
      </w:pPr>
    </w:p>
    <w:p w:rsidR="00DC7B59" w:rsidRPr="00DC7B59" w:rsidRDefault="00DC7B59" w:rsidP="00DC7B59">
      <w:pPr>
        <w:numPr>
          <w:ilvl w:val="0"/>
          <w:numId w:val="18"/>
        </w:numPr>
        <w:autoSpaceDE w:val="0"/>
        <w:autoSpaceDN w:val="0"/>
        <w:adjustRightInd w:val="0"/>
        <w:ind w:left="567" w:hanging="567"/>
        <w:jc w:val="both"/>
        <w:rPr>
          <w:rFonts w:asciiTheme="minorHAnsi" w:eastAsia="Calibri" w:hAnsiTheme="minorHAnsi" w:cstheme="minorHAnsi"/>
          <w:sz w:val="22"/>
          <w:szCs w:val="22"/>
          <w:lang w:eastAsia="en-US"/>
        </w:rPr>
      </w:pPr>
      <w:r w:rsidRPr="00DC7B5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rsidR="00DC7B59" w:rsidRPr="00DC7B59" w:rsidRDefault="00DC7B59" w:rsidP="00DC7B59">
      <w:pPr>
        <w:numPr>
          <w:ilvl w:val="0"/>
          <w:numId w:val="18"/>
        </w:numPr>
        <w:autoSpaceDE w:val="0"/>
        <w:autoSpaceDN w:val="0"/>
        <w:adjustRightInd w:val="0"/>
        <w:ind w:left="567" w:hanging="567"/>
        <w:jc w:val="both"/>
        <w:rPr>
          <w:rFonts w:asciiTheme="minorHAnsi" w:eastAsia="Calibri" w:hAnsiTheme="minorHAnsi" w:cstheme="minorHAnsi"/>
          <w:sz w:val="22"/>
          <w:szCs w:val="22"/>
          <w:lang w:eastAsia="en-US"/>
        </w:rPr>
      </w:pPr>
      <w:r w:rsidRPr="00DC7B59">
        <w:rPr>
          <w:rFonts w:asciiTheme="minorHAnsi" w:hAnsiTheme="minorHAnsi" w:cstheme="minorHAnsi"/>
          <w:sz w:val="22"/>
          <w:szCs w:val="22"/>
        </w:rPr>
        <w:lastRenderedPageBreak/>
        <w:t xml:space="preserve">Tato smlouva je vyhotovena ve dvou stejnopisech, z nichž každá ze smluvních stran obdrží po jednom vyhotovení. </w:t>
      </w:r>
    </w:p>
    <w:p w:rsidR="00DC7B59" w:rsidRPr="00DC7B59" w:rsidRDefault="00DC7B59" w:rsidP="00DC7B59">
      <w:pPr>
        <w:ind w:left="720"/>
        <w:contextualSpacing/>
        <w:rPr>
          <w:rFonts w:asciiTheme="minorHAnsi" w:eastAsia="Calibri" w:hAnsiTheme="minorHAnsi" w:cstheme="minorHAnsi"/>
          <w:sz w:val="22"/>
          <w:szCs w:val="22"/>
          <w:lang w:eastAsia="en-US"/>
        </w:rPr>
      </w:pPr>
    </w:p>
    <w:p w:rsidR="00DC7B59" w:rsidRPr="00DC7B59" w:rsidRDefault="00DC7B59" w:rsidP="00DC7B59">
      <w:pPr>
        <w:numPr>
          <w:ilvl w:val="0"/>
          <w:numId w:val="18"/>
        </w:numPr>
        <w:autoSpaceDE w:val="0"/>
        <w:autoSpaceDN w:val="0"/>
        <w:adjustRightInd w:val="0"/>
        <w:ind w:left="567" w:hanging="567"/>
        <w:jc w:val="both"/>
        <w:rPr>
          <w:rFonts w:asciiTheme="minorHAnsi" w:eastAsia="Calibri" w:hAnsiTheme="minorHAnsi" w:cstheme="minorHAnsi"/>
          <w:sz w:val="22"/>
          <w:szCs w:val="22"/>
          <w:lang w:eastAsia="en-US"/>
        </w:rPr>
      </w:pPr>
      <w:r w:rsidRPr="00DC7B59">
        <w:rPr>
          <w:rFonts w:asciiTheme="minorHAnsi" w:hAnsiTheme="minorHAnsi" w:cs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 podpisy. </w:t>
      </w:r>
    </w:p>
    <w:p w:rsidR="00DC7B59" w:rsidRPr="00DC7B59" w:rsidRDefault="00DC7B59" w:rsidP="00DC7B59">
      <w:pPr>
        <w:jc w:val="both"/>
        <w:rPr>
          <w:rFonts w:asciiTheme="minorHAnsi" w:hAnsiTheme="minorHAnsi"/>
          <w:sz w:val="22"/>
          <w:szCs w:val="22"/>
        </w:rPr>
      </w:pPr>
    </w:p>
    <w:p w:rsidR="00DC7B59" w:rsidRPr="00DC7B59" w:rsidRDefault="00DC7B59" w:rsidP="00DC7B59">
      <w:pPr>
        <w:jc w:val="both"/>
        <w:rPr>
          <w:rFonts w:asciiTheme="minorHAnsi" w:hAnsiTheme="minorHAnsi"/>
          <w:sz w:val="22"/>
          <w:szCs w:val="22"/>
        </w:rPr>
      </w:pPr>
    </w:p>
    <w:p w:rsidR="00DC7B59" w:rsidRPr="00DC7B59" w:rsidRDefault="00DC7B59" w:rsidP="00DC7B59">
      <w:pPr>
        <w:jc w:val="both"/>
        <w:rPr>
          <w:rFonts w:asciiTheme="minorHAnsi" w:hAnsiTheme="minorHAnsi"/>
          <w:sz w:val="22"/>
          <w:szCs w:val="22"/>
        </w:rPr>
      </w:pPr>
      <w:r w:rsidRPr="00DC7B59">
        <w:rPr>
          <w:rFonts w:asciiTheme="minorHAnsi" w:hAnsiTheme="minorHAnsi"/>
          <w:sz w:val="22"/>
          <w:szCs w:val="22"/>
        </w:rPr>
        <w:t>Příloha: č. 1 – rozpočet uznatelných nákladů projektu</w:t>
      </w:r>
    </w:p>
    <w:p w:rsidR="00DC7B59" w:rsidRPr="00DC7B59" w:rsidRDefault="00DC7B59" w:rsidP="00DC7B59">
      <w:pPr>
        <w:jc w:val="both"/>
        <w:rPr>
          <w:rFonts w:asciiTheme="minorHAnsi" w:hAnsiTheme="minorHAnsi"/>
          <w:sz w:val="22"/>
          <w:szCs w:val="22"/>
        </w:rPr>
      </w:pPr>
    </w:p>
    <w:p w:rsidR="00DC7B59" w:rsidRPr="00DC7B59" w:rsidRDefault="00DC7B59" w:rsidP="00DC7B59">
      <w:pPr>
        <w:jc w:val="both"/>
        <w:rPr>
          <w:rFonts w:asciiTheme="minorHAnsi" w:hAnsiTheme="minorHAnsi"/>
          <w:sz w:val="22"/>
          <w:szCs w:val="22"/>
        </w:rPr>
      </w:pPr>
    </w:p>
    <w:p w:rsidR="00DC7B59" w:rsidRPr="00DC7B59" w:rsidRDefault="00DC7B59" w:rsidP="00DC7B59">
      <w:pPr>
        <w:jc w:val="both"/>
        <w:rPr>
          <w:rFonts w:asciiTheme="minorHAnsi" w:hAnsiTheme="minorHAnsi"/>
          <w:sz w:val="22"/>
          <w:szCs w:val="22"/>
        </w:rPr>
      </w:pPr>
    </w:p>
    <w:p w:rsidR="00DC7B59" w:rsidRPr="00DC7B59" w:rsidRDefault="00DC7B59" w:rsidP="00DC7B59">
      <w:pPr>
        <w:jc w:val="both"/>
        <w:rPr>
          <w:rFonts w:asciiTheme="minorHAnsi" w:hAnsiTheme="minorHAnsi"/>
          <w:sz w:val="22"/>
          <w:szCs w:val="22"/>
        </w:rPr>
      </w:pPr>
      <w:r w:rsidRPr="00DC7B59">
        <w:rPr>
          <w:rFonts w:asciiTheme="minorHAnsi" w:hAnsiTheme="minorHAnsi"/>
          <w:sz w:val="22"/>
          <w:szCs w:val="22"/>
        </w:rPr>
        <w:t xml:space="preserve">V Pardubicích dne: </w:t>
      </w:r>
      <w:r w:rsidR="006B6F4B">
        <w:rPr>
          <w:rFonts w:asciiTheme="minorHAnsi" w:hAnsiTheme="minorHAnsi"/>
          <w:sz w:val="22"/>
          <w:szCs w:val="22"/>
        </w:rPr>
        <w:t>18. 2. 2019</w:t>
      </w:r>
      <w:bookmarkStart w:id="0" w:name="_GoBack"/>
      <w:bookmarkEnd w:id="0"/>
    </w:p>
    <w:p w:rsidR="00DC7B59" w:rsidRPr="00DC7B59" w:rsidRDefault="00DC7B59" w:rsidP="00DC7B59">
      <w:pPr>
        <w:tabs>
          <w:tab w:val="left" w:pos="5040"/>
        </w:tabs>
        <w:jc w:val="both"/>
        <w:rPr>
          <w:rFonts w:asciiTheme="minorHAnsi" w:hAnsiTheme="minorHAnsi"/>
          <w:sz w:val="22"/>
          <w:szCs w:val="22"/>
        </w:rPr>
      </w:pPr>
    </w:p>
    <w:p w:rsidR="00DC7B59" w:rsidRPr="00DC7B59" w:rsidRDefault="00DC7B59" w:rsidP="00DC7B59">
      <w:pPr>
        <w:tabs>
          <w:tab w:val="left" w:pos="5040"/>
        </w:tabs>
        <w:jc w:val="both"/>
        <w:rPr>
          <w:rFonts w:asciiTheme="minorHAnsi" w:hAnsiTheme="minorHAnsi"/>
          <w:sz w:val="22"/>
          <w:szCs w:val="22"/>
        </w:rPr>
      </w:pPr>
    </w:p>
    <w:p w:rsidR="00DC7B59" w:rsidRPr="00DC7B59" w:rsidRDefault="00DC7B59" w:rsidP="00DC7B59">
      <w:pPr>
        <w:tabs>
          <w:tab w:val="left" w:pos="5040"/>
        </w:tabs>
        <w:jc w:val="both"/>
        <w:rPr>
          <w:rFonts w:asciiTheme="minorHAnsi" w:hAnsiTheme="minorHAnsi"/>
          <w:sz w:val="22"/>
          <w:szCs w:val="22"/>
        </w:rPr>
      </w:pPr>
    </w:p>
    <w:p w:rsidR="00DC7B59" w:rsidRPr="00DC7B59" w:rsidRDefault="00DC7B59" w:rsidP="00DC7B59">
      <w:pPr>
        <w:tabs>
          <w:tab w:val="left" w:pos="5040"/>
        </w:tabs>
        <w:jc w:val="both"/>
        <w:rPr>
          <w:rFonts w:asciiTheme="minorHAnsi" w:hAnsiTheme="minorHAnsi"/>
          <w:sz w:val="22"/>
          <w:szCs w:val="22"/>
        </w:rPr>
      </w:pPr>
    </w:p>
    <w:p w:rsidR="00DC7B59" w:rsidRPr="00DC7B59" w:rsidRDefault="00DC7B59" w:rsidP="00DC7B59">
      <w:pPr>
        <w:tabs>
          <w:tab w:val="left" w:pos="5040"/>
        </w:tabs>
        <w:jc w:val="both"/>
        <w:rPr>
          <w:rFonts w:asciiTheme="minorHAnsi" w:hAnsiTheme="minorHAnsi"/>
          <w:sz w:val="22"/>
          <w:szCs w:val="22"/>
        </w:rPr>
      </w:pPr>
    </w:p>
    <w:p w:rsidR="00DC7B59" w:rsidRPr="00DC7B59" w:rsidRDefault="00DC7B59" w:rsidP="00DC7B59">
      <w:pPr>
        <w:tabs>
          <w:tab w:val="left" w:pos="5040"/>
        </w:tabs>
        <w:jc w:val="both"/>
        <w:rPr>
          <w:rFonts w:asciiTheme="minorHAnsi" w:hAnsiTheme="minorHAnsi"/>
          <w:sz w:val="22"/>
          <w:szCs w:val="22"/>
        </w:rPr>
      </w:pPr>
    </w:p>
    <w:p w:rsidR="00DC7B59" w:rsidRPr="00DC7B59" w:rsidRDefault="00DC7B59" w:rsidP="00DC7B59">
      <w:pPr>
        <w:tabs>
          <w:tab w:val="left" w:pos="5040"/>
        </w:tabs>
        <w:jc w:val="both"/>
        <w:rPr>
          <w:rFonts w:asciiTheme="minorHAnsi" w:hAnsiTheme="minorHAnsi"/>
          <w:sz w:val="22"/>
          <w:szCs w:val="22"/>
        </w:rPr>
      </w:pPr>
      <w:r w:rsidRPr="00DC7B59">
        <w:rPr>
          <w:rFonts w:asciiTheme="minorHAnsi" w:hAnsiTheme="minorHAnsi"/>
          <w:sz w:val="22"/>
          <w:szCs w:val="22"/>
        </w:rPr>
        <w:t>Za poskytovatele:</w:t>
      </w:r>
      <w:r w:rsidRPr="00DC7B59">
        <w:rPr>
          <w:rFonts w:asciiTheme="minorHAnsi" w:hAnsiTheme="minorHAnsi"/>
          <w:sz w:val="22"/>
          <w:szCs w:val="22"/>
        </w:rPr>
        <w:tab/>
        <w:t>Za příjemce:</w:t>
      </w:r>
    </w:p>
    <w:p w:rsidR="00DC7B59" w:rsidRPr="00DC7B59" w:rsidRDefault="00DC7B59" w:rsidP="00DC7B59">
      <w:pPr>
        <w:rPr>
          <w:rFonts w:asciiTheme="minorHAnsi" w:hAnsiTheme="minorHAnsi"/>
          <w:sz w:val="22"/>
          <w:szCs w:val="22"/>
        </w:rPr>
      </w:pPr>
    </w:p>
    <w:p w:rsidR="00DC7B59" w:rsidRPr="00DC7B59" w:rsidRDefault="00DC7B59" w:rsidP="00DC7B59">
      <w:pPr>
        <w:rPr>
          <w:rFonts w:asciiTheme="minorHAnsi" w:hAnsiTheme="minorHAnsi"/>
          <w:sz w:val="22"/>
          <w:szCs w:val="22"/>
        </w:rPr>
      </w:pPr>
    </w:p>
    <w:p w:rsidR="00DC7B59" w:rsidRPr="00DC7B59" w:rsidRDefault="00DC7B59" w:rsidP="00DC7B59">
      <w:pPr>
        <w:rPr>
          <w:rFonts w:asciiTheme="minorHAnsi" w:hAnsiTheme="minorHAnsi"/>
          <w:sz w:val="22"/>
          <w:szCs w:val="22"/>
        </w:rPr>
      </w:pPr>
    </w:p>
    <w:p w:rsidR="00DC7B59" w:rsidRPr="00DC7B59" w:rsidRDefault="00DC7B59" w:rsidP="00DC7B59">
      <w:pPr>
        <w:rPr>
          <w:rFonts w:asciiTheme="minorHAnsi" w:hAnsiTheme="minorHAnsi"/>
          <w:sz w:val="22"/>
          <w:szCs w:val="22"/>
        </w:rPr>
      </w:pPr>
    </w:p>
    <w:p w:rsidR="00DC7B59" w:rsidRPr="00DC7B59" w:rsidRDefault="00DC7B59" w:rsidP="00DC7B59">
      <w:pPr>
        <w:rPr>
          <w:rFonts w:asciiTheme="minorHAnsi" w:hAnsiTheme="minorHAnsi"/>
          <w:sz w:val="22"/>
          <w:szCs w:val="22"/>
        </w:rPr>
      </w:pPr>
    </w:p>
    <w:p w:rsidR="00DC7B59" w:rsidRDefault="00DC7B59" w:rsidP="00DC7B59">
      <w:pPr>
        <w:rPr>
          <w:rFonts w:asciiTheme="minorHAnsi" w:hAnsiTheme="minorHAnsi"/>
          <w:sz w:val="22"/>
          <w:szCs w:val="22"/>
        </w:rPr>
      </w:pPr>
    </w:p>
    <w:p w:rsidR="00DC7B59" w:rsidRDefault="00DC7B59" w:rsidP="00DC7B59">
      <w:pPr>
        <w:rPr>
          <w:rFonts w:asciiTheme="minorHAnsi" w:hAnsiTheme="minorHAnsi"/>
          <w:sz w:val="22"/>
          <w:szCs w:val="22"/>
        </w:rPr>
      </w:pPr>
    </w:p>
    <w:p w:rsidR="00DC7B59" w:rsidRDefault="00DC7B59" w:rsidP="00DC7B59">
      <w:pPr>
        <w:rPr>
          <w:rFonts w:asciiTheme="minorHAnsi" w:hAnsiTheme="minorHAnsi"/>
          <w:sz w:val="22"/>
          <w:szCs w:val="22"/>
        </w:rPr>
      </w:pPr>
    </w:p>
    <w:p w:rsidR="00DC7B59" w:rsidRDefault="00DC7B59" w:rsidP="00DC7B59">
      <w:pPr>
        <w:rPr>
          <w:rFonts w:asciiTheme="minorHAnsi" w:hAnsiTheme="minorHAnsi"/>
          <w:sz w:val="22"/>
          <w:szCs w:val="22"/>
        </w:rPr>
      </w:pPr>
    </w:p>
    <w:p w:rsidR="00DC7B59" w:rsidRPr="00DC7B59" w:rsidRDefault="00DC7B59" w:rsidP="00DC7B59">
      <w:pPr>
        <w:rPr>
          <w:rFonts w:asciiTheme="minorHAnsi" w:hAnsiTheme="minorHAnsi"/>
          <w:sz w:val="22"/>
          <w:szCs w:val="22"/>
        </w:rPr>
      </w:pPr>
    </w:p>
    <w:p w:rsidR="00DC7B59" w:rsidRPr="00DC7B59" w:rsidRDefault="00DC7B59" w:rsidP="00DC7B59">
      <w:pPr>
        <w:rPr>
          <w:rFonts w:asciiTheme="minorHAnsi" w:hAnsiTheme="minorHAnsi"/>
          <w:sz w:val="22"/>
          <w:szCs w:val="22"/>
        </w:rPr>
      </w:pPr>
    </w:p>
    <w:p w:rsidR="00DC7B59" w:rsidRPr="00DC7B59" w:rsidRDefault="00DC7B59" w:rsidP="00DC7B59">
      <w:pPr>
        <w:rPr>
          <w:rFonts w:asciiTheme="minorHAnsi" w:hAnsiTheme="minorHAnsi"/>
          <w:sz w:val="22"/>
          <w:szCs w:val="22"/>
        </w:rPr>
      </w:pPr>
    </w:p>
    <w:p w:rsidR="00DC7B59" w:rsidRPr="00DC7B59" w:rsidRDefault="00DC7B59" w:rsidP="00DC7B59">
      <w:pPr>
        <w:rPr>
          <w:rFonts w:asciiTheme="minorHAnsi" w:hAnsiTheme="minorHAnsi"/>
          <w:sz w:val="22"/>
          <w:szCs w:val="22"/>
        </w:rPr>
      </w:pPr>
    </w:p>
    <w:p w:rsidR="00DC7B59" w:rsidRPr="00DC7B59" w:rsidRDefault="00DC7B59" w:rsidP="00DC7B59">
      <w:pPr>
        <w:tabs>
          <w:tab w:val="left" w:pos="5040"/>
        </w:tabs>
        <w:rPr>
          <w:rFonts w:asciiTheme="minorHAnsi" w:hAnsiTheme="minorHAnsi"/>
          <w:sz w:val="22"/>
          <w:szCs w:val="22"/>
        </w:rPr>
      </w:pPr>
      <w:r w:rsidRPr="00DC7B59">
        <w:rPr>
          <w:rFonts w:asciiTheme="minorHAnsi" w:hAnsiTheme="minorHAnsi"/>
          <w:sz w:val="22"/>
          <w:szCs w:val="22"/>
        </w:rPr>
        <w:t>.............................................................................</w:t>
      </w:r>
      <w:r w:rsidRPr="00DC7B59">
        <w:rPr>
          <w:rFonts w:asciiTheme="minorHAnsi" w:hAnsiTheme="minorHAnsi"/>
          <w:sz w:val="22"/>
          <w:szCs w:val="22"/>
        </w:rPr>
        <w:tab/>
        <w:t>..........................................................................</w:t>
      </w:r>
    </w:p>
    <w:p w:rsidR="00DC7B59" w:rsidRPr="00DC7B59" w:rsidRDefault="00DC7B59" w:rsidP="00DC7B59">
      <w:pPr>
        <w:rPr>
          <w:rFonts w:asciiTheme="minorHAnsi" w:hAnsiTheme="minorHAnsi"/>
          <w:sz w:val="22"/>
          <w:szCs w:val="22"/>
        </w:rPr>
      </w:pPr>
      <w:r w:rsidRPr="00DC7B59">
        <w:rPr>
          <w:rFonts w:asciiTheme="minorHAnsi" w:hAnsiTheme="minorHAnsi"/>
          <w:sz w:val="22"/>
          <w:szCs w:val="22"/>
        </w:rPr>
        <w:tab/>
        <w:t xml:space="preserve">Mgr. Ivana </w:t>
      </w:r>
      <w:proofErr w:type="spellStart"/>
      <w:r w:rsidRPr="00DC7B59">
        <w:rPr>
          <w:rFonts w:asciiTheme="minorHAnsi" w:hAnsiTheme="minorHAnsi"/>
          <w:sz w:val="22"/>
          <w:szCs w:val="22"/>
        </w:rPr>
        <w:t>Liedermanová</w:t>
      </w:r>
      <w:proofErr w:type="spellEnd"/>
      <w:r w:rsidRPr="00DC7B59">
        <w:rPr>
          <w:rFonts w:asciiTheme="minorHAnsi" w:hAnsiTheme="minorHAnsi"/>
          <w:sz w:val="22"/>
          <w:szCs w:val="22"/>
        </w:rPr>
        <w:tab/>
      </w:r>
      <w:r w:rsidRPr="00DC7B59">
        <w:rPr>
          <w:rFonts w:asciiTheme="minorHAnsi" w:hAnsiTheme="minorHAnsi"/>
          <w:sz w:val="22"/>
          <w:szCs w:val="22"/>
        </w:rPr>
        <w:tab/>
      </w:r>
      <w:r w:rsidRPr="00DC7B59">
        <w:rPr>
          <w:rFonts w:asciiTheme="minorHAnsi" w:hAnsiTheme="minorHAnsi"/>
          <w:sz w:val="22"/>
          <w:szCs w:val="22"/>
        </w:rPr>
        <w:tab/>
      </w:r>
      <w:r>
        <w:rPr>
          <w:rFonts w:asciiTheme="minorHAnsi" w:hAnsiTheme="minorHAnsi"/>
          <w:sz w:val="22"/>
          <w:szCs w:val="22"/>
        </w:rPr>
        <w:tab/>
        <w:t xml:space="preserve">         </w:t>
      </w:r>
      <w:r w:rsidR="002B33E0">
        <w:rPr>
          <w:rFonts w:asciiTheme="minorHAnsi" w:hAnsiTheme="minorHAnsi"/>
          <w:sz w:val="22"/>
          <w:szCs w:val="22"/>
        </w:rPr>
        <w:t>Ing. Tomáš Netolický</w:t>
      </w:r>
    </w:p>
    <w:p w:rsidR="00DC7B59" w:rsidRPr="00DC7B59" w:rsidRDefault="00DC7B59" w:rsidP="00DC7B59">
      <w:pPr>
        <w:jc w:val="center"/>
        <w:rPr>
          <w:rFonts w:asciiTheme="minorHAnsi" w:hAnsiTheme="minorHAnsi"/>
          <w:sz w:val="20"/>
          <w:szCs w:val="20"/>
        </w:rPr>
      </w:pPr>
    </w:p>
    <w:p w:rsidR="00DC7B59" w:rsidRPr="00DC7B59" w:rsidRDefault="00DC7B59" w:rsidP="00DC7B59">
      <w:pPr>
        <w:jc w:val="center"/>
        <w:rPr>
          <w:rFonts w:asciiTheme="minorHAnsi" w:hAnsiTheme="minorHAnsi"/>
          <w:sz w:val="20"/>
          <w:szCs w:val="20"/>
        </w:rPr>
      </w:pPr>
      <w:r w:rsidRPr="00DC7B59">
        <w:rPr>
          <w:rFonts w:asciiTheme="minorHAnsi" w:hAnsiTheme="minorHAnsi"/>
          <w:sz w:val="20"/>
          <w:szCs w:val="20"/>
        </w:rPr>
        <w:t xml:space="preserve">Předmět této smlouvy byl schválen usnesením Zastupitelstva </w:t>
      </w:r>
      <w:r w:rsidRPr="00DC7B59">
        <w:rPr>
          <w:rFonts w:asciiTheme="minorHAnsi" w:hAnsiTheme="minorHAnsi"/>
          <w:sz w:val="20"/>
          <w:szCs w:val="20"/>
        </w:rPr>
        <w:fldChar w:fldCharType="begin"/>
      </w:r>
      <w:r w:rsidRPr="00DC7B59">
        <w:rPr>
          <w:rFonts w:asciiTheme="minorHAnsi" w:hAnsiTheme="minorHAnsi"/>
          <w:sz w:val="20"/>
          <w:szCs w:val="20"/>
        </w:rPr>
        <w:instrText xml:space="preserve"> Schvaleno </w:instrText>
      </w:r>
      <w:r w:rsidRPr="00DC7B59">
        <w:rPr>
          <w:rFonts w:asciiTheme="minorHAnsi" w:hAnsiTheme="minorHAnsi"/>
          <w:sz w:val="20"/>
          <w:szCs w:val="20"/>
        </w:rPr>
        <w:fldChar w:fldCharType="separate"/>
      </w:r>
      <w:r w:rsidRPr="00DC7B59">
        <w:rPr>
          <w:rFonts w:ascii="Calibri" w:hAnsi="Calibri"/>
          <w:sz w:val="20"/>
          <w:szCs w:val="20"/>
        </w:rPr>
        <w:t>města Pardubic</w:t>
      </w:r>
      <w:r w:rsidRPr="00DC7B59">
        <w:rPr>
          <w:rFonts w:asciiTheme="minorHAnsi" w:hAnsiTheme="minorHAnsi"/>
          <w:sz w:val="20"/>
          <w:szCs w:val="20"/>
        </w:rPr>
        <w:fldChar w:fldCharType="end"/>
      </w:r>
      <w:r w:rsidRPr="00DC7B59">
        <w:rPr>
          <w:rFonts w:asciiTheme="minorHAnsi" w:hAnsiTheme="minorHAnsi"/>
          <w:sz w:val="20"/>
          <w:szCs w:val="20"/>
        </w:rPr>
        <w:t xml:space="preserve"> č.  Z/</w:t>
      </w:r>
      <w:r w:rsidR="00F32FFE">
        <w:rPr>
          <w:rFonts w:asciiTheme="minorHAnsi" w:hAnsiTheme="minorHAnsi"/>
          <w:sz w:val="20"/>
          <w:szCs w:val="20"/>
        </w:rPr>
        <w:t>233</w:t>
      </w:r>
      <w:r w:rsidRPr="00DC7B59">
        <w:rPr>
          <w:rFonts w:asciiTheme="minorHAnsi" w:hAnsiTheme="minorHAnsi"/>
          <w:sz w:val="20"/>
          <w:szCs w:val="20"/>
        </w:rPr>
        <w:t>/2019 ze dne 24. 1. 2019.</w:t>
      </w:r>
    </w:p>
    <w:p w:rsidR="00DC7B59" w:rsidRDefault="00DC7B59" w:rsidP="00DC7B59">
      <w:pPr>
        <w:jc w:val="center"/>
        <w:rPr>
          <w:rFonts w:asciiTheme="minorHAnsi" w:hAnsiTheme="minorHAnsi"/>
          <w:sz w:val="20"/>
          <w:szCs w:val="20"/>
        </w:rPr>
      </w:pPr>
      <w:r w:rsidRPr="00DC7B59">
        <w:rPr>
          <w:rFonts w:asciiTheme="minorHAnsi" w:hAnsiTheme="minorHAnsi"/>
          <w:sz w:val="20"/>
          <w:szCs w:val="20"/>
        </w:rPr>
        <w:t xml:space="preserve">Mgr. Kazimír Svoboda, ekonomické odd. </w:t>
      </w:r>
      <w:proofErr w:type="gramStart"/>
      <w:r w:rsidRPr="00DC7B59">
        <w:rPr>
          <w:rFonts w:asciiTheme="minorHAnsi" w:hAnsiTheme="minorHAnsi"/>
          <w:sz w:val="20"/>
          <w:szCs w:val="20"/>
        </w:rPr>
        <w:t>odboru</w:t>
      </w:r>
      <w:proofErr w:type="gramEnd"/>
      <w:r w:rsidRPr="00DC7B59">
        <w:rPr>
          <w:rFonts w:asciiTheme="minorHAnsi" w:hAnsiTheme="minorHAnsi"/>
          <w:sz w:val="20"/>
          <w:szCs w:val="20"/>
        </w:rPr>
        <w:t xml:space="preserve"> školství, kultury a sportu Magistrátu města Pardubic</w:t>
      </w:r>
    </w:p>
    <w:p w:rsidR="00DC7B59" w:rsidRDefault="00DC7B59" w:rsidP="00DC7B59">
      <w:pPr>
        <w:jc w:val="center"/>
        <w:rPr>
          <w:rFonts w:asciiTheme="minorHAnsi" w:hAnsiTheme="minorHAnsi"/>
          <w:sz w:val="20"/>
          <w:szCs w:val="20"/>
        </w:rPr>
      </w:pPr>
    </w:p>
    <w:p w:rsidR="00DC7B59" w:rsidRPr="00DC7B59" w:rsidRDefault="00EC70E8" w:rsidP="00DC7B59">
      <w:pPr>
        <w:jc w:val="center"/>
        <w:rPr>
          <w:rFonts w:asciiTheme="minorHAnsi" w:hAnsiTheme="minorHAnsi"/>
          <w:sz w:val="20"/>
          <w:szCs w:val="20"/>
        </w:rPr>
      </w:pPr>
      <w:r w:rsidRPr="00EC70E8">
        <w:rPr>
          <w:noProof/>
        </w:rPr>
        <w:lastRenderedPageBreak/>
        <w:drawing>
          <wp:inline distT="0" distB="0" distL="0" distR="0">
            <wp:extent cx="5535295" cy="8637905"/>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5295" cy="8637905"/>
                    </a:xfrm>
                    <a:prstGeom prst="rect">
                      <a:avLst/>
                    </a:prstGeom>
                    <a:noFill/>
                    <a:ln>
                      <a:noFill/>
                    </a:ln>
                  </pic:spPr>
                </pic:pic>
              </a:graphicData>
            </a:graphic>
          </wp:inline>
        </w:drawing>
      </w:r>
    </w:p>
    <w:sectPr w:rsidR="00DC7B59" w:rsidRPr="00DC7B59" w:rsidSect="00DC7B59">
      <w:footerReference w:type="even" r:id="rId10"/>
      <w:footerReference w:type="default" r:id="rId11"/>
      <w:pgSz w:w="11907" w:h="16840" w:code="9"/>
      <w:pgMar w:top="1418" w:right="1304" w:bottom="1418"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E62" w:rsidRDefault="00980E62">
      <w:r>
        <w:separator/>
      </w:r>
    </w:p>
  </w:endnote>
  <w:endnote w:type="continuationSeparator" w:id="0">
    <w:p w:rsidR="00980E62" w:rsidRDefault="0098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6B6F4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A8F" w:rsidRDefault="006B6F4B">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E62" w:rsidRDefault="00980E62">
      <w:r>
        <w:separator/>
      </w:r>
    </w:p>
  </w:footnote>
  <w:footnote w:type="continuationSeparator" w:id="0">
    <w:p w:rsidR="00980E62" w:rsidRDefault="00980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F7329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6A04F2"/>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9D1374"/>
    <w:multiLevelType w:val="hybridMultilevel"/>
    <w:tmpl w:val="EF6C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D630FD"/>
    <w:multiLevelType w:val="hybridMultilevel"/>
    <w:tmpl w:val="B92655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13"/>
  </w:num>
  <w:num w:numId="2">
    <w:abstractNumId w:val="16"/>
  </w:num>
  <w:num w:numId="3">
    <w:abstractNumId w:val="3"/>
  </w:num>
  <w:num w:numId="4">
    <w:abstractNumId w:val="17"/>
  </w:num>
  <w:num w:numId="5">
    <w:abstractNumId w:val="6"/>
  </w:num>
  <w:num w:numId="6">
    <w:abstractNumId w:val="8"/>
  </w:num>
  <w:num w:numId="7">
    <w:abstractNumId w:val="15"/>
  </w:num>
  <w:num w:numId="8">
    <w:abstractNumId w:val="7"/>
  </w:num>
  <w:num w:numId="9">
    <w:abstractNumId w:val="11"/>
  </w:num>
  <w:num w:numId="10">
    <w:abstractNumId w:val="0"/>
  </w:num>
  <w:num w:numId="11">
    <w:abstractNumId w:val="12"/>
  </w:num>
  <w:num w:numId="12">
    <w:abstractNumId w:val="14"/>
  </w:num>
  <w:num w:numId="13">
    <w:abstractNumId w:val="18"/>
  </w:num>
  <w:num w:numId="14">
    <w:abstractNumId w:val="4"/>
  </w:num>
  <w:num w:numId="15">
    <w:abstractNumId w:val="5"/>
  </w:num>
  <w:num w:numId="16">
    <w:abstractNumId w:val="9"/>
  </w:num>
  <w:num w:numId="17">
    <w:abstractNumId w:val="1"/>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47"/>
    <w:rsid w:val="00050899"/>
    <w:rsid w:val="0005457C"/>
    <w:rsid w:val="00055504"/>
    <w:rsid w:val="00070518"/>
    <w:rsid w:val="00080349"/>
    <w:rsid w:val="000A0147"/>
    <w:rsid w:val="000C5054"/>
    <w:rsid w:val="000F0DD6"/>
    <w:rsid w:val="001001C1"/>
    <w:rsid w:val="00113C3D"/>
    <w:rsid w:val="00126D25"/>
    <w:rsid w:val="00147B3D"/>
    <w:rsid w:val="00156F3F"/>
    <w:rsid w:val="00161C77"/>
    <w:rsid w:val="00164740"/>
    <w:rsid w:val="001653D5"/>
    <w:rsid w:val="00177B9D"/>
    <w:rsid w:val="001935F6"/>
    <w:rsid w:val="00196C43"/>
    <w:rsid w:val="001A1FE2"/>
    <w:rsid w:val="001A7479"/>
    <w:rsid w:val="001B1447"/>
    <w:rsid w:val="001C42DC"/>
    <w:rsid w:val="001C4966"/>
    <w:rsid w:val="001E5D57"/>
    <w:rsid w:val="00215332"/>
    <w:rsid w:val="00271822"/>
    <w:rsid w:val="00271D18"/>
    <w:rsid w:val="0027527A"/>
    <w:rsid w:val="002806CD"/>
    <w:rsid w:val="00283DB5"/>
    <w:rsid w:val="00290BB3"/>
    <w:rsid w:val="002A5DCE"/>
    <w:rsid w:val="002B33E0"/>
    <w:rsid w:val="002B3740"/>
    <w:rsid w:val="002B3971"/>
    <w:rsid w:val="002D0FE5"/>
    <w:rsid w:val="002E5E62"/>
    <w:rsid w:val="002E6D8D"/>
    <w:rsid w:val="002F00F9"/>
    <w:rsid w:val="00310AEF"/>
    <w:rsid w:val="0031789B"/>
    <w:rsid w:val="00322DD6"/>
    <w:rsid w:val="00331EA4"/>
    <w:rsid w:val="0033500C"/>
    <w:rsid w:val="003407EE"/>
    <w:rsid w:val="003447D8"/>
    <w:rsid w:val="00346869"/>
    <w:rsid w:val="00347987"/>
    <w:rsid w:val="00372CC8"/>
    <w:rsid w:val="003B5C4F"/>
    <w:rsid w:val="003E519E"/>
    <w:rsid w:val="003E591D"/>
    <w:rsid w:val="003F7AC8"/>
    <w:rsid w:val="00420D16"/>
    <w:rsid w:val="00456902"/>
    <w:rsid w:val="00484E8E"/>
    <w:rsid w:val="004B190A"/>
    <w:rsid w:val="004C2811"/>
    <w:rsid w:val="004C62E8"/>
    <w:rsid w:val="004F4C78"/>
    <w:rsid w:val="005501FD"/>
    <w:rsid w:val="005629B3"/>
    <w:rsid w:val="00571C32"/>
    <w:rsid w:val="00595468"/>
    <w:rsid w:val="005A0A3E"/>
    <w:rsid w:val="005A0E57"/>
    <w:rsid w:val="005A7B1A"/>
    <w:rsid w:val="005D2444"/>
    <w:rsid w:val="005F7BF3"/>
    <w:rsid w:val="006021C0"/>
    <w:rsid w:val="00602561"/>
    <w:rsid w:val="00604029"/>
    <w:rsid w:val="00604D57"/>
    <w:rsid w:val="006076C9"/>
    <w:rsid w:val="00621543"/>
    <w:rsid w:val="00636DE7"/>
    <w:rsid w:val="00662BD3"/>
    <w:rsid w:val="00677CE7"/>
    <w:rsid w:val="00687341"/>
    <w:rsid w:val="00696A0E"/>
    <w:rsid w:val="006B1844"/>
    <w:rsid w:val="006B6F4B"/>
    <w:rsid w:val="006D3843"/>
    <w:rsid w:val="006D5456"/>
    <w:rsid w:val="006F5037"/>
    <w:rsid w:val="007109EF"/>
    <w:rsid w:val="00714C9F"/>
    <w:rsid w:val="00724CAC"/>
    <w:rsid w:val="007257E8"/>
    <w:rsid w:val="00746923"/>
    <w:rsid w:val="00772A39"/>
    <w:rsid w:val="00775EB1"/>
    <w:rsid w:val="007A01F4"/>
    <w:rsid w:val="007B70EC"/>
    <w:rsid w:val="007C648F"/>
    <w:rsid w:val="007E52FC"/>
    <w:rsid w:val="007F765A"/>
    <w:rsid w:val="00807386"/>
    <w:rsid w:val="008105CD"/>
    <w:rsid w:val="008149BC"/>
    <w:rsid w:val="008366EF"/>
    <w:rsid w:val="00844BB2"/>
    <w:rsid w:val="00861368"/>
    <w:rsid w:val="00876FAE"/>
    <w:rsid w:val="00877910"/>
    <w:rsid w:val="008B131C"/>
    <w:rsid w:val="008B3F83"/>
    <w:rsid w:val="008C22A2"/>
    <w:rsid w:val="008D53F1"/>
    <w:rsid w:val="008D7FF1"/>
    <w:rsid w:val="008E7E19"/>
    <w:rsid w:val="00932B78"/>
    <w:rsid w:val="00947F9C"/>
    <w:rsid w:val="0095148E"/>
    <w:rsid w:val="00980E62"/>
    <w:rsid w:val="009810E7"/>
    <w:rsid w:val="00985DDF"/>
    <w:rsid w:val="009A5052"/>
    <w:rsid w:val="009B780E"/>
    <w:rsid w:val="009C3343"/>
    <w:rsid w:val="009C4412"/>
    <w:rsid w:val="009D60BC"/>
    <w:rsid w:val="009D694E"/>
    <w:rsid w:val="009E3FC7"/>
    <w:rsid w:val="009F32F8"/>
    <w:rsid w:val="00A107D3"/>
    <w:rsid w:val="00A10D3B"/>
    <w:rsid w:val="00A15AED"/>
    <w:rsid w:val="00A16F26"/>
    <w:rsid w:val="00A2236F"/>
    <w:rsid w:val="00A24FD7"/>
    <w:rsid w:val="00A505FC"/>
    <w:rsid w:val="00A60F23"/>
    <w:rsid w:val="00A852F8"/>
    <w:rsid w:val="00A973F6"/>
    <w:rsid w:val="00AA2AD7"/>
    <w:rsid w:val="00AA6D13"/>
    <w:rsid w:val="00AB00FB"/>
    <w:rsid w:val="00AB1762"/>
    <w:rsid w:val="00AC65E8"/>
    <w:rsid w:val="00AE0866"/>
    <w:rsid w:val="00AE166B"/>
    <w:rsid w:val="00B075D7"/>
    <w:rsid w:val="00B15ACE"/>
    <w:rsid w:val="00B21A6E"/>
    <w:rsid w:val="00B426A5"/>
    <w:rsid w:val="00B46E3A"/>
    <w:rsid w:val="00B52A09"/>
    <w:rsid w:val="00B64881"/>
    <w:rsid w:val="00B70488"/>
    <w:rsid w:val="00B7536D"/>
    <w:rsid w:val="00B9295E"/>
    <w:rsid w:val="00B92DD8"/>
    <w:rsid w:val="00BB297F"/>
    <w:rsid w:val="00BC20D4"/>
    <w:rsid w:val="00BC41E3"/>
    <w:rsid w:val="00BC5983"/>
    <w:rsid w:val="00C23E4F"/>
    <w:rsid w:val="00C26F0A"/>
    <w:rsid w:val="00C452B8"/>
    <w:rsid w:val="00C75B48"/>
    <w:rsid w:val="00C8265D"/>
    <w:rsid w:val="00C96B1B"/>
    <w:rsid w:val="00CA6672"/>
    <w:rsid w:val="00CD34B4"/>
    <w:rsid w:val="00CE1FF3"/>
    <w:rsid w:val="00CF2BB9"/>
    <w:rsid w:val="00D10D30"/>
    <w:rsid w:val="00D1442B"/>
    <w:rsid w:val="00D31897"/>
    <w:rsid w:val="00D330DD"/>
    <w:rsid w:val="00D33593"/>
    <w:rsid w:val="00D37FCA"/>
    <w:rsid w:val="00D447E4"/>
    <w:rsid w:val="00D46FC5"/>
    <w:rsid w:val="00D5347D"/>
    <w:rsid w:val="00D62A19"/>
    <w:rsid w:val="00D64D3F"/>
    <w:rsid w:val="00D67640"/>
    <w:rsid w:val="00D76457"/>
    <w:rsid w:val="00DA3B85"/>
    <w:rsid w:val="00DB16DF"/>
    <w:rsid w:val="00DB77BC"/>
    <w:rsid w:val="00DC7B59"/>
    <w:rsid w:val="00DE74F5"/>
    <w:rsid w:val="00E03D1B"/>
    <w:rsid w:val="00E10816"/>
    <w:rsid w:val="00E21A6E"/>
    <w:rsid w:val="00E267DF"/>
    <w:rsid w:val="00E77A44"/>
    <w:rsid w:val="00E85EBF"/>
    <w:rsid w:val="00EB5E74"/>
    <w:rsid w:val="00EC510D"/>
    <w:rsid w:val="00EC70E8"/>
    <w:rsid w:val="00ED2D4B"/>
    <w:rsid w:val="00EE1818"/>
    <w:rsid w:val="00EF4BE6"/>
    <w:rsid w:val="00F32FFE"/>
    <w:rsid w:val="00F53D8A"/>
    <w:rsid w:val="00F5783E"/>
    <w:rsid w:val="00F63730"/>
    <w:rsid w:val="00F65A03"/>
    <w:rsid w:val="00F874AD"/>
    <w:rsid w:val="00FA2CBA"/>
    <w:rsid w:val="00FC2095"/>
    <w:rsid w:val="00FF5601"/>
    <w:rsid w:val="00FF6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516F"/>
  <w15:docId w15:val="{6315EFCB-C7DF-4506-BFD3-B349AFA4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Revize">
    <w:name w:val="Revision"/>
    <w:hidden/>
    <w:uiPriority w:val="99"/>
    <w:semiHidden/>
    <w:rsid w:val="00B92DD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149BC"/>
    <w:rPr>
      <w:b/>
      <w:bCs/>
      <w:szCs w:val="20"/>
    </w:rPr>
  </w:style>
  <w:style w:type="character" w:customStyle="1" w:styleId="PedmtkomenteChar">
    <w:name w:val="Předmět komentáře Char"/>
    <w:basedOn w:val="TextkomenteChar"/>
    <w:link w:val="Pedmtkomente"/>
    <w:uiPriority w:val="99"/>
    <w:semiHidden/>
    <w:rsid w:val="008149B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DC7B59"/>
    <w:pPr>
      <w:tabs>
        <w:tab w:val="center" w:pos="4536"/>
        <w:tab w:val="right" w:pos="9072"/>
      </w:tabs>
    </w:pPr>
  </w:style>
  <w:style w:type="character" w:customStyle="1" w:styleId="ZhlavChar">
    <w:name w:val="Záhlaví Char"/>
    <w:basedOn w:val="Standardnpsmoodstavce"/>
    <w:link w:val="Zhlav"/>
    <w:uiPriority w:val="99"/>
    <w:rsid w:val="00DC7B5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76762">
      <w:bodyDiv w:val="1"/>
      <w:marLeft w:val="0"/>
      <w:marRight w:val="0"/>
      <w:marTop w:val="0"/>
      <w:marBottom w:val="0"/>
      <w:divBdr>
        <w:top w:val="none" w:sz="0" w:space="0" w:color="auto"/>
        <w:left w:val="none" w:sz="0" w:space="0" w:color="auto"/>
        <w:bottom w:val="none" w:sz="0" w:space="0" w:color="auto"/>
        <w:right w:val="none" w:sz="0" w:space="0" w:color="auto"/>
      </w:divBdr>
    </w:div>
    <w:div w:id="14496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dubice.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D483-D000-418F-8818-46CCA40A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2254</Words>
  <Characters>13301</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Svoboda Kazimír</cp:lastModifiedBy>
  <cp:revision>6</cp:revision>
  <cp:lastPrinted>2019-02-04T15:34:00Z</cp:lastPrinted>
  <dcterms:created xsi:type="dcterms:W3CDTF">2019-01-15T09:08:00Z</dcterms:created>
  <dcterms:modified xsi:type="dcterms:W3CDTF">2019-02-22T09:54:00Z</dcterms:modified>
</cp:coreProperties>
</file>