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Smlouva o vypořádání závazků</w:t>
      </w:r>
      <w:bookmarkEnd w:id="0"/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3540" w:right="0" w:hanging="3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uzavřená dle § 1746, odst. 2 zákona č. 89/2012 Sb., občanský zákoník, v platném znění, mezi těmito smluvními stranami: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Dodavatelem: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Domov pro seniory „SKALKA“ v Chebu, příspěvková organizace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sídlem: Americká 2176/52, 350 02 Cheb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71175245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Bank, spojení: 78-2172760267/0100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zastoupen: Mgr. Alenou Samuelovou, ředitelkou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„dodavatel“)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Objednatelem: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Domov pro seniory „SPÁLENIŠTĚ“ v Chebu, příspěvková organizace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sídlem: Mírová 2273/6, 350 02 Cheb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71175253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Bank, spojení: KB 78-2172930297/0100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e-mail: 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zastoupen: Mgr. Hanou Marešovou, ředitelkou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(dálejen „objednatel“)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I.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skutkového stavu</w:t>
      </w:r>
      <w:bookmarkEnd w:id="2"/>
      <w:bookmarkEnd w:id="3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0" w:val="left"/>
        </w:tabs>
        <w:bidi w:val="0"/>
        <w:spacing w:before="0" w:line="240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Smluvní strany uzavřely dne 1. 9. 2018 Smlouvu o zajištění dodávek stravy, jejímž předmětem byla dodávka stravy dodavatelem pro klienty a zaměstnance objednavatele. Smlouva byla uzavřena v souladu se zákonem č. 89/2012 Sb., občanský zákoník, ve znění pozdějších předpisů.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o vypořádání závazků byla uzavřena z důvodu narovnání vzniklé situace a to dodatečným doplněním již zveřejněné smlouvy, o odhad roční finanční částky v objemu přibližně 2.850 000,- Kč za dodávku stravy, do registru smluv.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0" w:val="left"/>
        </w:tabs>
        <w:bidi w:val="0"/>
        <w:spacing w:before="0" w:line="240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Strany se dohodly že dodavatel bude povinným subjektem pro zveřejňování v registru smluv dle smlouvy uvedené v ustanoveních odst. 1. tohoto článku a má povinnost uzavřenou smlouvu zveřejnit postupem podle zákona č. 340/2015 Sb., zákona o registru smluv, ve znění pozdějších předpisů.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0" w:val="left"/>
        </w:tabs>
        <w:bidi w:val="0"/>
        <w:spacing w:before="0" w:line="240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Obě smluvní strany shodně konstatují, že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uveřejnění smlouvy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uvedené v odst. 1. tohoto článku v registru smluv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došlo dne 24. 9. 2018,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ale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smlouvě nebyla uvedena odhadovaná roční cena za službu „dodávka stravy“,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a že jsou si vědomy právních následků s tím spojených.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0" w:val="left"/>
        </w:tabs>
        <w:bidi w:val="0"/>
        <w:spacing w:before="0" w:line="240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zájmu úpravy vzájemných práv a povinností vyplývajících z původně sjednané smlouvy, s ohledem na skutečnost, že obě strany jednaly s vědomím závaznosti uzavřené smlouvy a v souladu s jejím obsahem plnily, co si vzájemně ujednaly, a ve snaze napravit stav vzniklý v důsledku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neuveřejnění odhadované roční ceny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ve smlouvě již zveřejněné v registru smluv, sjednávají smluvní strany tuto novou smlouvu ve znění, jak je dále uvedeno.</w:t>
      </w:r>
      <w:r>
        <w:br w:type="page"/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cs-CZ" w:eastAsia="cs-CZ" w:bidi="cs-CZ"/>
        </w:rPr>
        <w:t>II.</w:t>
      </w:r>
      <w:bookmarkEnd w:id="4"/>
      <w:bookmarkEnd w:id="5"/>
    </w:p>
    <w:p>
      <w:pPr>
        <w:pStyle w:val="Style8"/>
        <w:keepNext/>
        <w:keepLines/>
        <w:widowControl w:val="0"/>
        <w:shd w:val="clear" w:color="auto" w:fill="auto"/>
        <w:bidi w:val="0"/>
        <w:spacing w:before="0" w:line="23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Práva a závazky smluvních stran</w:t>
      </w:r>
      <w:bookmarkEnd w:id="6"/>
      <w:bookmarkEnd w:id="7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3" w:val="left"/>
        </w:tabs>
        <w:bidi w:val="0"/>
        <w:spacing w:before="0" w:line="240" w:lineRule="auto"/>
        <w:ind w:left="34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si tímto ujednáním vzájemně stvrzují, že obsah vzájemných práv a povinností, který touto smlouvou nově sjednávají, je zcela a beze zbytku vyjádřen textem původně sjednané smlouvy(i), která tvoří pro tyto účely přílohu této smlouvy. Lhůty se rovněž řídí původně sjednanou smlouvou a počítají se od uplynutí 31 dnů od data jejího uzavření.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3" w:val="left"/>
        </w:tabs>
        <w:bidi w:val="0"/>
        <w:spacing w:before="0" w:line="240" w:lineRule="auto"/>
        <w:ind w:left="34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3" w:val="left"/>
        </w:tabs>
        <w:bidi w:val="0"/>
        <w:spacing w:before="0" w:line="240" w:lineRule="auto"/>
        <w:ind w:left="34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3" w:val="left"/>
        </w:tabs>
        <w:bidi w:val="0"/>
        <w:spacing w:before="0" w:after="460" w:line="240" w:lineRule="auto"/>
        <w:ind w:left="34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strana, která je povinným subjektem pro zveřejňování v registru smluv dle smlouvy uveřejněné v čl. I. odst. 1 této smlouvy, se tímto zavazuje druhé smluvní straně k neprodlenému zveřejnění této smlouvy a její kompletní přílohy v registru smluv v souladu s ustanovením § 5 zákona o registru smluv.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III</w:t>
      </w: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  <w:bookmarkEnd w:id="8"/>
      <w:bookmarkEnd w:id="9"/>
    </w:p>
    <w:p>
      <w:pPr>
        <w:pStyle w:val="Style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</w:t>
      </w:r>
      <w:bookmarkEnd w:id="10"/>
      <w:bookmarkEnd w:id="11"/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17" w:val="left"/>
        </w:tabs>
        <w:bidi w:val="0"/>
        <w:spacing w:before="0" w:line="240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o vypořádání závazků nabývá účinnosti dnem uveřejnění v registru smluv.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17" w:val="left"/>
        </w:tabs>
        <w:bidi w:val="0"/>
        <w:spacing w:before="0" w:after="0" w:line="240" w:lineRule="auto"/>
        <w:ind w:left="78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o vypořádání závazků je vyhotovena ve dvou stejnopisech, každá s hodnotou originálu, přičemž každá ze smluvních stran obdrží jeden stejnopis.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533400" distB="3175" distL="0" distR="0" simplePos="0" relativeHeight="125829378" behindDoc="0" locked="0" layoutInCell="1" allowOverlap="1">
                <wp:simplePos x="0" y="0"/>
                <wp:positionH relativeFrom="page">
                  <wp:posOffset>1078230</wp:posOffset>
                </wp:positionH>
                <wp:positionV relativeFrom="paragraph">
                  <wp:posOffset>533400</wp:posOffset>
                </wp:positionV>
                <wp:extent cx="1499870" cy="186055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99870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Chebu, dne 22. 2. 2019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4.900000000000006pt;margin-top:42.pt;width:118.09999999999999pt;height:14.65pt;z-index:-125829375;mso-wrap-distance-left:0;mso-wrap-distance-top:42.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Chebu, dne 22. 2. 2019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36575" distB="0" distL="0" distR="0" simplePos="0" relativeHeight="125829380" behindDoc="0" locked="0" layoutInCell="1" allowOverlap="1">
                <wp:simplePos x="0" y="0"/>
                <wp:positionH relativeFrom="page">
                  <wp:posOffset>4708525</wp:posOffset>
                </wp:positionH>
                <wp:positionV relativeFrom="paragraph">
                  <wp:posOffset>536575</wp:posOffset>
                </wp:positionV>
                <wp:extent cx="1481455" cy="18605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81455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Chebu, dne 22.2. 2019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70.75pt;margin-top:42.25pt;width:116.65000000000001pt;height:14.65pt;z-index:-125829373;mso-wrap-distance-left:0;mso-wrap-distance-top:42.2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Chebu, dne 22.2. 2019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350" w:left="1324" w:right="1418" w:bottom="1712" w:header="922" w:footer="1284" w:gutter="0"/>
          <w:pgNumType w:start="1"/>
          <w:cols w:space="720"/>
          <w:noEndnote/>
          <w:rtlGutter w:val="0"/>
          <w:docGrid w:linePitch="360"/>
        </w:sectPr>
      </w:pPr>
      <w:r>
        <w:drawing>
          <wp:anchor distT="1371600" distB="0" distL="0" distR="0" simplePos="0" relativeHeight="125829382" behindDoc="0" locked="0" layoutInCell="1" allowOverlap="1">
            <wp:simplePos x="0" y="0"/>
            <wp:positionH relativeFrom="page">
              <wp:posOffset>495935</wp:posOffset>
            </wp:positionH>
            <wp:positionV relativeFrom="paragraph">
              <wp:posOffset>1371600</wp:posOffset>
            </wp:positionV>
            <wp:extent cx="6321425" cy="554990"/>
            <wp:wrapTopAndBottom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321425" cy="5549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7" w:after="9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95" w:left="0" w:right="0" w:bottom="1395" w:header="0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(1) V případě jakýchkoli změn smlouvy na veřejnou zakázku musí být tyto změny v souladu s § 222 zákona č. 134/2016, o zadávání veřejných zakázek, jinak by mohl být postup zadavatele považován za přestupek dle § 268 tohoto zákona.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395" w:left="1281" w:right="1479" w:bottom="1395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Nadpis #2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CharStyle9">
    <w:name w:val="Nadpis #3_"/>
    <w:basedOn w:val="DefaultParagraphFont"/>
    <w:link w:val="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Nadpis #1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4">
    <w:name w:val="Základní text (2)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2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Nadpis #2"/>
    <w:basedOn w:val="Normal"/>
    <w:link w:val="CharStyle5"/>
    <w:pPr>
      <w:widowControl w:val="0"/>
      <w:shd w:val="clear" w:color="auto" w:fill="FFFFFF"/>
      <w:spacing w:after="330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paragraph" w:customStyle="1" w:styleId="Style8">
    <w:name w:val="Nadpis #3"/>
    <w:basedOn w:val="Normal"/>
    <w:link w:val="CharStyle9"/>
    <w:pPr>
      <w:widowControl w:val="0"/>
      <w:shd w:val="clear" w:color="auto" w:fill="FFFFFF"/>
      <w:spacing w:after="240"/>
      <w:jc w:val="center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">
    <w:name w:val="Nadpis #1"/>
    <w:basedOn w:val="Normal"/>
    <w:link w:val="CharStyle12"/>
    <w:pPr>
      <w:widowControl w:val="0"/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3">
    <w:name w:val="Základní text (2)"/>
    <w:basedOn w:val="Normal"/>
    <w:link w:val="CharStyle14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