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o vypořádání závazků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540" w:right="0" w:hanging="3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dle § 1746, odst. 2 zákona č. 89/2012 Sb., občanský zákoník, v platném znění, mezi těmito smluvními stranami: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pro seniory „SKALKA“ v Chebu,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Americká 2176/52, 350 02 Cheb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71175245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Bank, spojení: 78-2172760267/0100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 Mgr. Alenou Samuelovou, ředitelkou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pro seniory „SPÁLENIŠTĚ“ v Chebu,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Mírová 2273/6, 350 02 Cheb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71175253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Bank, spojení: KB 78-2172930297/0100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 Mgr. Hanou Marešovou, ředitelkou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line="240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uzavřely dne 1. 9. 2018 Smlouvu o zajištění dodávek stravy, jejímž předmětem byla dodávka stravy dodavatelem pro klienty a zaměstnance objednavatele. Smlouva byla uzavřena v souladu se zákonem č. 89/2012 Sb., občanský zákoník, ve znění pozdějších předpisů.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vypořádání závazků byla uzavřena z důvodu narovnání vzniklé situace a to dodatečným doplněním již zveřejněné smlouvy, o odhad roční finanční částky v objemu přibližně 2.850 000,- Kč za dodávku stravy, do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line="240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se dohodly že dodavatel bude povinným subjektem pro zveřejňování v registru smluv dle smlouvy uvedené v ustanoveních odst. 1. tohoto článku a má povinnost uzavřenou smlouvu zveřejnit postupem podle zákona č. 340/2015 Sb., zákona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line="240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Obě smluvní strany shodně konstatují, že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uveřejnění smlouvy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uvedené v odst. 1. tohoto článku v registru smluv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došlo dne 24. 9. 2018,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ale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smlouvě nebyla uvedena odhadovaná roční cena za službu „dodávka stravy“,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line="240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neuveřejnění odhadované roční ceny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ve smlouvě již zveřejněné v registru smluv, sjednávají smluvní strany tuto novou smlouvu ve znění, jak je dále uvedeno.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II.</w:t>
      </w:r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smlouvy(i), která tvoří pro tyto účely přílohu této smlouvy. Lhůty se rovněž řídí původně sjednanou smlouvou a počítají se od uplynutí 31 dnů od data jejího uzavření.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line="240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line="240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460" w:line="240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strana, která je povinným subjektem pro zveřejňování v registru smluv dle smlouvy uveřejněné v čl. I. odst. 1 této smlouvy, se tímto zavazuje druhé smluvní straně k neprodlenému zveřejnění této smlouvy a její kompletní přílohy v registru smluv v souladu s ustanovením § 5 zákona o registru smluv.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</w:t>
      </w: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8"/>
      <w:bookmarkEnd w:id="9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vypořádání závazků nabývá účinnosti dnem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8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vypořádání závazků je vyhotovena ve dvou stejnopisech, každá s hodnotou originálu, přičemž každá ze smluvních stran obdrží jeden stejnopis.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33400" distB="3175" distL="0" distR="0" simplePos="0" relativeHeight="125829378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533400</wp:posOffset>
                </wp:positionV>
                <wp:extent cx="1499870" cy="1860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Chebu, dne 22. 2. 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900000000000006pt;margin-top:42.pt;width:118.09999999999999pt;height:14.65pt;z-index:-125829375;mso-wrap-distance-left:0;mso-wrap-distance-top:42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Chebu, dne 22. 2. 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6575" distB="0" distL="0" distR="0" simplePos="0" relativeHeight="125829380" behindDoc="0" locked="0" layoutInCell="1" allowOverlap="1">
                <wp:simplePos x="0" y="0"/>
                <wp:positionH relativeFrom="page">
                  <wp:posOffset>4708525</wp:posOffset>
                </wp:positionH>
                <wp:positionV relativeFrom="paragraph">
                  <wp:posOffset>536575</wp:posOffset>
                </wp:positionV>
                <wp:extent cx="1481455" cy="1860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Chebu, dne 22.2. 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0.75pt;margin-top:42.25pt;width:116.65000000000001pt;height:14.65pt;z-index:-125829373;mso-wrap-distance-left:0;mso-wrap-distance-top:42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Chebu, dne 22.2. 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50" w:left="1324" w:right="1418" w:bottom="1712" w:header="922" w:footer="1284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1371600" distB="0" distL="0" distR="0" simplePos="0" relativeHeight="125829382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1371600</wp:posOffset>
            </wp:positionV>
            <wp:extent cx="6321425" cy="55499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21425" cy="554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7" w:after="9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5" w:left="0" w:right="0" w:bottom="13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(1) V případě jakýchkoli změn smlouvy na veřejnou zakázku musí být tyto změny v souladu s § 222 zákona č. 134/2016, o zadávání veřejných zakázek, jinak by mohl být postup zadavatele považován za přestupek dle § 268 tohoto zákona.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95" w:left="1281" w:right="1479" w:bottom="139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2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CharStyle9">
    <w:name w:val="Nadpis #3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Nadpis #1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spacing w:after="33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spacing w:after="24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