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39" w:rsidRDefault="00881200">
      <w:pPr>
        <w:spacing w:after="122" w:line="259" w:lineRule="auto"/>
        <w:ind w:left="5928" w:right="0" w:firstLine="0"/>
        <w:jc w:val="left"/>
      </w:pPr>
      <w:r>
        <w:rPr>
          <w:noProof/>
        </w:rPr>
        <w:drawing>
          <wp:inline distT="0" distB="0" distL="0" distR="0">
            <wp:extent cx="2133546" cy="219279"/>
            <wp:effectExtent l="0" t="0" r="0" b="0"/>
            <wp:docPr id="1875" name="Picture 1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" name="Picture 18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546" cy="21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439" w:rsidRDefault="00881200">
      <w:pPr>
        <w:spacing w:after="0" w:line="259" w:lineRule="auto"/>
        <w:ind w:left="0" w:right="151" w:firstLine="0"/>
        <w:jc w:val="right"/>
      </w:pPr>
      <w:r>
        <w:rPr>
          <w:sz w:val="22"/>
        </w:rPr>
        <w:t>SOOMX004TOHR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717" name="Picture 1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" name="Picture 17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439" w:rsidRDefault="00881200">
      <w:pPr>
        <w:spacing w:after="134" w:line="259" w:lineRule="auto"/>
        <w:ind w:left="0" w:firstLine="0"/>
        <w:jc w:val="right"/>
      </w:pPr>
      <w:r>
        <w:t>IQISUL 4938/2012</w:t>
      </w:r>
    </w:p>
    <w:p w:rsidR="00035439" w:rsidRDefault="00881200">
      <w:pPr>
        <w:pStyle w:val="Nadpis1"/>
      </w:pPr>
      <w:r>
        <w:t>Smlouva o úpravě vztahů při nakládání s majetkem</w:t>
      </w:r>
    </w:p>
    <w:p w:rsidR="00035439" w:rsidRDefault="00881200">
      <w:pPr>
        <w:ind w:left="72" w:right="849" w:hanging="65"/>
      </w:pPr>
      <w:r>
        <w:rPr>
          <w:noProof/>
        </w:rPr>
        <w:drawing>
          <wp:inline distT="0" distB="0" distL="0" distR="0">
            <wp:extent cx="41118" cy="18273"/>
            <wp:effectExtent l="0" t="0" r="0" b="0"/>
            <wp:docPr id="1718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Česká </w:t>
      </w:r>
      <w:proofErr w:type="gramStart"/>
      <w:r>
        <w:t>republika - Krajská</w:t>
      </w:r>
      <w:proofErr w:type="gramEnd"/>
      <w:r>
        <w:t xml:space="preserve"> hygienická stanice Ústeckého kraje se sídlem v Ústí nad Labem zastoupená ředitelem MUDr. Josefem Trmalem Ph.D. se sídlem Moskevská 15, Ústí nad Labem IČ 71009183</w:t>
      </w:r>
    </w:p>
    <w:p w:rsidR="00035439" w:rsidRDefault="00881200">
      <w:pPr>
        <w:spacing w:after="264"/>
        <w:ind w:left="10" w:right="5144"/>
      </w:pPr>
      <w:proofErr w:type="spellStart"/>
      <w:r>
        <w:t>č.ú</w:t>
      </w:r>
      <w:proofErr w:type="spellEnd"/>
      <w:r>
        <w:t xml:space="preserve">. ČNB ÚL </w:t>
      </w:r>
      <w:r w:rsidRPr="00881200">
        <w:rPr>
          <w:highlight w:val="black"/>
        </w:rPr>
        <w:t xml:space="preserve">8327411/0710 </w:t>
      </w:r>
      <w:r w:rsidRPr="00881200">
        <w:rPr>
          <w:noProof/>
          <w:highlight w:val="black"/>
        </w:rPr>
        <w:drawing>
          <wp:inline distT="0" distB="0" distL="0" distR="0">
            <wp:extent cx="4569" cy="4568"/>
            <wp:effectExtent l="0" t="0" r="0" b="0"/>
            <wp:docPr id="1719" name="Picture 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Picture 17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 straně jedné jako organizační složka st</w:t>
      </w:r>
      <w:r>
        <w:t>átu</w:t>
      </w:r>
    </w:p>
    <w:p w:rsidR="00035439" w:rsidRDefault="00881200">
      <w:pPr>
        <w:spacing w:after="276"/>
        <w:ind w:left="10" w:right="14"/>
      </w:pPr>
      <w:r>
        <w:t>(dále jen organizační složka, popř. OS)</w:t>
      </w:r>
    </w:p>
    <w:p w:rsidR="00035439" w:rsidRDefault="00881200">
      <w:pPr>
        <w:spacing w:after="277" w:line="259" w:lineRule="auto"/>
        <w:ind w:left="24" w:right="0" w:hanging="10"/>
        <w:jc w:val="left"/>
      </w:pPr>
      <w:r>
        <w:rPr>
          <w:sz w:val="26"/>
        </w:rPr>
        <w:t>a</w:t>
      </w:r>
    </w:p>
    <w:p w:rsidR="00035439" w:rsidRDefault="00881200">
      <w:pPr>
        <w:spacing w:after="0"/>
        <w:ind w:left="10" w:right="4115"/>
      </w:pPr>
      <w:r>
        <w:t xml:space="preserve">Zdravotní ústav se sídlem v Ústí nad Labem zastoupený Ing. Pavlem Kutilem — pověřeným řízením se sídlem Moskevská 15, Ústí nad Labem </w:t>
      </w:r>
      <w:proofErr w:type="spellStart"/>
      <w:r>
        <w:t>lč</w:t>
      </w:r>
      <w:proofErr w:type="spellEnd"/>
      <w:r>
        <w:t>: 71009361</w:t>
      </w:r>
    </w:p>
    <w:p w:rsidR="00035439" w:rsidRDefault="00881200">
      <w:pPr>
        <w:spacing w:after="287"/>
        <w:ind w:left="7" w:right="4597" w:firstLine="6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662450</wp:posOffset>
            </wp:positionH>
            <wp:positionV relativeFrom="page">
              <wp:posOffset>6560088</wp:posOffset>
            </wp:positionV>
            <wp:extent cx="4569" cy="4568"/>
            <wp:effectExtent l="0" t="0" r="0" b="0"/>
            <wp:wrapSquare wrapText="bothSides"/>
            <wp:docPr id="1723" name="Picture 1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" name="Picture 17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č.ú</w:t>
      </w:r>
      <w:proofErr w:type="spellEnd"/>
      <w:r>
        <w:t xml:space="preserve">. ČNB ÚL </w:t>
      </w:r>
      <w:r w:rsidRPr="00881200">
        <w:rPr>
          <w:highlight w:val="black"/>
        </w:rPr>
        <w:t>41936411/0710</w:t>
      </w:r>
      <w:r>
        <w:t xml:space="preserve">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 straně druhé jako příspěvková stá</w:t>
      </w:r>
      <w:r>
        <w:t>tní organizace</w:t>
      </w:r>
    </w:p>
    <w:p w:rsidR="00035439" w:rsidRDefault="00881200">
      <w:pPr>
        <w:spacing w:after="304"/>
        <w:ind w:left="10" w:right="14"/>
      </w:pPr>
      <w:r>
        <w:t xml:space="preserve">(dále jen příspěvková </w:t>
      </w:r>
      <w:proofErr w:type="gramStart"/>
      <w:r>
        <w:t>organizace</w:t>
      </w:r>
      <w:proofErr w:type="gramEnd"/>
      <w:r>
        <w:t xml:space="preserve"> popř. PO)</w:t>
      </w:r>
    </w:p>
    <w:p w:rsidR="00035439" w:rsidRDefault="00881200">
      <w:pPr>
        <w:spacing w:after="437" w:line="278" w:lineRule="auto"/>
        <w:ind w:left="10" w:right="302"/>
      </w:pPr>
      <w:r>
        <w:t xml:space="preserve">se níže uvedeného dne, měsíce a roku dohodly v souladu s ustanoveními S 19 a 55 odst. 3 zákona č. 219/2000 </w:t>
      </w:r>
      <w:proofErr w:type="spellStart"/>
      <w:r>
        <w:t>Sb</w:t>
      </w:r>
      <w:proofErr w:type="spellEnd"/>
      <w:r>
        <w:t xml:space="preserve">, o majetku ČR a jejím vystupování v právních vztazích a S 14 </w:t>
      </w:r>
      <w:r>
        <w:rPr>
          <w:noProof/>
        </w:rPr>
        <w:drawing>
          <wp:inline distT="0" distB="0" distL="0" distR="0">
            <wp:extent cx="18274" cy="9137"/>
            <wp:effectExtent l="0" t="0" r="0" b="0"/>
            <wp:docPr id="26676" name="Picture 26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6" name="Picture 266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vyhlášky č. 62/2001 Sb., o hospodaření organizačních složek státu a státních organiz</w:t>
      </w:r>
      <w:r>
        <w:t>ací s majetkem státu za přiměřeného použití ustanovení občanského zákoníku (S 51 občanského zákoníku) na této smlouvě o úpravě vztahů při užívání nebytových prostor a části pozemku</w:t>
      </w:r>
    </w:p>
    <w:p w:rsidR="00035439" w:rsidRDefault="00881200">
      <w:pPr>
        <w:spacing w:after="0" w:line="259" w:lineRule="auto"/>
        <w:ind w:left="0" w:right="396" w:firstLine="0"/>
        <w:jc w:val="center"/>
      </w:pPr>
      <w:r>
        <w:rPr>
          <w:sz w:val="26"/>
        </w:rPr>
        <w:t>1.</w:t>
      </w:r>
    </w:p>
    <w:p w:rsidR="00035439" w:rsidRDefault="00881200">
      <w:pPr>
        <w:spacing w:after="260" w:line="259" w:lineRule="auto"/>
        <w:ind w:left="550" w:right="935" w:hanging="10"/>
        <w:jc w:val="center"/>
      </w:pPr>
      <w:r>
        <w:rPr>
          <w:sz w:val="26"/>
          <w:u w:val="single" w:color="000000"/>
        </w:rPr>
        <w:t>Úvodní ustanovení</w:t>
      </w:r>
    </w:p>
    <w:p w:rsidR="00035439" w:rsidRDefault="00881200">
      <w:pPr>
        <w:numPr>
          <w:ilvl w:val="0"/>
          <w:numId w:val="1"/>
        </w:numPr>
        <w:ind w:left="367" w:right="327" w:hanging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5793012</wp:posOffset>
            </wp:positionH>
            <wp:positionV relativeFrom="paragraph">
              <wp:posOffset>490569</wp:posOffset>
            </wp:positionV>
            <wp:extent cx="4569" cy="4569"/>
            <wp:effectExtent l="0" t="0" r="0" b="0"/>
            <wp:wrapSquare wrapText="bothSides"/>
            <wp:docPr id="1724" name="Picture 1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" name="Picture 17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Organizační složka je podle 9 zákona č. 219/2000 Sb.,</w:t>
      </w:r>
      <w:r>
        <w:t xml:space="preserve"> o majetku České republiky a jejím vystupování v právních vztazích, v platném znění a na základě zákona č. 320/2002 Sb., o změně zákonů a zrušení některých zákonů v souvislosti s ukončením činnosti </w:t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1725" name="Picture 1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" name="Picture 17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okresních úřadů příslušná hospodařit s následujícím majet</w:t>
      </w:r>
      <w:r>
        <w:t>kem, který je vlastnictvím České republiky:</w:t>
      </w:r>
    </w:p>
    <w:p w:rsidR="00035439" w:rsidRDefault="00881200">
      <w:pPr>
        <w:ind w:left="320" w:right="374"/>
      </w:pPr>
      <w:r>
        <w:rPr>
          <w:noProof/>
        </w:rPr>
        <w:drawing>
          <wp:inline distT="0" distB="0" distL="0" distR="0">
            <wp:extent cx="59392" cy="22842"/>
            <wp:effectExtent l="0" t="0" r="0" b="0"/>
            <wp:docPr id="26678" name="Picture 26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8" name="Picture 2667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2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domem č.p. 162 — občanská vybavenost, postaveným na stavební parcele č. 146, část </w:t>
      </w:r>
      <w:r>
        <w:rPr>
          <w:noProof/>
        </w:rPr>
        <w:drawing>
          <wp:inline distT="0" distB="0" distL="0" distR="0">
            <wp:extent cx="9137" cy="18273"/>
            <wp:effectExtent l="0" t="0" r="0" b="0"/>
            <wp:docPr id="26680" name="Picture 26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0" name="Picture 2668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obce Litoměřice — město </w:t>
      </w:r>
      <w:r>
        <w:rPr>
          <w:noProof/>
        </w:rPr>
        <w:drawing>
          <wp:inline distT="0" distB="0" distL="0" distR="0">
            <wp:extent cx="68529" cy="36547"/>
            <wp:effectExtent l="0" t="0" r="0" b="0"/>
            <wp:docPr id="26682" name="Picture 26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2" name="Picture 2668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pozemkem parcelní číslo 146 — zastavěná plocha a nádvoří o výměře 1131 m2 </w:t>
      </w:r>
      <w:r>
        <w:rPr>
          <w:noProof/>
        </w:rPr>
        <w:drawing>
          <wp:inline distT="0" distB="0" distL="0" distR="0">
            <wp:extent cx="59392" cy="22842"/>
            <wp:effectExtent l="0" t="0" r="0" b="0"/>
            <wp:docPr id="1734" name="Picture 1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" name="Picture 17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92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pozemkem parcelní číslo 147</w:t>
      </w:r>
      <w:r>
        <w:t xml:space="preserve"> — jiná plocha o výměře </w:t>
      </w:r>
      <w:proofErr w:type="gramStart"/>
      <w:r>
        <w:t>147m2</w:t>
      </w:r>
      <w:proofErr w:type="gramEnd"/>
      <w:r>
        <w:t>, včetně dvoupodlažní přístavby severní části dvorního traktu na č.p. 162 umístněné na uvedené ploše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735" name="Picture 1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" name="Picture 173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439" w:rsidRDefault="00881200">
      <w:pPr>
        <w:spacing w:after="284"/>
        <w:ind w:left="384"/>
      </w:pPr>
      <w:r>
        <w:t>vše jinak zapsané na čísle listu vlastnictví 3638 v katastru nemovitostí u Katastrálního úřadu v Litoměřicích, pro obec Litom</w:t>
      </w:r>
      <w:r>
        <w:t>ěřice, katastrální území Litoměřice, adresa: Mírové náměstí 35, Litoměřice.</w:t>
      </w:r>
    </w:p>
    <w:p w:rsidR="00035439" w:rsidRDefault="00881200">
      <w:pPr>
        <w:ind w:left="381" w:right="14" w:hanging="50"/>
      </w:pPr>
      <w:r>
        <w:t>Organizační složka prohlašuje, že neexistují žádné právní ani jiné vady předmětu užívání, které by byly překážkou platnosti této smlouvy.</w:t>
      </w:r>
    </w:p>
    <w:p w:rsidR="00035439" w:rsidRDefault="00881200">
      <w:pPr>
        <w:numPr>
          <w:ilvl w:val="0"/>
          <w:numId w:val="1"/>
        </w:numPr>
        <w:spacing w:after="553"/>
        <w:ind w:left="367" w:right="327" w:hanging="360"/>
      </w:pPr>
      <w:r>
        <w:lastRenderedPageBreak/>
        <w:t>Příspěvková organizace prohlašuje, že má p</w:t>
      </w:r>
      <w:r>
        <w:t>lnou právní subjektivitu k uzavření této smlouvy a že se seznámila správním stavem předmětného objektu včetně stavu elektroinstalace, neboť předmět užívání do dnešního dne měla ve svém nájmu.</w:t>
      </w:r>
    </w:p>
    <w:p w:rsidR="00035439" w:rsidRDefault="00881200">
      <w:pPr>
        <w:spacing w:after="0" w:line="259" w:lineRule="auto"/>
        <w:ind w:left="0" w:right="317" w:firstLine="0"/>
        <w:jc w:val="center"/>
      </w:pPr>
      <w:r>
        <w:t>11.</w:t>
      </w:r>
    </w:p>
    <w:p w:rsidR="00035439" w:rsidRDefault="00881200">
      <w:pPr>
        <w:spacing w:after="224" w:line="259" w:lineRule="auto"/>
        <w:ind w:left="550" w:right="842" w:hanging="10"/>
        <w:jc w:val="center"/>
      </w:pPr>
      <w:r>
        <w:rPr>
          <w:sz w:val="26"/>
          <w:u w:val="single" w:color="000000"/>
        </w:rPr>
        <w:t>Předmět a účel užívání</w:t>
      </w:r>
    </w:p>
    <w:p w:rsidR="00035439" w:rsidRDefault="00881200">
      <w:pPr>
        <w:numPr>
          <w:ilvl w:val="0"/>
          <w:numId w:val="2"/>
        </w:numPr>
        <w:ind w:right="14" w:hanging="331"/>
      </w:pPr>
      <w:r>
        <w:t>Organizační složka touto smlouvou přenechává příspěvkové organizaci do užívání:</w:t>
      </w:r>
    </w:p>
    <w:p w:rsidR="00035439" w:rsidRDefault="00881200">
      <w:pPr>
        <w:ind w:left="284" w:right="14"/>
      </w:pPr>
      <w:r>
        <w:rPr>
          <w:noProof/>
        </w:rPr>
        <w:drawing>
          <wp:inline distT="0" distB="0" distL="0" distR="0">
            <wp:extent cx="18274" cy="13705"/>
            <wp:effectExtent l="0" t="0" r="0" b="0"/>
            <wp:docPr id="4181" name="Picture 4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1" name="Picture 418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nebytový prostor — tzv. studený sklad na dvoře (2 </w:t>
      </w:r>
      <w:proofErr w:type="gramStart"/>
      <w:r>
        <w:t>místnosti )</w:t>
      </w:r>
      <w:proofErr w:type="gramEnd"/>
    </w:p>
    <w:p w:rsidR="00035439" w:rsidRDefault="00881200">
      <w:pPr>
        <w:numPr>
          <w:ilvl w:val="1"/>
          <w:numId w:val="2"/>
        </w:numPr>
        <w:spacing w:after="197"/>
        <w:ind w:right="97" w:hanging="187"/>
      </w:pPr>
      <w:r>
        <w:t>místnost č, 3 - umístění dvou počítačů</w:t>
      </w:r>
    </w:p>
    <w:p w:rsidR="00035439" w:rsidRDefault="00881200">
      <w:pPr>
        <w:numPr>
          <w:ilvl w:val="0"/>
          <w:numId w:val="2"/>
        </w:numPr>
        <w:spacing w:after="0"/>
        <w:ind w:right="14" w:hanging="331"/>
      </w:pPr>
      <w:r>
        <w:t>Výše specifikované nebytové prostory je příspěvková organizace oprávněna</w:t>
      </w:r>
      <w:r>
        <w:t xml:space="preserve"> užívat pro </w:t>
      </w:r>
      <w:proofErr w:type="gramStart"/>
      <w:r>
        <w:t>účely :</w:t>
      </w:r>
      <w:proofErr w:type="gramEnd"/>
    </w:p>
    <w:p w:rsidR="00035439" w:rsidRDefault="00881200">
      <w:pPr>
        <w:numPr>
          <w:ilvl w:val="1"/>
          <w:numId w:val="2"/>
        </w:numPr>
        <w:spacing w:after="283"/>
        <w:ind w:right="97" w:hanging="187"/>
      </w:pPr>
      <w:r>
        <w:t xml:space="preserve">pouze pro výkon předmětu své </w:t>
      </w:r>
      <w:proofErr w:type="gramStart"/>
      <w:r>
        <w:t>činnosti</w:t>
      </w:r>
      <w:proofErr w:type="gramEnd"/>
      <w:r>
        <w:t xml:space="preserve"> tj. měření ovzduší a provoz imisní stanice v souladu se stavebně technickým určením předmětných nebytových prostor.</w:t>
      </w:r>
    </w:p>
    <w:p w:rsidR="00035439" w:rsidRDefault="00881200">
      <w:pPr>
        <w:numPr>
          <w:ilvl w:val="0"/>
          <w:numId w:val="2"/>
        </w:numPr>
        <w:spacing w:after="202"/>
        <w:ind w:right="14" w:hanging="331"/>
      </w:pPr>
      <w:r>
        <w:t>Organizační složka prohlašuje, že předmět užívání je podle svého stavebně technick</w:t>
      </w:r>
      <w:r>
        <w:t>ého určení vhodný pro účely užívání.</w:t>
      </w:r>
    </w:p>
    <w:p w:rsidR="00035439" w:rsidRDefault="00881200">
      <w:pPr>
        <w:numPr>
          <w:ilvl w:val="0"/>
          <w:numId w:val="2"/>
        </w:numPr>
        <w:spacing w:after="188"/>
        <w:ind w:right="14" w:hanging="331"/>
      </w:pPr>
      <w:r>
        <w:t>Příspěvková organizace prohlašuje, že jí je stav nebytových prostor, které jí byly přenechány k užívání, dobře znám a potvrzuje, že všechny jsou ve stavu způsobilém k řádnému užívání podle této smlouvy. Příspěvková orga</w:t>
      </w:r>
      <w:r>
        <w:t>nizace bude tyto prostory užívat způsobem obvyklým a výhradně k účelům specifikovaným touto smlouvou, to vše v souladu s platnými právními předpisy.</w:t>
      </w:r>
    </w:p>
    <w:p w:rsidR="00035439" w:rsidRDefault="00881200">
      <w:pPr>
        <w:numPr>
          <w:ilvl w:val="0"/>
          <w:numId w:val="2"/>
        </w:numPr>
        <w:spacing w:after="800"/>
        <w:ind w:right="14" w:hanging="331"/>
      </w:pPr>
      <w:r>
        <w:t>Účel užívání nesmí být změněn bez písemného souhlasu organizační složky.</w:t>
      </w:r>
    </w:p>
    <w:p w:rsidR="00035439" w:rsidRDefault="00881200">
      <w:pPr>
        <w:spacing w:after="224" w:line="259" w:lineRule="auto"/>
        <w:ind w:left="550" w:right="863" w:hanging="10"/>
        <w:jc w:val="center"/>
      </w:pPr>
      <w:r>
        <w:rPr>
          <w:sz w:val="26"/>
          <w:u w:val="single" w:color="000000"/>
        </w:rPr>
        <w:t>Doba užívání</w:t>
      </w:r>
    </w:p>
    <w:p w:rsidR="00035439" w:rsidRDefault="00881200">
      <w:pPr>
        <w:spacing w:after="848"/>
        <w:ind w:left="10" w:right="14"/>
      </w:pPr>
      <w:r>
        <w:t xml:space="preserve">Tato smlouva se </w:t>
      </w:r>
      <w:proofErr w:type="spellStart"/>
      <w:r>
        <w:t>uzavfrá</w:t>
      </w:r>
      <w:proofErr w:type="spellEnd"/>
      <w:r>
        <w:t xml:space="preserve"> na dobu určitou od 1. 1. 2012 do 31.12. 2014 a nabývá účinnosti dnem podpisu této smlouvy.</w:t>
      </w:r>
    </w:p>
    <w:p w:rsidR="00035439" w:rsidRDefault="00881200">
      <w:pPr>
        <w:spacing w:after="196" w:line="259" w:lineRule="auto"/>
        <w:ind w:left="550" w:right="878" w:hanging="10"/>
        <w:jc w:val="center"/>
      </w:pPr>
      <w:r>
        <w:rPr>
          <w:sz w:val="26"/>
          <w:u w:val="single" w:color="000000"/>
        </w:rPr>
        <w:t>Práva a povinnosti smluvních stran</w:t>
      </w:r>
    </w:p>
    <w:p w:rsidR="00035439" w:rsidRDefault="00881200">
      <w:pPr>
        <w:numPr>
          <w:ilvl w:val="0"/>
          <w:numId w:val="3"/>
        </w:numPr>
        <w:spacing w:after="0" w:line="259" w:lineRule="auto"/>
        <w:ind w:right="0" w:hanging="345"/>
        <w:jc w:val="left"/>
      </w:pPr>
      <w:r>
        <w:rPr>
          <w:u w:val="single" w:color="000000"/>
        </w:rPr>
        <w:t>Organizační složka je povinna:</w:t>
      </w:r>
    </w:p>
    <w:p w:rsidR="00035439" w:rsidRDefault="00881200">
      <w:pPr>
        <w:numPr>
          <w:ilvl w:val="1"/>
          <w:numId w:val="3"/>
        </w:numPr>
        <w:spacing w:after="0"/>
        <w:ind w:left="965" w:right="101" w:hanging="389"/>
      </w:pPr>
      <w:r>
        <w:t>umožnit příspěvkové organizaci umístění dvou počítačů v místnosti č. 3, pro</w:t>
      </w:r>
      <w:r>
        <w:t xml:space="preserve"> účely měření ovzduší a provoz imisní stanice,</w:t>
      </w:r>
    </w:p>
    <w:p w:rsidR="00035439" w:rsidRDefault="00881200">
      <w:pPr>
        <w:numPr>
          <w:ilvl w:val="1"/>
          <w:numId w:val="3"/>
        </w:numPr>
        <w:spacing w:after="2"/>
        <w:ind w:left="965" w:right="101" w:hanging="389"/>
      </w:pPr>
      <w:r>
        <w:t xml:space="preserve">umožnit příspěvkové organizaci v pracovní době (tj. od 7.00 hod do 15.30 </w:t>
      </w:r>
      <w:proofErr w:type="gramStart"/>
      <w:r>
        <w:t>hod. )</w:t>
      </w:r>
      <w:proofErr w:type="gramEnd"/>
      <w:r>
        <w:t xml:space="preserve"> vjezd jejího vozidla na dvůr objektu v případě, že bude prováděn servis počítače,</w:t>
      </w:r>
    </w:p>
    <w:p w:rsidR="00035439" w:rsidRDefault="00881200">
      <w:pPr>
        <w:ind w:left="546" w:right="201" w:hanging="201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182" name="Picture 4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" name="Picture 418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c) umožnit na požádání zástupce příspěvkové or</w:t>
      </w:r>
      <w:r>
        <w:t xml:space="preserve">ganizace mimo pracovní dobu vstup </w:t>
      </w:r>
      <w:r>
        <w:rPr>
          <w:noProof/>
        </w:rPr>
        <w:drawing>
          <wp:inline distT="0" distB="0" distL="0" distR="0">
            <wp:extent cx="9137" cy="4569"/>
            <wp:effectExtent l="0" t="0" r="0" b="0"/>
            <wp:docPr id="4183" name="Picture 4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3" name="Picture 418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 počítačům k provedení servisu za přítomnosti zástupce organizační složky,</w:t>
      </w:r>
    </w:p>
    <w:p w:rsidR="00035439" w:rsidRDefault="00881200">
      <w:pPr>
        <w:numPr>
          <w:ilvl w:val="1"/>
          <w:numId w:val="4"/>
        </w:numPr>
        <w:ind w:right="14" w:hanging="374"/>
      </w:pPr>
      <w:r>
        <w:t>na své náklady zajistit opravy přesahující obvyklou údržbu,</w:t>
      </w:r>
    </w:p>
    <w:p w:rsidR="00035439" w:rsidRDefault="00881200">
      <w:pPr>
        <w:numPr>
          <w:ilvl w:val="1"/>
          <w:numId w:val="4"/>
        </w:numPr>
        <w:spacing w:after="524"/>
        <w:ind w:right="14" w:hanging="374"/>
      </w:pPr>
      <w:r>
        <w:t>zajistit příspěvkové organizaci do jí užívaných prostor řádnou dodávku služeb, spoje</w:t>
      </w:r>
      <w:r>
        <w:t>ných s užíváním nebytových prostor.</w:t>
      </w:r>
    </w:p>
    <w:p w:rsidR="00035439" w:rsidRDefault="00881200">
      <w:pPr>
        <w:numPr>
          <w:ilvl w:val="0"/>
          <w:numId w:val="3"/>
        </w:numPr>
        <w:spacing w:after="0" w:line="259" w:lineRule="auto"/>
        <w:ind w:right="0" w:hanging="345"/>
        <w:jc w:val="left"/>
      </w:pPr>
      <w:r>
        <w:rPr>
          <w:u w:val="single" w:color="000000"/>
        </w:rPr>
        <w:t>Příspěvková organizace je povinna: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6922" name="Picture 6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2" name="Picture 69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439" w:rsidRDefault="00881200">
      <w:pPr>
        <w:numPr>
          <w:ilvl w:val="1"/>
          <w:numId w:val="3"/>
        </w:numPr>
        <w:ind w:left="965" w:right="101" w:hanging="389"/>
      </w:pPr>
      <w:r>
        <w:lastRenderedPageBreak/>
        <w:t xml:space="preserve">užívat nebytové prostory pouze v souladu s účelem vymezeným v </w:t>
      </w:r>
      <w:proofErr w:type="spellStart"/>
      <w:proofErr w:type="gramStart"/>
      <w:r>
        <w:t>čl.ll</w:t>
      </w:r>
      <w:proofErr w:type="spellEnd"/>
      <w:proofErr w:type="gramEnd"/>
      <w:r>
        <w:t xml:space="preserve"> odst. 2 této smlouvy a pečovat o to, aby v důsledku užívání nebytových prostor nevznikla na majetku organizační slož</w:t>
      </w:r>
      <w:r>
        <w:t>ky škoda,</w:t>
      </w:r>
    </w:p>
    <w:p w:rsidR="00035439" w:rsidRDefault="00881200">
      <w:pPr>
        <w:numPr>
          <w:ilvl w:val="1"/>
          <w:numId w:val="3"/>
        </w:numPr>
        <w:spacing w:after="0"/>
        <w:ind w:left="965" w:right="101" w:hanging="389"/>
      </w:pPr>
      <w:r>
        <w:t>hradit ve lhůtě splatnosti organizační složce úhradu za služby spojené s užíváním nebytových prostor, které jsou uvedeny v čl. VI. této smlouvy,</w:t>
      </w:r>
    </w:p>
    <w:p w:rsidR="00035439" w:rsidRDefault="00881200">
      <w:pPr>
        <w:numPr>
          <w:ilvl w:val="1"/>
          <w:numId w:val="3"/>
        </w:numPr>
        <w:ind w:left="965" w:right="101" w:hanging="389"/>
      </w:pPr>
      <w:r>
        <w:t>hradit náklady spojené s obvyklým udržováním užívaných nebytových prostor,</w:t>
      </w:r>
    </w:p>
    <w:p w:rsidR="00035439" w:rsidRDefault="00881200">
      <w:pPr>
        <w:numPr>
          <w:ilvl w:val="1"/>
          <w:numId w:val="3"/>
        </w:numPr>
        <w:spacing w:after="0"/>
        <w:ind w:left="965" w:right="101" w:hanging="389"/>
      </w:pPr>
      <w:r>
        <w:t>umožnit organizační složce vstup do užívaných nebytových prostor v přítomnosti zaměstnance příspěvkové organizace, a to zejména za účelem kontroly dodržování podmínek této smlouvy,</w:t>
      </w:r>
    </w:p>
    <w:p w:rsidR="00035439" w:rsidRDefault="00881200">
      <w:pPr>
        <w:numPr>
          <w:ilvl w:val="1"/>
          <w:numId w:val="3"/>
        </w:numPr>
        <w:spacing w:after="0"/>
        <w:ind w:left="965" w:right="101" w:hanging="389"/>
      </w:pPr>
      <w:r>
        <w:t>oznámit organizační složce bez zbytečného odkladu potřeby oprav, které podle této smlouvy a právních předpisů zajišťuje organizační složka, v případě nesplnění této oznamovací povinnosti příspěvková organizace odpovídá za škodu tím způsobenou,</w:t>
      </w:r>
    </w:p>
    <w:p w:rsidR="00035439" w:rsidRDefault="00881200">
      <w:pPr>
        <w:numPr>
          <w:ilvl w:val="1"/>
          <w:numId w:val="3"/>
        </w:numPr>
        <w:spacing w:after="1"/>
        <w:ind w:left="965" w:right="101" w:hanging="389"/>
      </w:pPr>
      <w:r>
        <w:t>uhradit orga</w:t>
      </w:r>
      <w:r>
        <w:t>nizační složce jakoukoliv škodu, která vznikne na užívaném majetku zaviněným jednáním příspěvkové organizace. Příspěvková organizace je povinna oznámit takto vzniklou škodu organizační složce, jakmile zjistí, že škoda vznikla,</w:t>
      </w:r>
    </w:p>
    <w:p w:rsidR="00035439" w:rsidRDefault="00881200">
      <w:pPr>
        <w:numPr>
          <w:ilvl w:val="1"/>
          <w:numId w:val="3"/>
        </w:numPr>
        <w:spacing w:after="0"/>
        <w:ind w:left="965" w:right="101" w:hanging="389"/>
      </w:pPr>
      <w:r>
        <w:t>v den skončení nájmu předat u</w:t>
      </w:r>
      <w:r>
        <w:t xml:space="preserve">žívané nebytové prostory v původním stavu s přihlédnutím k obvyklému opotřebení, vyklizené a uklizené, předat organizační složce klíče od těchto </w:t>
      </w:r>
      <w:proofErr w:type="gramStart"/>
      <w:r>
        <w:t>prostor ,</w:t>
      </w:r>
      <w:proofErr w:type="gramEnd"/>
    </w:p>
    <w:p w:rsidR="00035439" w:rsidRDefault="00881200">
      <w:pPr>
        <w:numPr>
          <w:ilvl w:val="1"/>
          <w:numId w:val="3"/>
        </w:numPr>
        <w:ind w:left="965" w:right="101" w:hanging="389"/>
      </w:pPr>
      <w:r>
        <w:t>dodržovat bezpečnostní a protipožární předpisy za účelem ochrany užívaného majetku, na vlastní náklad</w:t>
      </w:r>
      <w:r>
        <w:t>y provádět kontrolu stavu majetku příspěvkové organizace umístněného v pronajatých nebytových prostorách z hlediska protipožární a bezpečnostní prevence (revize),</w:t>
      </w:r>
    </w:p>
    <w:p w:rsidR="00035439" w:rsidRDefault="00881200">
      <w:pPr>
        <w:numPr>
          <w:ilvl w:val="1"/>
          <w:numId w:val="3"/>
        </w:numPr>
        <w:ind w:left="965" w:right="101" w:hanging="389"/>
      </w:pPr>
      <w:r>
        <w:t xml:space="preserve">neprovádět jakékoliv stavební či jiné úpravy v užívaných nebytových prostorách bez písemného </w:t>
      </w:r>
      <w:r>
        <w:t>souhlasu organizační složky; náhradu nákladů na tyto úpravy je oprávněna od organizační složky požadovat jen pokud se tato k náhradě takových nákladů písemně zavázala,</w:t>
      </w:r>
    </w:p>
    <w:p w:rsidR="00035439" w:rsidRDefault="00881200">
      <w:pPr>
        <w:numPr>
          <w:ilvl w:val="1"/>
          <w:numId w:val="3"/>
        </w:numPr>
        <w:ind w:left="965" w:right="101" w:hanging="389"/>
      </w:pPr>
      <w:r>
        <w:t xml:space="preserve">zajistit na své náklady malování užívaných </w:t>
      </w:r>
      <w:proofErr w:type="gramStart"/>
      <w:r>
        <w:t>prostor ,</w:t>
      </w:r>
      <w:proofErr w:type="gramEnd"/>
    </w:p>
    <w:p w:rsidR="00035439" w:rsidRDefault="00881200">
      <w:pPr>
        <w:numPr>
          <w:ilvl w:val="1"/>
          <w:numId w:val="3"/>
        </w:numPr>
        <w:ind w:left="965" w:right="101" w:hanging="389"/>
      </w:pPr>
      <w:r>
        <w:t>zajistit na své náklady revizi elek</w:t>
      </w:r>
      <w:r>
        <w:t>troinstalace v užívaných prostorách a kopii předat organizační složce,</w:t>
      </w:r>
    </w:p>
    <w:p w:rsidR="00035439" w:rsidRDefault="00881200">
      <w:pPr>
        <w:numPr>
          <w:ilvl w:val="1"/>
          <w:numId w:val="3"/>
        </w:numPr>
        <w:spacing w:after="0"/>
        <w:ind w:left="965" w:right="101" w:hanging="389"/>
      </w:pPr>
      <w:r>
        <w:t>bere na vědomí, že bez předchozího souhlasu organizační složky nesmí užívané nebytové prostory přenechat k užívání třetí osobě ani další organizační složce státu nebo státní organizaci,</w:t>
      </w:r>
      <w:r>
        <w:t xml:space="preserve"> a to ani z části,</w:t>
      </w:r>
    </w:p>
    <w:p w:rsidR="00035439" w:rsidRDefault="00881200">
      <w:pPr>
        <w:numPr>
          <w:ilvl w:val="1"/>
          <w:numId w:val="3"/>
        </w:numPr>
        <w:ind w:left="965" w:right="101" w:hanging="389"/>
      </w:pPr>
      <w:r>
        <w:t xml:space="preserve">k zajištění ochrany majetku a zdraví v budově uložit u organizační složky náhradní klíče od užívaných prostor. Proti zneužití klíčů je příspěvková organizace před uložením zapečetí v obálce. Tato obálka bude uložena u </w:t>
      </w:r>
      <w:proofErr w:type="spellStart"/>
      <w:r>
        <w:t>ekonomicko</w:t>
      </w:r>
      <w:proofErr w:type="spellEnd"/>
      <w:r>
        <w:t xml:space="preserve"> provozní</w:t>
      </w:r>
      <w:r>
        <w:t>ho zaměstnance územního pracoviště organizační složky v trezoru umístěném v kanceláři sekretariátu a podatelny. Příspěvková organizace je oprávněna kontrolovat stav pečeti náhradních klíčů. Tyto klíče lze použít pouze v případě nezbytné potřeby při ochraně</w:t>
      </w:r>
      <w:r>
        <w:t xml:space="preserve"> majetku a zdraví (jde zejména o havárie či živelní katastrofy). O případném použití náhradních klíčů je organizační složka povinna příspěvkovou organizaci informovat předem, popřípadě neprodleně po použití těchto klíčů.</w:t>
      </w:r>
    </w:p>
    <w:p w:rsidR="00035439" w:rsidRDefault="00881200">
      <w:pPr>
        <w:pStyle w:val="Nadpis2"/>
        <w:spacing w:after="206"/>
        <w:ind w:left="353" w:right="0"/>
      </w:pPr>
      <w:r>
        <w:t>Úhrada za užívání nebytových prosto</w:t>
      </w:r>
      <w:r>
        <w:t xml:space="preserve">r a služby, </w:t>
      </w:r>
      <w:proofErr w:type="spellStart"/>
      <w:r>
        <w:t>spoiené</w:t>
      </w:r>
      <w:proofErr w:type="spellEnd"/>
      <w:r>
        <w:t xml:space="preserve"> s užíváním nebytových prostor</w:t>
      </w:r>
    </w:p>
    <w:p w:rsidR="00035439" w:rsidRDefault="00881200">
      <w:pPr>
        <w:numPr>
          <w:ilvl w:val="0"/>
          <w:numId w:val="5"/>
        </w:numPr>
        <w:spacing w:after="284"/>
        <w:ind w:right="14" w:hanging="367"/>
      </w:pPr>
      <w:r>
        <w:t>Smluvní strany ujednaly, že užívání nebytových prostor dle této smlouvy se sjednává bezplatně.</w:t>
      </w:r>
    </w:p>
    <w:p w:rsidR="00035439" w:rsidRDefault="00881200">
      <w:pPr>
        <w:numPr>
          <w:ilvl w:val="0"/>
          <w:numId w:val="5"/>
        </w:numPr>
        <w:spacing w:after="135"/>
        <w:ind w:right="14" w:hanging="367"/>
      </w:pPr>
      <w:r>
        <w:t xml:space="preserve">Zajištění služeb spojených s užíváním nebytových prostor, způsob, výše a splatnost úhrady za služby, spojené s </w:t>
      </w:r>
      <w:r>
        <w:t xml:space="preserve">užíváním nebytových </w:t>
      </w:r>
      <w:proofErr w:type="gramStart"/>
      <w:r>
        <w:t>prostor :</w:t>
      </w:r>
      <w:proofErr w:type="gramEnd"/>
    </w:p>
    <w:p w:rsidR="00035439" w:rsidRDefault="00881200">
      <w:pPr>
        <w:numPr>
          <w:ilvl w:val="1"/>
          <w:numId w:val="5"/>
        </w:numPr>
        <w:spacing w:after="0"/>
        <w:ind w:right="14" w:hanging="374"/>
      </w:pPr>
      <w:r>
        <w:t>organizační složka se zavazuje zajistit příspěvkové organizaci dodávku služeb do jí užívaných nebytových prostor, uvedených v článku II. odst. 1 této smlouvy,</w:t>
      </w:r>
    </w:p>
    <w:p w:rsidR="00035439" w:rsidRDefault="00881200">
      <w:pPr>
        <w:numPr>
          <w:ilvl w:val="1"/>
          <w:numId w:val="5"/>
        </w:numPr>
        <w:spacing w:after="0"/>
        <w:ind w:right="14" w:hanging="374"/>
      </w:pPr>
      <w:r>
        <w:t>smluvní strany ujednaly výši a splatnost úhrady za jednotlivé služb</w:t>
      </w:r>
      <w:r>
        <w:t>y, spojené s užíváním nebytových prostor, způsobem uvedeným v článku VI. této smlouvy,</w:t>
      </w:r>
    </w:p>
    <w:p w:rsidR="00035439" w:rsidRDefault="00881200">
      <w:pPr>
        <w:numPr>
          <w:ilvl w:val="1"/>
          <w:numId w:val="5"/>
        </w:numPr>
        <w:spacing w:after="818"/>
        <w:ind w:right="14" w:hanging="374"/>
      </w:pPr>
      <w:r>
        <w:lastRenderedPageBreak/>
        <w:t>v případě, že dojde ke změně použitého klíče pro rozúčtování nákladů na jednotlivé služby spojené s užíváním nebytových prostor, bude poměr (procento) nákladů upraven písemným dodatkem k této smlouvě.</w:t>
      </w:r>
    </w:p>
    <w:p w:rsidR="00035439" w:rsidRDefault="00881200">
      <w:pPr>
        <w:spacing w:after="197" w:line="259" w:lineRule="auto"/>
        <w:ind w:left="550" w:right="302" w:hanging="10"/>
        <w:jc w:val="center"/>
      </w:pPr>
      <w:r>
        <w:rPr>
          <w:sz w:val="26"/>
          <w:u w:val="single" w:color="000000"/>
        </w:rPr>
        <w:t>Výše a splatnost úhrad za služby</w:t>
      </w:r>
    </w:p>
    <w:p w:rsidR="00035439" w:rsidRDefault="00881200">
      <w:pPr>
        <w:pStyle w:val="Nadpis3"/>
        <w:ind w:left="297"/>
      </w:pPr>
      <w:r>
        <w:rPr>
          <w:u w:val="none"/>
        </w:rPr>
        <w:t xml:space="preserve">1. </w:t>
      </w:r>
      <w:r>
        <w:t xml:space="preserve">Dodávka elektrické </w:t>
      </w:r>
      <w:r>
        <w:t>energie</w:t>
      </w:r>
    </w:p>
    <w:p w:rsidR="00035439" w:rsidRDefault="00881200">
      <w:pPr>
        <w:spacing w:after="5"/>
        <w:ind w:left="619" w:right="14" w:firstLine="86"/>
      </w:pPr>
      <w:r>
        <w:t xml:space="preserve">Příspěvková organizace se zavazuje hradit organizační složce celou částku ze spotřeby vykázané na elektroměru č. 5820780 a č. 71909453, kde měsíční zálohy v součtu činí </w:t>
      </w:r>
      <w:proofErr w:type="gramStart"/>
      <w:r>
        <w:t>8.727,--</w:t>
      </w:r>
      <w:proofErr w:type="gramEnd"/>
      <w:r>
        <w:t xml:space="preserve"> Kč a jsou splatné na základě faktury OS. Po skončení roku (zálohového </w:t>
      </w:r>
      <w:r>
        <w:t>období) je OS povinna zaslat PO vyúčtování nejpozději do jednoho měsíce poté, co bylo OS doručeno vyúčtování přímým dodavatelem této služby, přičemž v této lhůtě OS uhradí PO případný přeplatek a zašle doklad o vyúčtování přímým dodavatelem této služby. Př</w:t>
      </w:r>
      <w:r>
        <w:t>ípadný nedoplatek je splatný na základě faktury, ke které OS připojí doklad o vyúčtování přímým dodavatelem služby.</w:t>
      </w:r>
    </w:p>
    <w:p w:rsidR="00035439" w:rsidRDefault="00881200">
      <w:pPr>
        <w:spacing w:after="267"/>
        <w:ind w:left="651" w:right="14"/>
      </w:pPr>
      <w:r>
        <w:t>Faktury jsou splatné vždy do 14. dne ode dne jejich doručení PO.</w:t>
      </w:r>
    </w:p>
    <w:p w:rsidR="00035439" w:rsidRDefault="00881200">
      <w:pPr>
        <w:pStyle w:val="Nadpis3"/>
        <w:ind w:left="297"/>
      </w:pPr>
      <w:r>
        <w:rPr>
          <w:u w:val="none"/>
        </w:rPr>
        <w:t xml:space="preserve">2. </w:t>
      </w:r>
      <w:r>
        <w:t>Odvod srážkových vod</w:t>
      </w:r>
    </w:p>
    <w:p w:rsidR="00035439" w:rsidRDefault="00881200">
      <w:pPr>
        <w:ind w:left="640" w:right="14" w:firstLine="72"/>
      </w:pPr>
      <w:r>
        <w:t>Příspěvková organizace se zavazuje hradit organizač</w:t>
      </w:r>
      <w:r>
        <w:t>ní složce měsíčně paušální částku za odvod srážkových vod 40,- Kč, která je splatná na základě faktury OS vždy po skončení každého měsíce.</w:t>
      </w:r>
    </w:p>
    <w:p w:rsidR="00035439" w:rsidRDefault="00881200">
      <w:pPr>
        <w:spacing w:after="275"/>
        <w:ind w:left="708" w:right="14"/>
      </w:pPr>
      <w:r>
        <w:t>Faktury jsou splatné vždy do 14 dne ode dne jejich doručení PO.</w:t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9683" name="Picture 9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3" name="Picture 968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439" w:rsidRDefault="00881200">
      <w:pPr>
        <w:pStyle w:val="Nadpis3"/>
        <w:ind w:left="297"/>
      </w:pPr>
      <w:r>
        <w:rPr>
          <w:u w:val="none"/>
        </w:rPr>
        <w:t xml:space="preserve">3. </w:t>
      </w:r>
      <w:r>
        <w:t>Zabezpečovací zařízení</w:t>
      </w:r>
    </w:p>
    <w:p w:rsidR="00035439" w:rsidRDefault="00881200">
      <w:pPr>
        <w:spacing w:after="277"/>
        <w:ind w:left="643" w:right="14"/>
      </w:pPr>
      <w:r>
        <w:t xml:space="preserve">Za zajištění zabezpečovacího zařízení užívaných prostor se PO zavazuje hradit OS 90,- Kč čtvrtletně, která je </w:t>
      </w:r>
      <w:proofErr w:type="spellStart"/>
      <w:r>
        <w:t>splamá</w:t>
      </w:r>
      <w:proofErr w:type="spellEnd"/>
      <w:r>
        <w:t xml:space="preserve"> na základě faktury OS vždy po skončení každého čtvrtletí. Faktury jsou splatné vždy do 14 dnů ode dne jejich doničení PO.</w:t>
      </w:r>
    </w:p>
    <w:p w:rsidR="00035439" w:rsidRDefault="00881200">
      <w:pPr>
        <w:pStyle w:val="Nadpis3"/>
        <w:ind w:left="297"/>
      </w:pPr>
      <w:r>
        <w:rPr>
          <w:u w:val="none"/>
        </w:rPr>
        <w:t xml:space="preserve">4. </w:t>
      </w:r>
      <w:r>
        <w:t>Úklid</w:t>
      </w:r>
    </w:p>
    <w:p w:rsidR="00035439" w:rsidRDefault="00881200">
      <w:pPr>
        <w:spacing w:after="282"/>
        <w:ind w:left="636" w:right="14"/>
      </w:pPr>
      <w:r>
        <w:t>PO se za</w:t>
      </w:r>
      <w:r>
        <w:t>vazuje přispívat na úklid společně užívaných prostor a dvora částkou 50,- Kč měsíčně na základě faktury OS, která je splatná vždy do 14.dne ode dne jejího doručené příspěvkové organizaci.</w:t>
      </w:r>
    </w:p>
    <w:p w:rsidR="00035439" w:rsidRDefault="00881200">
      <w:pPr>
        <w:ind w:left="273" w:right="14" w:firstLine="360"/>
      </w:pPr>
      <w:r>
        <w:t xml:space="preserve">V případě, že dojde ke změně cen služeb uvedených v odst. </w:t>
      </w:r>
      <w:proofErr w:type="gramStart"/>
      <w:r>
        <w:t>1 — 4</w:t>
      </w:r>
      <w:proofErr w:type="gramEnd"/>
      <w:r>
        <w:t xml:space="preserve">, je </w:t>
      </w:r>
      <w:r>
        <w:t>PO povinna platit OS změněné zálohy na úhradu cen shora uvedených služeb a to poté, co dojde ke změně záloh těchto služeb. OS oznámí PO výši alikvotně změněné zálohy a předloží doklad o výši změněné zálohy od přímého dodavatele této služby.</w:t>
      </w:r>
    </w:p>
    <w:p w:rsidR="00035439" w:rsidRDefault="00881200">
      <w:pPr>
        <w:spacing w:after="546"/>
        <w:ind w:left="298" w:right="14"/>
      </w:pPr>
      <w:r>
        <w:t>OS se zavazuje předložit na vyžádání PO smlouvy OS s přímými dodavateli výše uvedených služeb na dodávky těchto služeb.</w:t>
      </w:r>
    </w:p>
    <w:p w:rsidR="00035439" w:rsidRDefault="00881200">
      <w:pPr>
        <w:spacing w:after="224" w:line="259" w:lineRule="auto"/>
        <w:ind w:left="550" w:hanging="10"/>
        <w:jc w:val="center"/>
      </w:pPr>
      <w:r>
        <w:rPr>
          <w:sz w:val="26"/>
          <w:u w:val="single" w:color="000000"/>
        </w:rPr>
        <w:t>Skončení užívání</w:t>
      </w:r>
    </w:p>
    <w:p w:rsidR="00035439" w:rsidRDefault="00881200">
      <w:pPr>
        <w:spacing w:after="212"/>
        <w:ind w:left="320" w:right="14"/>
      </w:pPr>
      <w:r>
        <w:t>1. Užívání lze skončit písemnou dohodou smluvních stran,</w:t>
      </w:r>
    </w:p>
    <w:p w:rsidR="00035439" w:rsidRDefault="00881200">
      <w:pPr>
        <w:spacing w:after="183"/>
        <w:ind w:left="626" w:right="14" w:hanging="705"/>
      </w:pPr>
      <w:r>
        <w:rPr>
          <w:noProof/>
        </w:rPr>
        <w:drawing>
          <wp:inline distT="0" distB="0" distL="0" distR="0">
            <wp:extent cx="77667" cy="27410"/>
            <wp:effectExtent l="0" t="0" r="0" b="0"/>
            <wp:docPr id="12130" name="Picture 12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0" name="Picture 1213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2. Smluvní strany mohou též tuto smlouvu písemně vypovědět i</w:t>
      </w:r>
      <w:r>
        <w:t xml:space="preserve"> bez uvedení důvodu jednostrannou výpovědí s šestiměsíční výpovědní lhůtou, která se počítá od prvního dne měsíce následujícího po doručení písemné výpovědi. Při odeslání výpovědi poštou, </w:t>
      </w:r>
      <w:proofErr w:type="spellStart"/>
      <w:r>
        <w:t>nebylli</w:t>
      </w:r>
      <w:proofErr w:type="spellEnd"/>
      <w:r>
        <w:t xml:space="preserve"> adresát zastižen, se výpověď považuje za doručenou dnem, kdy</w:t>
      </w:r>
      <w:r>
        <w:t xml:space="preserve"> byla uložena na poště.</w:t>
      </w:r>
    </w:p>
    <w:p w:rsidR="00035439" w:rsidRDefault="00881200">
      <w:pPr>
        <w:spacing w:after="818"/>
        <w:ind w:left="547" w:right="14" w:hanging="266"/>
      </w:pPr>
      <w:r>
        <w:lastRenderedPageBreak/>
        <w:t xml:space="preserve">3. V případě, že příspěvková organizace je i přes písemnou upomínku organizační složky v prodlení se zaplacením úhrady za služby o více než 20 dní po doručení písemné </w:t>
      </w:r>
      <w:r>
        <w:rPr>
          <w:noProof/>
        </w:rPr>
        <w:drawing>
          <wp:inline distT="0" distB="0" distL="0" distR="0">
            <wp:extent cx="9137" cy="13705"/>
            <wp:effectExtent l="0" t="0" r="0" b="0"/>
            <wp:docPr id="12132" name="Picture 12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2" name="Picture 1213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upomínky a v případě, že příspěvková organizace přenechala v ro</w:t>
      </w:r>
      <w:r>
        <w:t xml:space="preserve">zporu s touto smlouvou nebytové prostory k užívání jinému a v případě, že příspěvková organizace provedla v užívaných nebytových prostorách stavební změny, ke kterým je třeba stavebního ohlášení nebo povolení bez předchozího písemného souhlasu organizační </w:t>
      </w:r>
      <w:r>
        <w:t xml:space="preserve">složky, činí výpovědní lhůta jeden měsíc, čímž není dotčeno právo organizační složky na náhradu škody tím způsobené. Zároveň je organizační složka oprávněna od smlouvy </w:t>
      </w:r>
      <w:proofErr w:type="gramStart"/>
      <w:r>
        <w:t>odstoupit</w:t>
      </w:r>
      <w:proofErr w:type="gramEnd"/>
      <w:r>
        <w:t xml:space="preserve"> pokud dojde ke změně příspěvkové organizace na jinou než státní.</w:t>
      </w:r>
    </w:p>
    <w:p w:rsidR="00035439" w:rsidRDefault="00881200">
      <w:pPr>
        <w:spacing w:after="182" w:line="259" w:lineRule="auto"/>
        <w:ind w:left="550" w:right="324" w:hanging="1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6738717</wp:posOffset>
            </wp:positionH>
            <wp:positionV relativeFrom="page">
              <wp:posOffset>3097312</wp:posOffset>
            </wp:positionV>
            <wp:extent cx="18275" cy="13705"/>
            <wp:effectExtent l="0" t="0" r="0" b="0"/>
            <wp:wrapSquare wrapText="bothSides"/>
            <wp:docPr id="12164" name="Picture 12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" name="Picture 1216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275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u w:val="single" w:color="000000"/>
        </w:rPr>
        <w:t>Sankce při p</w:t>
      </w:r>
      <w:r>
        <w:rPr>
          <w:sz w:val="26"/>
          <w:u w:val="single" w:color="000000"/>
        </w:rPr>
        <w:t>orušení povinností</w:t>
      </w:r>
    </w:p>
    <w:p w:rsidR="00035439" w:rsidRDefault="00881200">
      <w:pPr>
        <w:numPr>
          <w:ilvl w:val="0"/>
          <w:numId w:val="6"/>
        </w:numPr>
        <w:spacing w:after="172"/>
        <w:ind w:right="14" w:hanging="331"/>
      </w:pPr>
      <w:r>
        <w:t xml:space="preserve">Nepředá-li příspěvková organizace při skončení užívání pronajaté prostory včas a řádně vyklizené, zaplatí organizační složce za dobu prodlení smluvní pokutu ve výši </w:t>
      </w:r>
      <w:proofErr w:type="gramStart"/>
      <w:r>
        <w:t>1.000,-</w:t>
      </w:r>
      <w:proofErr w:type="gramEnd"/>
      <w:r>
        <w:t xml:space="preserve"> Kč za každý i započatý den prodlení.</w:t>
      </w:r>
    </w:p>
    <w:p w:rsidR="00035439" w:rsidRDefault="00881200">
      <w:pPr>
        <w:numPr>
          <w:ilvl w:val="0"/>
          <w:numId w:val="6"/>
        </w:numPr>
        <w:spacing w:after="296"/>
        <w:ind w:right="14" w:hanging="331"/>
      </w:pPr>
      <w:r>
        <w:t>V případě, že organizační s</w:t>
      </w:r>
      <w:r>
        <w:t xml:space="preserve">ložka nesplní své povinnosti sjednané v čl. IV.1 této smlouvy, je povinna zaplatit příspěvkové organizaci smluvní pokutu ve výši </w:t>
      </w:r>
      <w:proofErr w:type="gramStart"/>
      <w:r>
        <w:t>1.000,-</w:t>
      </w:r>
      <w:proofErr w:type="gramEnd"/>
      <w:r>
        <w:t xml:space="preserve"> Kč za každé porušení smluvní povinnosti.</w:t>
      </w:r>
    </w:p>
    <w:p w:rsidR="00035439" w:rsidRDefault="00881200">
      <w:pPr>
        <w:spacing w:after="284"/>
        <w:ind w:left="634" w:right="14" w:hanging="353"/>
      </w:pPr>
      <w:r>
        <w:t xml:space="preserve">3, V případě, že příspěvková organizace nesplní své povinnosti sjednané v čl. </w:t>
      </w:r>
      <w:r>
        <w:t xml:space="preserve">IV.2 této smlouvy, je povinna zaplatit organizační složce smluvní pokutu ve výši </w:t>
      </w:r>
      <w:proofErr w:type="gramStart"/>
      <w:r>
        <w:t>1.000,-</w:t>
      </w:r>
      <w:proofErr w:type="gramEnd"/>
      <w:r>
        <w:t xml:space="preserve"> Kč za každé porušení smluvní povinnosti.</w:t>
      </w:r>
    </w:p>
    <w:p w:rsidR="00035439" w:rsidRDefault="00881200">
      <w:pPr>
        <w:numPr>
          <w:ilvl w:val="0"/>
          <w:numId w:val="7"/>
        </w:numPr>
        <w:spacing w:after="275"/>
        <w:ind w:right="14" w:hanging="360"/>
      </w:pPr>
      <w:r>
        <w:t xml:space="preserve">V případě nedodržení termínu splatnosti faktur je organizační složka oprávněna příspěvkové organizaci účtovat úrok z prodlení </w:t>
      </w:r>
      <w:r>
        <w:t>dle platných právních předpisů.</w:t>
      </w:r>
    </w:p>
    <w:p w:rsidR="00035439" w:rsidRDefault="00881200">
      <w:pPr>
        <w:numPr>
          <w:ilvl w:val="0"/>
          <w:numId w:val="7"/>
        </w:numPr>
        <w:spacing w:after="839"/>
        <w:ind w:right="14" w:hanging="360"/>
      </w:pPr>
      <w:r>
        <w:t>Splatnost smluvní sankce je do 14 dnů ode dne doručení výzvy k zaplacení smluvní sankce. Ustanovením o smluvní pokutě není dotčen nárok na náhradu škody způsobené porušením smluvní povinnosti zajištěné smluvní pokutou.</w:t>
      </w:r>
    </w:p>
    <w:p w:rsidR="00035439" w:rsidRDefault="00881200">
      <w:pPr>
        <w:spacing w:after="224" w:line="259" w:lineRule="auto"/>
        <w:ind w:left="550" w:right="0" w:hanging="10"/>
        <w:jc w:val="center"/>
      </w:pPr>
      <w:r>
        <w:rPr>
          <w:sz w:val="26"/>
          <w:u w:val="single" w:color="000000"/>
        </w:rPr>
        <w:t>Závěrečná ustanovení</w:t>
      </w:r>
    </w:p>
    <w:p w:rsidR="00035439" w:rsidRDefault="00881200">
      <w:pPr>
        <w:ind w:left="619" w:right="14" w:hanging="324"/>
      </w:pPr>
      <w:r>
        <w:t>l. Tato smlouvaj</w:t>
      </w:r>
      <w:r>
        <w:t>e sepsána ve 4 vyhotoveních, z nichž každá smluvní strana obdrží po dvou písemných vyhotoveních této smlouvy.</w:t>
      </w:r>
    </w:p>
    <w:p w:rsidR="00035439" w:rsidRDefault="00881200">
      <w:pPr>
        <w:spacing w:after="572"/>
        <w:ind w:left="648" w:right="14" w:hanging="360"/>
      </w:pPr>
      <w:r>
        <w:t>2. Odpovědní zástupci obou smluvních stran prohlašují, že si smlouvu přečetli, že byla sepsána podle jejich pravé a svobodné vůle, a že jsou opráv</w:t>
      </w:r>
      <w:r>
        <w:t>něni tuto smlouvu uzavřít, což stvrzují svými podpisy.</w:t>
      </w:r>
    </w:p>
    <w:p w:rsidR="00035439" w:rsidRDefault="00881200">
      <w:pPr>
        <w:spacing w:after="409"/>
        <w:ind w:left="276" w:right="1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3627486</wp:posOffset>
            </wp:positionH>
            <wp:positionV relativeFrom="page">
              <wp:posOffset>10009159</wp:posOffset>
            </wp:positionV>
            <wp:extent cx="4569" cy="4569"/>
            <wp:effectExtent l="0" t="0" r="0" b="0"/>
            <wp:wrapTopAndBottom/>
            <wp:docPr id="13073" name="Picture 13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3" name="Picture 130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 </w:t>
      </w:r>
      <w:proofErr w:type="spellStart"/>
      <w:r>
        <w:t>Ustí</w:t>
      </w:r>
      <w:proofErr w:type="spellEnd"/>
      <w:r>
        <w:t xml:space="preserve"> nad Labem dne</w:t>
      </w:r>
    </w:p>
    <w:p w:rsidR="00035439" w:rsidRDefault="00881200">
      <w:pPr>
        <w:tabs>
          <w:tab w:val="center" w:pos="2029"/>
          <w:tab w:val="center" w:pos="7508"/>
        </w:tabs>
        <w:spacing w:after="108"/>
        <w:ind w:left="0" w:right="0" w:firstLine="0"/>
        <w:jc w:val="left"/>
      </w:pPr>
      <w:bookmarkStart w:id="0" w:name="_GoBack"/>
      <w:bookmarkEnd w:id="0"/>
      <w:r>
        <w:tab/>
        <w:t xml:space="preserve">za </w:t>
      </w:r>
    </w:p>
    <w:p w:rsidR="00035439" w:rsidRDefault="00881200">
      <w:pPr>
        <w:spacing w:after="3" w:line="259" w:lineRule="auto"/>
        <w:ind w:left="1304" w:right="0" w:hanging="10"/>
        <w:jc w:val="left"/>
      </w:pPr>
      <w:r>
        <w:rPr>
          <w:noProof/>
        </w:rPr>
        <w:drawing>
          <wp:inline distT="0" distB="0" distL="0" distR="0">
            <wp:extent cx="392902" cy="114208"/>
            <wp:effectExtent l="0" t="0" r="0" b="0"/>
            <wp:docPr id="26688" name="Picture 26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8" name="Picture 266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2902" cy="11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sz w:val="18"/>
        </w:rPr>
        <w:t>hygieniei:á</w:t>
      </w:r>
      <w:proofErr w:type="spellEnd"/>
      <w:proofErr w:type="gramEnd"/>
      <w:r>
        <w:rPr>
          <w:sz w:val="18"/>
        </w:rPr>
        <w:t xml:space="preserve"> stanice</w:t>
      </w:r>
    </w:p>
    <w:p w:rsidR="00035439" w:rsidRDefault="00881200">
      <w:pPr>
        <w:spacing w:after="0" w:line="216" w:lineRule="auto"/>
        <w:ind w:left="1288" w:right="1079" w:firstLine="446"/>
        <w:jc w:val="left"/>
      </w:pPr>
      <w:r>
        <w:rPr>
          <w:sz w:val="20"/>
        </w:rPr>
        <w:t xml:space="preserve">Ústeckého </w:t>
      </w:r>
      <w:proofErr w:type="spellStart"/>
      <w:r>
        <w:rPr>
          <w:sz w:val="20"/>
        </w:rPr>
        <w:t>krajť</w:t>
      </w:r>
      <w:proofErr w:type="spellEnd"/>
      <w:r>
        <w:rPr>
          <w:sz w:val="20"/>
        </w:rPr>
        <w:t xml:space="preserve"> se sídleni v Ústí </w:t>
      </w:r>
      <w:proofErr w:type="gramStart"/>
      <w:r>
        <w:rPr>
          <w:sz w:val="20"/>
        </w:rPr>
        <w:t>nad !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,</w:t>
      </w:r>
      <w:proofErr w:type="spellStart"/>
      <w:r>
        <w:rPr>
          <w:sz w:val="20"/>
        </w:rPr>
        <w:t>aheni</w:t>
      </w:r>
      <w:proofErr w:type="spellEnd"/>
      <w:proofErr w:type="gramEnd"/>
      <w:r>
        <w:rPr>
          <w:sz w:val="20"/>
        </w:rPr>
        <w:tab/>
        <w:t>ZDRAVOTI ÚSTAV</w:t>
      </w:r>
    </w:p>
    <w:p w:rsidR="00035439" w:rsidRDefault="00881200">
      <w:pPr>
        <w:spacing w:after="0" w:line="259" w:lineRule="auto"/>
        <w:ind w:left="1799" w:right="0" w:firstLine="0"/>
        <w:jc w:val="left"/>
      </w:pPr>
      <w:proofErr w:type="spellStart"/>
      <w:r>
        <w:rPr>
          <w:sz w:val="20"/>
        </w:rPr>
        <w:t>MoskevskáSB</w:t>
      </w:r>
      <w:proofErr w:type="spellEnd"/>
      <w:r>
        <w:rPr>
          <w:sz w:val="20"/>
        </w:rPr>
        <w:t xml:space="preserve"> SÍDLEM V ÚSTÍ NAD LABEM</w:t>
      </w:r>
    </w:p>
    <w:p w:rsidR="00035439" w:rsidRDefault="00881200">
      <w:pPr>
        <w:spacing w:after="0" w:line="259" w:lineRule="auto"/>
        <w:ind w:left="2734" w:right="0" w:firstLine="0"/>
        <w:jc w:val="left"/>
      </w:pPr>
      <w:r>
        <w:rPr>
          <w:noProof/>
        </w:rPr>
        <w:drawing>
          <wp:inline distT="0" distB="0" distL="0" distR="0">
            <wp:extent cx="3316819" cy="155323"/>
            <wp:effectExtent l="0" t="0" r="0" b="0"/>
            <wp:docPr id="26690" name="Picture 26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0" name="Picture 2669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16819" cy="15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439" w:rsidRDefault="00881200">
      <w:pPr>
        <w:tabs>
          <w:tab w:val="center" w:pos="1680"/>
          <w:tab w:val="center" w:pos="2824"/>
          <w:tab w:val="center" w:pos="7475"/>
        </w:tabs>
        <w:spacing w:after="0" w:line="259" w:lineRule="auto"/>
        <w:ind w:left="0" w:right="0" w:firstLine="0"/>
        <w:jc w:val="left"/>
      </w:pPr>
      <w:r>
        <w:rPr>
          <w:sz w:val="18"/>
        </w:rPr>
        <w:tab/>
      </w:r>
      <w:r>
        <w:rPr>
          <w:sz w:val="18"/>
        </w:rPr>
        <w:t xml:space="preserve">40001 </w:t>
      </w:r>
      <w:r>
        <w:rPr>
          <w:sz w:val="18"/>
        </w:rPr>
        <w:tab/>
        <w:t>nad Labem</w:t>
      </w:r>
      <w:r>
        <w:rPr>
          <w:sz w:val="18"/>
        </w:rPr>
        <w:tab/>
        <w:t xml:space="preserve">40001 Ústí nad </w:t>
      </w:r>
      <w:proofErr w:type="spellStart"/>
      <w:r>
        <w:rPr>
          <w:sz w:val="18"/>
        </w:rPr>
        <w:t>Lebgm</w:t>
      </w:r>
      <w:proofErr w:type="spellEnd"/>
    </w:p>
    <w:p w:rsidR="00035439" w:rsidRDefault="00881200">
      <w:pPr>
        <w:tabs>
          <w:tab w:val="center" w:pos="2342"/>
          <w:tab w:val="center" w:pos="7461"/>
        </w:tabs>
        <w:spacing w:after="3" w:line="259" w:lineRule="auto"/>
        <w:ind w:left="0" w:right="0" w:firstLine="0"/>
        <w:jc w:val="left"/>
      </w:pPr>
      <w:r>
        <w:rPr>
          <w:sz w:val="18"/>
        </w:rPr>
        <w:lastRenderedPageBreak/>
        <w:tab/>
        <w:t>IČO 71009183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721842" cy="114208"/>
            <wp:effectExtent l="0" t="0" r="0" b="0"/>
            <wp:docPr id="13257" name="Picture 13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7" name="Picture 1325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21842" cy="11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035439" w:rsidRDefault="00881200">
      <w:pPr>
        <w:spacing w:after="22" w:line="259" w:lineRule="auto"/>
        <w:ind w:left="0" w:right="763" w:firstLine="0"/>
        <w:jc w:val="right"/>
      </w:pPr>
      <w:r>
        <w:rPr>
          <w:sz w:val="30"/>
        </w:rPr>
        <w:lastRenderedPageBreak/>
        <w:t>Příloha č. 1 ke Smlouvě o úpravě vztahů při nakládání s majetkem</w:t>
      </w:r>
    </w:p>
    <w:p w:rsidR="00035439" w:rsidRDefault="00881200">
      <w:pPr>
        <w:spacing w:after="3" w:line="259" w:lineRule="auto"/>
        <w:ind w:left="168" w:right="0" w:hanging="10"/>
        <w:jc w:val="left"/>
      </w:pPr>
      <w:r>
        <w:rPr>
          <w:sz w:val="26"/>
        </w:rPr>
        <w:t>Prostory přenechané do užívání příspěvkové organizaci:</w:t>
      </w:r>
    </w:p>
    <w:p w:rsidR="00035439" w:rsidRDefault="00035439">
      <w:pPr>
        <w:sectPr w:rsidR="00035439">
          <w:footerReference w:type="even" r:id="rId30"/>
          <w:footerReference w:type="default" r:id="rId31"/>
          <w:footerReference w:type="first" r:id="rId32"/>
          <w:pgSz w:w="11900" w:h="16820"/>
          <w:pgMar w:top="1316" w:right="1353" w:bottom="1317" w:left="1065" w:header="708" w:footer="863" w:gutter="0"/>
          <w:cols w:space="708"/>
        </w:sectPr>
      </w:pPr>
    </w:p>
    <w:tbl>
      <w:tblPr>
        <w:tblStyle w:val="TableGrid"/>
        <w:tblpPr w:vertAnchor="text" w:tblpX="14" w:tblpY="-4625"/>
        <w:tblOverlap w:val="never"/>
        <w:tblW w:w="8454" w:type="dxa"/>
        <w:tblInd w:w="0" w:type="dxa"/>
        <w:tblCellMar>
          <w:top w:w="0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1115"/>
        <w:gridCol w:w="1756"/>
        <w:gridCol w:w="964"/>
        <w:gridCol w:w="1065"/>
      </w:tblGrid>
      <w:tr w:rsidR="00035439">
        <w:trPr>
          <w:trHeight w:val="382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č.míst</w:t>
            </w:r>
            <w:proofErr w:type="spellEnd"/>
            <w:r>
              <w:t>. název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22" w:right="0" w:firstLine="0"/>
              <w:jc w:val="left"/>
            </w:pPr>
            <w:r>
              <w:t>výměra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331" w:right="0" w:firstLine="0"/>
              <w:jc w:val="left"/>
            </w:pPr>
            <w:r>
              <w:t>umístění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0" w:right="0" w:firstLine="0"/>
              <w:jc w:val="left"/>
            </w:pPr>
            <w:r>
              <w:t>využití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0" w:right="0" w:firstLine="0"/>
              <w:jc w:val="right"/>
            </w:pPr>
            <w:proofErr w:type="spellStart"/>
            <w:r>
              <w:t>vytáp</w:t>
            </w:r>
            <w:proofErr w:type="spellEnd"/>
            <w:r>
              <w:t>.</w:t>
            </w:r>
          </w:p>
        </w:tc>
      </w:tr>
      <w:tr w:rsidR="00035439">
        <w:trPr>
          <w:trHeight w:val="40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439" w:rsidRDefault="00881200">
            <w:pPr>
              <w:tabs>
                <w:tab w:val="center" w:pos="1903"/>
              </w:tabs>
              <w:spacing w:after="0" w:line="259" w:lineRule="auto"/>
              <w:ind w:left="0" w:right="0" w:firstLine="0"/>
              <w:jc w:val="left"/>
            </w:pPr>
            <w:r>
              <w:t>3</w:t>
            </w:r>
            <w:r>
              <w:tab/>
              <w:t>laboratoř odpadních vod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439" w:rsidRDefault="00881200">
            <w:pPr>
              <w:spacing w:after="0" w:line="259" w:lineRule="auto"/>
              <w:ind w:left="36" w:right="0" w:firstLine="0"/>
              <w:jc w:val="left"/>
            </w:pPr>
            <w:r>
              <w:t>12,6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439" w:rsidRDefault="00881200">
            <w:pPr>
              <w:spacing w:after="0" w:line="259" w:lineRule="auto"/>
              <w:ind w:left="324" w:right="0" w:firstLine="0"/>
              <w:jc w:val="left"/>
            </w:pPr>
            <w:r>
              <w:t>2.p.TD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0354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0354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5439">
        <w:trPr>
          <w:trHeight w:val="267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tabs>
                <w:tab w:val="center" w:pos="2022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t>b.č</w:t>
            </w:r>
            <w:proofErr w:type="spellEnd"/>
            <w:r>
              <w:t>.</w:t>
            </w:r>
            <w:r>
              <w:tab/>
              <w:t>odběrová místnost ovzduší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36" w:right="0" w:firstLine="0"/>
              <w:jc w:val="left"/>
            </w:pPr>
            <w:r>
              <w:t>13,2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7" w:right="0" w:firstLine="0"/>
              <w:jc w:val="center"/>
            </w:pPr>
            <w:r>
              <w:t>přízemí PD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245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373" cy="109639"/>
                  <wp:effectExtent l="0" t="0" r="0" b="0"/>
                  <wp:docPr id="14374" name="Picture 14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4" name="Picture 1437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3" cy="109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0354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5439">
        <w:trPr>
          <w:trHeight w:val="2064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548" w:line="259" w:lineRule="auto"/>
              <w:ind w:left="72" w:right="0" w:firstLine="0"/>
              <w:jc w:val="left"/>
            </w:pPr>
            <w:proofErr w:type="spellStart"/>
            <w:r>
              <w:t>b.č</w:t>
            </w:r>
            <w:proofErr w:type="spellEnd"/>
            <w:r>
              <w:t>. sklad (tzv. studený sklad)</w:t>
            </w:r>
          </w:p>
          <w:p w:rsidR="00035439" w:rsidRDefault="00881200">
            <w:pPr>
              <w:spacing w:after="540" w:line="259" w:lineRule="auto"/>
              <w:ind w:left="14" w:right="0" w:firstLine="0"/>
              <w:jc w:val="left"/>
            </w:pPr>
            <w:r>
              <w:t>Plocha celkem 37,00 m2</w:t>
            </w:r>
          </w:p>
          <w:p w:rsidR="00035439" w:rsidRDefault="008812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6"/>
              </w:rPr>
              <w:t>Prostory společně užívané: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11,2 m</w:t>
            </w:r>
            <w:r>
              <w:rPr>
                <w:rFonts w:ascii="Courier New" w:eastAsia="Courier New" w:hAnsi="Courier New" w:cs="Courier New"/>
                <w:sz w:val="18"/>
                <w:vertAlign w:val="superscript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0" w:right="7" w:firstLine="0"/>
              <w:jc w:val="center"/>
            </w:pPr>
            <w:r>
              <w:t>přízemí PD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252" w:right="0" w:firstLine="0"/>
              <w:jc w:val="left"/>
            </w:pPr>
            <w:r>
              <w:rPr>
                <w:sz w:val="38"/>
              </w:rPr>
              <w:t>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0354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5439">
        <w:trPr>
          <w:trHeight w:val="671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439" w:rsidRDefault="00881200">
            <w:pPr>
              <w:tabs>
                <w:tab w:val="center" w:pos="1277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t>b.č</w:t>
            </w:r>
            <w:proofErr w:type="spellEnd"/>
            <w:r>
              <w:t>.</w:t>
            </w:r>
            <w:r>
              <w:tab/>
              <w:t>schodiště B</w:t>
            </w:r>
          </w:p>
          <w:p w:rsidR="00035439" w:rsidRDefault="00881200">
            <w:pPr>
              <w:tabs>
                <w:tab w:val="center" w:pos="1806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t>b.č</w:t>
            </w:r>
            <w:proofErr w:type="spellEnd"/>
            <w:r>
              <w:t>.</w:t>
            </w:r>
            <w:r>
              <w:tab/>
              <w:t>chodby před vchody B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7" w:right="0" w:firstLine="0"/>
              <w:jc w:val="left"/>
            </w:pPr>
            <w:r>
              <w:t>35,6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317" w:right="0" w:firstLine="0"/>
              <w:jc w:val="left"/>
            </w:pPr>
            <w:r>
              <w:t>vchod B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180" w:right="0" w:firstLine="0"/>
              <w:jc w:val="left"/>
            </w:pPr>
            <w:r>
              <w:rPr>
                <w:rFonts w:ascii="Courier New" w:eastAsia="Courier New" w:hAnsi="Courier New" w:cs="Courier New"/>
                <w:sz w:val="30"/>
              </w:rPr>
              <w:t>CH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0354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5439">
        <w:trPr>
          <w:trHeight w:val="26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712" w:right="0" w:firstLine="0"/>
              <w:jc w:val="left"/>
            </w:pPr>
            <w:r>
              <w:t>a u místnosti č. 18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0" w:right="0" w:firstLine="0"/>
              <w:jc w:val="left"/>
            </w:pPr>
            <w:r>
              <w:t>43,9 m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65" w:right="0" w:firstLine="0"/>
              <w:jc w:val="center"/>
            </w:pPr>
            <w:proofErr w:type="spellStart"/>
            <w:r>
              <w:rPr>
                <w:sz w:val="26"/>
              </w:rPr>
              <w:t>příz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TD,TN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173" w:right="0" w:firstLine="0"/>
              <w:jc w:val="left"/>
            </w:pPr>
            <w:r>
              <w:rPr>
                <w:rFonts w:ascii="Courier New" w:eastAsia="Courier New" w:hAnsi="Courier New" w:cs="Courier New"/>
                <w:sz w:val="30"/>
              </w:rPr>
              <w:t>CH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0354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5439">
        <w:trPr>
          <w:trHeight w:val="263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b.č</w:t>
            </w:r>
            <w:proofErr w:type="spellEnd"/>
            <w:r>
              <w:t>. WC u místnosti č. 18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5,2 m</w:t>
            </w:r>
            <w:r>
              <w:rPr>
                <w:rFonts w:ascii="Courier New" w:eastAsia="Courier New" w:hAnsi="Courier New" w:cs="Courier New"/>
                <w:sz w:val="18"/>
                <w:vertAlign w:val="superscript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0" w:right="14" w:firstLine="0"/>
              <w:jc w:val="center"/>
            </w:pPr>
            <w:r>
              <w:t>přízemí TN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881200">
            <w:pPr>
              <w:spacing w:after="0" w:line="259" w:lineRule="auto"/>
              <w:ind w:left="18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73608" cy="109639"/>
                  <wp:effectExtent l="0" t="0" r="0" b="0"/>
                  <wp:docPr id="26692" name="Picture 26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92" name="Picture 2669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08" cy="109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035439" w:rsidRDefault="0003543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35439" w:rsidRDefault="00881200">
      <w:pPr>
        <w:spacing w:after="282"/>
        <w:ind w:left="10" w:right="14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-9136</wp:posOffset>
            </wp:positionH>
            <wp:positionV relativeFrom="paragraph">
              <wp:posOffset>-1082245</wp:posOffset>
            </wp:positionV>
            <wp:extent cx="4569" cy="4568"/>
            <wp:effectExtent l="0" t="0" r="0" b="0"/>
            <wp:wrapSquare wrapText="bothSides"/>
            <wp:docPr id="14375" name="Picture 14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5" name="Picture 143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Plocha celkem 84,7 m z toho vytápěných 35,6 m2</w:t>
      </w:r>
    </w:p>
    <w:p w:rsidR="00035439" w:rsidRDefault="00881200">
      <w:pPr>
        <w:spacing w:after="304"/>
        <w:ind w:left="10" w:right="14"/>
      </w:pPr>
      <w:r>
        <w:t>Použité zkratky</w:t>
      </w:r>
    </w:p>
    <w:p w:rsidR="00035439" w:rsidRDefault="00881200">
      <w:pPr>
        <w:ind w:left="10" w:right="14"/>
      </w:pPr>
      <w:r>
        <w:t>TD — trakt do dvora</w:t>
      </w:r>
    </w:p>
    <w:p w:rsidR="00035439" w:rsidRDefault="00881200">
      <w:pPr>
        <w:ind w:left="10" w:right="180"/>
      </w:pPr>
      <w:r>
        <w:t>TN — trakt na náměstí PD — přístavek na dvoře</w:t>
      </w:r>
    </w:p>
    <w:p w:rsidR="00035439" w:rsidRDefault="00881200">
      <w:pPr>
        <w:spacing w:after="3" w:line="259" w:lineRule="auto"/>
        <w:ind w:left="24" w:right="0" w:hanging="10"/>
        <w:jc w:val="left"/>
      </w:pPr>
      <w:r>
        <w:rPr>
          <w:sz w:val="26"/>
        </w:rPr>
        <w:t>2.p. — 2. patro</w:t>
      </w:r>
    </w:p>
    <w:p w:rsidR="00035439" w:rsidRDefault="00881200">
      <w:pPr>
        <w:ind w:left="10" w:right="14"/>
      </w:pPr>
      <w:r>
        <w:t>L — laboratoř</w:t>
      </w:r>
    </w:p>
    <w:p w:rsidR="00035439" w:rsidRDefault="00881200">
      <w:pPr>
        <w:ind w:left="10" w:right="14"/>
      </w:pPr>
      <w:r>
        <w:t>K — kancelář</w:t>
      </w:r>
    </w:p>
    <w:p w:rsidR="00035439" w:rsidRDefault="00881200">
      <w:pPr>
        <w:ind w:left="10" w:right="14"/>
      </w:pPr>
      <w:r>
        <w:t>SZ — sociální zázemí</w:t>
      </w:r>
    </w:p>
    <w:p w:rsidR="00035439" w:rsidRDefault="00881200">
      <w:pPr>
        <w:spacing w:after="0"/>
        <w:ind w:left="10" w:right="1194"/>
      </w:pPr>
      <w:r>
        <w:t xml:space="preserve">CH — chodba </w:t>
      </w:r>
      <w:proofErr w:type="gramStart"/>
      <w:r>
        <w:t>S - sklad</w:t>
      </w:r>
      <w:proofErr w:type="gramEnd"/>
    </w:p>
    <w:p w:rsidR="00035439" w:rsidRDefault="00881200">
      <w:pPr>
        <w:ind w:left="10" w:right="986"/>
      </w:pPr>
      <w:proofErr w:type="spellStart"/>
      <w:r>
        <w:t>b.č</w:t>
      </w:r>
      <w:proofErr w:type="spellEnd"/>
      <w:r>
        <w:t>. — bez čísla A — ano</w:t>
      </w:r>
    </w:p>
    <w:p w:rsidR="00035439" w:rsidRDefault="00881200">
      <w:pPr>
        <w:spacing w:after="0" w:line="259" w:lineRule="auto"/>
        <w:ind w:left="0" w:right="0" w:firstLine="0"/>
        <w:jc w:val="left"/>
      </w:pPr>
      <w:proofErr w:type="gramStart"/>
      <w:r>
        <w:rPr>
          <w:rFonts w:ascii="Courier New" w:eastAsia="Courier New" w:hAnsi="Courier New" w:cs="Courier New"/>
          <w:sz w:val="18"/>
        </w:rPr>
        <w:t>N - ne</w:t>
      </w:r>
      <w:proofErr w:type="gramEnd"/>
    </w:p>
    <w:sectPr w:rsidR="00035439">
      <w:type w:val="continuous"/>
      <w:pgSz w:w="11900" w:h="16820"/>
      <w:pgMar w:top="1316" w:right="8108" w:bottom="5157" w:left="11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81200">
      <w:pPr>
        <w:spacing w:after="0" w:line="240" w:lineRule="auto"/>
      </w:pPr>
      <w:r>
        <w:separator/>
      </w:r>
    </w:p>
  </w:endnote>
  <w:endnote w:type="continuationSeparator" w:id="0">
    <w:p w:rsidR="00000000" w:rsidRDefault="0088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39" w:rsidRDefault="00881200">
    <w:pPr>
      <w:spacing w:after="0" w:line="259" w:lineRule="auto"/>
      <w:ind w:left="0" w:right="468" w:firstLine="0"/>
      <w:jc w:val="center"/>
    </w:pPr>
    <w:r>
      <w:rPr>
        <w:sz w:val="30"/>
      </w:rPr>
      <w:fldChar w:fldCharType="begin"/>
    </w:r>
    <w:r>
      <w:rPr>
        <w:sz w:val="30"/>
      </w:rPr>
      <w:instrText xml:space="preserve"> PAGE   \* MERGEFORMAT </w:instrText>
    </w:r>
    <w:r>
      <w:rPr>
        <w:sz w:val="30"/>
      </w:rP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39" w:rsidRDefault="00881200">
    <w:pPr>
      <w:spacing w:after="0" w:line="259" w:lineRule="auto"/>
      <w:ind w:left="0" w:right="468" w:firstLine="0"/>
      <w:jc w:val="center"/>
    </w:pPr>
    <w:r>
      <w:rPr>
        <w:sz w:val="30"/>
      </w:rPr>
      <w:fldChar w:fldCharType="begin"/>
    </w:r>
    <w:r>
      <w:rPr>
        <w:sz w:val="30"/>
      </w:rPr>
      <w:instrText xml:space="preserve"> PAGE   \* MERGEFORMAT </w:instrText>
    </w:r>
    <w:r>
      <w:rPr>
        <w:sz w:val="30"/>
      </w:rP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39" w:rsidRDefault="00881200">
    <w:pPr>
      <w:spacing w:after="0" w:line="259" w:lineRule="auto"/>
      <w:ind w:left="0" w:right="468" w:firstLine="0"/>
      <w:jc w:val="center"/>
    </w:pPr>
    <w:r>
      <w:rPr>
        <w:sz w:val="30"/>
      </w:rPr>
      <w:fldChar w:fldCharType="begin"/>
    </w:r>
    <w:r>
      <w:rPr>
        <w:sz w:val="30"/>
      </w:rPr>
      <w:instrText xml:space="preserve"> PAGE   \* MERGEFORMAT </w:instrText>
    </w:r>
    <w:r>
      <w:rPr>
        <w:sz w:val="30"/>
      </w:rP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81200">
      <w:pPr>
        <w:spacing w:after="0" w:line="240" w:lineRule="auto"/>
      </w:pPr>
      <w:r>
        <w:separator/>
      </w:r>
    </w:p>
  </w:footnote>
  <w:footnote w:type="continuationSeparator" w:id="0">
    <w:p w:rsidR="00000000" w:rsidRDefault="00881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96F59"/>
    <w:multiLevelType w:val="hybridMultilevel"/>
    <w:tmpl w:val="EE06F4B0"/>
    <w:lvl w:ilvl="0" w:tplc="B8867986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54354A">
      <w:start w:val="1"/>
      <w:numFmt w:val="bullet"/>
      <w:lvlText w:val="-"/>
      <w:lvlJc w:val="left"/>
      <w:pPr>
        <w:ind w:left="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6CEA54">
      <w:start w:val="1"/>
      <w:numFmt w:val="bullet"/>
      <w:lvlText w:val="▪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7278DE">
      <w:start w:val="1"/>
      <w:numFmt w:val="bullet"/>
      <w:lvlText w:val="•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A04676">
      <w:start w:val="1"/>
      <w:numFmt w:val="bullet"/>
      <w:lvlText w:val="o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01BAE">
      <w:start w:val="1"/>
      <w:numFmt w:val="bullet"/>
      <w:lvlText w:val="▪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CA2A1E">
      <w:start w:val="1"/>
      <w:numFmt w:val="bullet"/>
      <w:lvlText w:val="•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EA205E">
      <w:start w:val="1"/>
      <w:numFmt w:val="bullet"/>
      <w:lvlText w:val="o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FE517A">
      <w:start w:val="1"/>
      <w:numFmt w:val="bullet"/>
      <w:lvlText w:val="▪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3B5596"/>
    <w:multiLevelType w:val="hybridMultilevel"/>
    <w:tmpl w:val="52C81568"/>
    <w:lvl w:ilvl="0" w:tplc="A19C5334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8E4094">
      <w:start w:val="1"/>
      <w:numFmt w:val="lowerLetter"/>
      <w:lvlText w:val="%2)"/>
      <w:lvlJc w:val="left"/>
      <w:pPr>
        <w:ind w:left="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EC9A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25EF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A884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0E1E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6DD7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60FC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E2EE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1434C3"/>
    <w:multiLevelType w:val="hybridMultilevel"/>
    <w:tmpl w:val="A3F6A6AA"/>
    <w:lvl w:ilvl="0" w:tplc="7040A8FC">
      <w:start w:val="1"/>
      <w:numFmt w:val="decimal"/>
      <w:lvlText w:val="%1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AF178">
      <w:start w:val="1"/>
      <w:numFmt w:val="lowerLetter"/>
      <w:lvlText w:val="%2)"/>
      <w:lvlJc w:val="left"/>
      <w:pPr>
        <w:ind w:left="1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C63C8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3A01C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CA648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CB84E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6D484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81A3C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2884E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B03BE7"/>
    <w:multiLevelType w:val="hybridMultilevel"/>
    <w:tmpl w:val="9E409A30"/>
    <w:lvl w:ilvl="0" w:tplc="D03E7D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F6BC76">
      <w:start w:val="4"/>
      <w:numFmt w:val="lowerLetter"/>
      <w:lvlText w:val="%2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125C4C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AAD254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6C2C5E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5AAAA6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308954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28EAF4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C6B052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7807C5"/>
    <w:multiLevelType w:val="hybridMultilevel"/>
    <w:tmpl w:val="6888B90C"/>
    <w:lvl w:ilvl="0" w:tplc="83CA4376">
      <w:start w:val="1"/>
      <w:numFmt w:val="decimal"/>
      <w:lvlText w:val="%1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8264CA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14CE1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0ACFAC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32DB10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5E08FA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36C0B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5AB84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30179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AE6A48"/>
    <w:multiLevelType w:val="hybridMultilevel"/>
    <w:tmpl w:val="3016149C"/>
    <w:lvl w:ilvl="0" w:tplc="FCC0D692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24B690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0AA37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D43046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0000F0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E413E6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3455EC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944404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988C8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2C30C8"/>
    <w:multiLevelType w:val="hybridMultilevel"/>
    <w:tmpl w:val="6CB4CC2A"/>
    <w:lvl w:ilvl="0" w:tplc="F642C678">
      <w:start w:val="4"/>
      <w:numFmt w:val="decimal"/>
      <w:lvlText w:val="%1.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6B25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AC54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859F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C7BB8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C41D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6B7D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2D5D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AF61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439"/>
    <w:rsid w:val="00035439"/>
    <w:rsid w:val="0088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77B3C-7D69-4872-A46D-C187ECAC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8" w:line="227" w:lineRule="auto"/>
      <w:ind w:left="3" w:right="29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33"/>
      <w:ind w:left="281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60"/>
      <w:ind w:right="396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46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image" Target="media/image2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4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footer" Target="footer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1939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2019-02-21T09:31:00Z</dcterms:created>
  <dcterms:modified xsi:type="dcterms:W3CDTF">2019-02-21T09:31:00Z</dcterms:modified>
</cp:coreProperties>
</file>