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3DBFA" w14:textId="77777777" w:rsidR="0099517F" w:rsidRPr="00B07EF7" w:rsidRDefault="0099517F" w:rsidP="003C59C3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Rámcová p</w:t>
      </w:r>
      <w:r w:rsidRPr="00B07EF7">
        <w:rPr>
          <w:b/>
          <w:bCs/>
          <w:sz w:val="32"/>
          <w:szCs w:val="32"/>
        </w:rPr>
        <w:t>říkazní smlouva</w:t>
      </w:r>
    </w:p>
    <w:p w14:paraId="6A6ADF0F" w14:textId="77777777" w:rsidR="0099517F" w:rsidRDefault="0099517F" w:rsidP="003C59C3">
      <w:pPr>
        <w:jc w:val="center"/>
      </w:pPr>
      <w:r>
        <w:t>uzavřená podle § 2430 a násl. zákona č. 89/2012 Sb., občanský zákoník, ve znění pozdějších předpisů mezi těmito smluvními stranami</w:t>
      </w:r>
    </w:p>
    <w:p w14:paraId="20FC291A" w14:textId="77777777" w:rsidR="0099517F" w:rsidRDefault="0099517F" w:rsidP="003C59C3">
      <w:pPr>
        <w:jc w:val="center"/>
      </w:pPr>
    </w:p>
    <w:p w14:paraId="04C19E72" w14:textId="77777777" w:rsidR="0099517F" w:rsidRDefault="0099517F" w:rsidP="003C59C3">
      <w:pPr>
        <w:jc w:val="both"/>
      </w:pPr>
    </w:p>
    <w:p w14:paraId="12E82048" w14:textId="77777777" w:rsidR="0099517F" w:rsidRPr="00BB14FB" w:rsidRDefault="0099517F" w:rsidP="003C59C3">
      <w:pPr>
        <w:spacing w:after="0"/>
        <w:jc w:val="both"/>
        <w:outlineLvl w:val="0"/>
        <w:rPr>
          <w:b/>
          <w:bCs/>
        </w:rPr>
      </w:pPr>
      <w:r w:rsidRPr="00BB14FB">
        <w:rPr>
          <w:b/>
          <w:bCs/>
        </w:rPr>
        <w:t>Příkazce:</w:t>
      </w:r>
    </w:p>
    <w:p w14:paraId="6E2B2BB7" w14:textId="77777777" w:rsidR="0099517F" w:rsidRPr="00BB14FB" w:rsidRDefault="0099517F" w:rsidP="003C59C3">
      <w:pPr>
        <w:spacing w:after="0"/>
        <w:jc w:val="both"/>
      </w:pPr>
      <w:r w:rsidRPr="00BB14FB">
        <w:t>město Kopřivnice</w:t>
      </w:r>
    </w:p>
    <w:p w14:paraId="09390937" w14:textId="77777777" w:rsidR="0099517F" w:rsidRPr="00BB14FB" w:rsidRDefault="0099517F" w:rsidP="003C59C3">
      <w:pPr>
        <w:spacing w:after="0"/>
        <w:jc w:val="both"/>
      </w:pPr>
      <w:r w:rsidRPr="00BB14FB">
        <w:t>IČ 00298077</w:t>
      </w:r>
    </w:p>
    <w:p w14:paraId="6C232EA9" w14:textId="77777777" w:rsidR="0099517F" w:rsidRPr="00BB14FB" w:rsidRDefault="0099517F" w:rsidP="003C59C3">
      <w:pPr>
        <w:spacing w:after="0"/>
        <w:jc w:val="both"/>
      </w:pPr>
      <w:r w:rsidRPr="00BB14FB">
        <w:t>sídlem Štefánikova 1163/12, 742 21 Kopřivnice</w:t>
      </w:r>
    </w:p>
    <w:p w14:paraId="1CC205A1" w14:textId="77777777" w:rsidR="0099517F" w:rsidRDefault="0099517F" w:rsidP="003C59C3">
      <w:pPr>
        <w:spacing w:after="0"/>
        <w:jc w:val="both"/>
      </w:pPr>
      <w:r w:rsidRPr="00BB14FB">
        <w:t xml:space="preserve">zastoupeno </w:t>
      </w:r>
      <w:r>
        <w:t>Ing Miroslavem Kopečným, starostou města</w:t>
      </w:r>
    </w:p>
    <w:p w14:paraId="5A5EAB42" w14:textId="291C51AF" w:rsidR="0099517F" w:rsidRPr="00BB14FB" w:rsidRDefault="0099517F" w:rsidP="003C59C3">
      <w:pPr>
        <w:spacing w:after="0"/>
        <w:jc w:val="both"/>
      </w:pPr>
      <w:r>
        <w:t xml:space="preserve">kontaktní osoba: </w:t>
      </w:r>
    </w:p>
    <w:p w14:paraId="7CDCDE89" w14:textId="3E76801D" w:rsidR="0099517F" w:rsidRPr="00BB14FB" w:rsidRDefault="0099517F" w:rsidP="003C59C3">
      <w:pPr>
        <w:spacing w:after="0"/>
        <w:jc w:val="both"/>
      </w:pPr>
      <w:r w:rsidRPr="00BB14FB">
        <w:t>kontaktní e-mail:</w:t>
      </w:r>
      <w:r>
        <w:t xml:space="preserve"> </w:t>
      </w:r>
    </w:p>
    <w:p w14:paraId="40522CA0" w14:textId="631DB4B2" w:rsidR="0099517F" w:rsidRPr="00BB14FB" w:rsidRDefault="0099517F" w:rsidP="003C59C3">
      <w:pPr>
        <w:spacing w:after="0"/>
        <w:jc w:val="both"/>
      </w:pPr>
      <w:r w:rsidRPr="00BB14FB">
        <w:t>kontaktní tel.:</w:t>
      </w:r>
      <w:r>
        <w:t xml:space="preserve"> </w:t>
      </w:r>
    </w:p>
    <w:p w14:paraId="2B86BD89" w14:textId="77777777" w:rsidR="0099517F" w:rsidRPr="00BB14FB" w:rsidRDefault="0099517F" w:rsidP="003C59C3">
      <w:pPr>
        <w:spacing w:after="0"/>
      </w:pPr>
      <w:r w:rsidRPr="00BB14FB">
        <w:t>(dále jen „Příkazce“)</w:t>
      </w:r>
    </w:p>
    <w:p w14:paraId="6B21E837" w14:textId="77777777" w:rsidR="0099517F" w:rsidRPr="00BB14FB" w:rsidRDefault="0099517F" w:rsidP="003C59C3">
      <w:pPr>
        <w:spacing w:after="0"/>
      </w:pPr>
    </w:p>
    <w:p w14:paraId="5388319E" w14:textId="77777777" w:rsidR="0099517F" w:rsidRPr="00BB14FB" w:rsidRDefault="0099517F" w:rsidP="003C59C3">
      <w:pPr>
        <w:spacing w:after="0"/>
      </w:pPr>
    </w:p>
    <w:p w14:paraId="2AE46373" w14:textId="77777777" w:rsidR="0099517F" w:rsidRPr="00BB14FB" w:rsidRDefault="0099517F" w:rsidP="003C59C3">
      <w:pPr>
        <w:spacing w:after="0"/>
        <w:outlineLvl w:val="0"/>
        <w:rPr>
          <w:b/>
          <w:bCs/>
        </w:rPr>
      </w:pPr>
      <w:r w:rsidRPr="00BB14FB">
        <w:rPr>
          <w:b/>
          <w:bCs/>
        </w:rPr>
        <w:t>Příkazník:</w:t>
      </w:r>
    </w:p>
    <w:p w14:paraId="16C7FF95" w14:textId="6EA2C13B" w:rsidR="0099517F" w:rsidRPr="00BB14FB" w:rsidRDefault="00F85D85" w:rsidP="003C59C3">
      <w:pPr>
        <w:spacing w:after="0"/>
      </w:pPr>
      <w:r>
        <w:t>Public Market Advisory s.r.o.</w:t>
      </w:r>
    </w:p>
    <w:p w14:paraId="11A4B193" w14:textId="1B427ABC" w:rsidR="0099517F" w:rsidRPr="00BB14FB" w:rsidRDefault="00F85D85" w:rsidP="003C59C3">
      <w:pPr>
        <w:spacing w:after="0"/>
        <w:outlineLvl w:val="0"/>
      </w:pPr>
      <w:r>
        <w:t>IČ 02322021</w:t>
      </w:r>
    </w:p>
    <w:p w14:paraId="763D21F3" w14:textId="0FF335F8" w:rsidR="0099517F" w:rsidRPr="00BB14FB" w:rsidRDefault="0099517F" w:rsidP="003C59C3">
      <w:pPr>
        <w:spacing w:after="0"/>
      </w:pPr>
      <w:r w:rsidRPr="00BB14FB">
        <w:t xml:space="preserve">sídlem </w:t>
      </w:r>
      <w:r w:rsidR="00F85D85">
        <w:t>Lipová 906/1, 602 00 Brno</w:t>
      </w:r>
    </w:p>
    <w:p w14:paraId="224C6768" w14:textId="445B97ED" w:rsidR="0099517F" w:rsidRPr="00BB14FB" w:rsidRDefault="0099517F" w:rsidP="003C59C3">
      <w:pPr>
        <w:spacing w:after="0"/>
      </w:pPr>
      <w:r w:rsidRPr="00BB14FB">
        <w:t>zastoupeno</w:t>
      </w:r>
      <w:r w:rsidR="00F85D85">
        <w:t xml:space="preserve"> JUDr. Michalem Šilhánkem, Mgr. Ing. Gabrielou Johnovou, jednateli  </w:t>
      </w:r>
    </w:p>
    <w:p w14:paraId="6827CBA2" w14:textId="05A9FA8B" w:rsidR="0099517F" w:rsidRPr="00BB14FB" w:rsidRDefault="00F85D85" w:rsidP="003C59C3">
      <w:pPr>
        <w:spacing w:after="0"/>
      </w:pPr>
      <w:r>
        <w:t xml:space="preserve">bankovní spojení: </w:t>
      </w:r>
    </w:p>
    <w:p w14:paraId="59BBF14C" w14:textId="72449E48" w:rsidR="0099517F" w:rsidRPr="00BB14FB" w:rsidRDefault="0099517F" w:rsidP="003C59C3">
      <w:pPr>
        <w:spacing w:after="0"/>
      </w:pPr>
      <w:r w:rsidRPr="00BB14FB">
        <w:t>zapsán v</w:t>
      </w:r>
      <w:r w:rsidR="00F85D85">
        <w:t> OR: C 80898 vedený u Krajského soudu v Brně</w:t>
      </w:r>
    </w:p>
    <w:p w14:paraId="1A24DC95" w14:textId="64FD4CDC" w:rsidR="0099517F" w:rsidRDefault="0099517F" w:rsidP="003C59C3">
      <w:pPr>
        <w:spacing w:after="0"/>
        <w:jc w:val="both"/>
      </w:pPr>
      <w:r>
        <w:t xml:space="preserve">kontaktní osoba: </w:t>
      </w:r>
      <w:bookmarkStart w:id="0" w:name="_GoBack"/>
      <w:bookmarkEnd w:id="0"/>
    </w:p>
    <w:p w14:paraId="132F1028" w14:textId="4F194A94" w:rsidR="0099517F" w:rsidRPr="00BB14FB" w:rsidRDefault="0099517F" w:rsidP="003C59C3">
      <w:pPr>
        <w:spacing w:after="0"/>
        <w:jc w:val="both"/>
      </w:pPr>
      <w:r w:rsidRPr="00BB14FB">
        <w:t>kontaktní e-mail:</w:t>
      </w:r>
      <w:r>
        <w:t xml:space="preserve"> </w:t>
      </w:r>
    </w:p>
    <w:p w14:paraId="0F8B81B6" w14:textId="184EFBBD" w:rsidR="0099517F" w:rsidRPr="00BB14FB" w:rsidRDefault="0099517F" w:rsidP="003C59C3">
      <w:pPr>
        <w:spacing w:after="0"/>
        <w:jc w:val="both"/>
      </w:pPr>
      <w:r w:rsidRPr="00BB14FB">
        <w:t>kontaktní tel.:</w:t>
      </w:r>
      <w:r>
        <w:t xml:space="preserve"> </w:t>
      </w:r>
    </w:p>
    <w:p w14:paraId="59BD72E1" w14:textId="77777777" w:rsidR="0099517F" w:rsidRPr="00BB14FB" w:rsidRDefault="0099517F" w:rsidP="003C59C3">
      <w:pPr>
        <w:spacing w:after="0"/>
      </w:pPr>
      <w:r w:rsidRPr="00BB14FB">
        <w:t>(dále jen „Příkazník“)</w:t>
      </w:r>
    </w:p>
    <w:p w14:paraId="53ED14E7" w14:textId="77777777" w:rsidR="0099517F" w:rsidRPr="003C59C3" w:rsidRDefault="0099517F" w:rsidP="003C59C3">
      <w:pPr>
        <w:spacing w:after="0"/>
        <w:rPr>
          <w:rFonts w:ascii="Arial" w:hAnsi="Arial" w:cs="Arial"/>
        </w:rPr>
      </w:pPr>
    </w:p>
    <w:p w14:paraId="4947C2BA" w14:textId="77777777" w:rsidR="0099517F" w:rsidRPr="003C59C3" w:rsidRDefault="0099517F" w:rsidP="003C59C3">
      <w:pPr>
        <w:jc w:val="both"/>
        <w:rPr>
          <w:rFonts w:ascii="Arial" w:hAnsi="Arial" w:cs="Arial"/>
        </w:rPr>
      </w:pPr>
    </w:p>
    <w:p w14:paraId="28AE6303" w14:textId="77777777" w:rsidR="000C6904" w:rsidRDefault="000C6904" w:rsidP="00BB14FB">
      <w:pPr>
        <w:spacing w:after="0"/>
        <w:jc w:val="center"/>
        <w:rPr>
          <w:b/>
          <w:bCs/>
        </w:rPr>
      </w:pPr>
    </w:p>
    <w:p w14:paraId="6106271F" w14:textId="77777777" w:rsidR="0099517F" w:rsidRPr="00BB14FB" w:rsidRDefault="0099517F" w:rsidP="00BB14FB">
      <w:pPr>
        <w:spacing w:after="0"/>
        <w:jc w:val="center"/>
        <w:rPr>
          <w:b/>
          <w:bCs/>
        </w:rPr>
      </w:pPr>
      <w:r w:rsidRPr="00BB14FB">
        <w:rPr>
          <w:b/>
          <w:bCs/>
        </w:rPr>
        <w:t>I.</w:t>
      </w:r>
    </w:p>
    <w:p w14:paraId="4417AA07" w14:textId="77777777" w:rsidR="0099517F" w:rsidRPr="00BB14FB" w:rsidRDefault="0099517F" w:rsidP="00BB14FB">
      <w:pPr>
        <w:spacing w:after="0"/>
        <w:jc w:val="center"/>
        <w:rPr>
          <w:b/>
          <w:bCs/>
        </w:rPr>
      </w:pPr>
      <w:r w:rsidRPr="00BB14FB">
        <w:rPr>
          <w:b/>
          <w:bCs/>
        </w:rPr>
        <w:t>Předmět smlouvy</w:t>
      </w:r>
    </w:p>
    <w:p w14:paraId="5AE2993F" w14:textId="77777777" w:rsidR="0099517F" w:rsidRPr="00BB14FB" w:rsidRDefault="0099517F" w:rsidP="00BB14FB">
      <w:pPr>
        <w:spacing w:after="0"/>
        <w:jc w:val="both"/>
        <w:rPr>
          <w:b/>
          <w:bCs/>
        </w:rPr>
      </w:pPr>
    </w:p>
    <w:p w14:paraId="421DE366" w14:textId="77777777" w:rsidR="0099517F" w:rsidRPr="00BB14FB" w:rsidRDefault="0099517F" w:rsidP="00BB14F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Předmětem této smlouvy je úprava práv a povinností smluvních stran při zadávání jednotlivých veřejných zakázek, jejichž předmětem bude příprava a komplexní realizace zadávacích řízení příkazníkem pro příkazce, a to k podlimitním veřejným zakázkám, nadlimitním veřejným zakázkám, popřípadě veřejným zakázkám malého rozsahu</w:t>
      </w:r>
      <w:r w:rsidR="002E5F98">
        <w:rPr>
          <w:rFonts w:ascii="Calibri" w:hAnsi="Calibri" w:cs="Calibri"/>
          <w:sz w:val="22"/>
          <w:szCs w:val="22"/>
        </w:rPr>
        <w:t xml:space="preserve"> (dále také jen „příkaz“)</w:t>
      </w:r>
      <w:r w:rsidRPr="00BB14FB">
        <w:rPr>
          <w:rFonts w:ascii="Calibri" w:hAnsi="Calibri" w:cs="Calibri"/>
          <w:sz w:val="22"/>
          <w:szCs w:val="22"/>
        </w:rPr>
        <w:t xml:space="preserve">, a také </w:t>
      </w:r>
      <w:r>
        <w:rPr>
          <w:rFonts w:ascii="Calibri" w:hAnsi="Calibri" w:cs="Calibri"/>
          <w:sz w:val="22"/>
          <w:szCs w:val="22"/>
        </w:rPr>
        <w:t xml:space="preserve">poskytování </w:t>
      </w:r>
      <w:r w:rsidRPr="00BB14FB">
        <w:rPr>
          <w:rFonts w:ascii="Calibri" w:hAnsi="Calibri" w:cs="Calibri"/>
          <w:sz w:val="22"/>
          <w:szCs w:val="22"/>
        </w:rPr>
        <w:t>konzultační</w:t>
      </w:r>
      <w:r>
        <w:rPr>
          <w:rFonts w:ascii="Calibri" w:hAnsi="Calibri" w:cs="Calibri"/>
          <w:sz w:val="22"/>
          <w:szCs w:val="22"/>
        </w:rPr>
        <w:t>ch služeb</w:t>
      </w:r>
      <w:r w:rsidRPr="00BB14FB">
        <w:rPr>
          <w:rFonts w:ascii="Calibri" w:hAnsi="Calibri" w:cs="Calibri"/>
          <w:sz w:val="22"/>
          <w:szCs w:val="22"/>
        </w:rPr>
        <w:t xml:space="preserve"> v oblasti zadávání veřejných zakázek, a to u takových veřejných zakázek, u nichž nebyla příkazníkovi příkazcem zadána realizace zadávacího řízení. </w:t>
      </w:r>
    </w:p>
    <w:p w14:paraId="0FA98DE9" w14:textId="77777777" w:rsidR="0099517F" w:rsidRPr="00BB14FB" w:rsidRDefault="0099517F" w:rsidP="00241F6D">
      <w:pPr>
        <w:spacing w:after="0"/>
        <w:jc w:val="both"/>
      </w:pPr>
    </w:p>
    <w:p w14:paraId="76B5CC8D" w14:textId="77777777" w:rsidR="0099517F" w:rsidRPr="00BB14FB" w:rsidRDefault="0099517F" w:rsidP="00BB14F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Příkazník se zavazuje pro příkazce zajistit zpracování zadávacích podmínek a administraci zadávacích řízení v rozsahu a za podmínek dle této smlouvy.</w:t>
      </w:r>
    </w:p>
    <w:p w14:paraId="3775442B" w14:textId="77777777" w:rsidR="0099517F" w:rsidRPr="00BB14FB" w:rsidRDefault="0099517F" w:rsidP="00BB14FB">
      <w:pPr>
        <w:jc w:val="both"/>
      </w:pPr>
    </w:p>
    <w:p w14:paraId="28C504B5" w14:textId="77777777" w:rsidR="0099517F" w:rsidRPr="00BB14FB" w:rsidRDefault="0099517F" w:rsidP="00BB14F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lastRenderedPageBreak/>
        <w:t>Administrací veřejné zakázky se rozumí provádění všech úkonů podle zákona č. 134/2016 Sb., o zadávání veřejných zakázek</w:t>
      </w:r>
      <w:r>
        <w:rPr>
          <w:rFonts w:ascii="Calibri" w:hAnsi="Calibri" w:cs="Calibri"/>
          <w:sz w:val="22"/>
          <w:szCs w:val="22"/>
        </w:rPr>
        <w:t>,</w:t>
      </w:r>
      <w:r w:rsidRPr="00BB14FB">
        <w:rPr>
          <w:rFonts w:ascii="Calibri" w:hAnsi="Calibri" w:cs="Calibri"/>
          <w:sz w:val="22"/>
          <w:szCs w:val="22"/>
        </w:rPr>
        <w:t xml:space="preserve"> ve znění pozdějších předpisů (dále jen „zákon“)</w:t>
      </w:r>
      <w:r>
        <w:rPr>
          <w:rFonts w:ascii="Calibri" w:hAnsi="Calibri" w:cs="Calibri"/>
          <w:sz w:val="22"/>
          <w:szCs w:val="22"/>
        </w:rPr>
        <w:t>,</w:t>
      </w:r>
      <w:r w:rsidRPr="00BB14FB">
        <w:rPr>
          <w:rFonts w:ascii="Calibri" w:hAnsi="Calibri" w:cs="Calibri"/>
          <w:sz w:val="22"/>
          <w:szCs w:val="22"/>
        </w:rPr>
        <w:t xml:space="preserve"> souvisejících se zadávacím řízení, mimo úkonů uvedených v § 43 odst. 2 zákona.</w:t>
      </w:r>
    </w:p>
    <w:p w14:paraId="29525A7D" w14:textId="77777777" w:rsidR="0099517F" w:rsidRPr="00BB14FB" w:rsidRDefault="0099517F" w:rsidP="00241F6D">
      <w:pPr>
        <w:spacing w:after="0"/>
        <w:jc w:val="both"/>
      </w:pPr>
    </w:p>
    <w:p w14:paraId="576632DE" w14:textId="77777777" w:rsidR="0099517F" w:rsidRPr="00BB14FB" w:rsidRDefault="0099517F" w:rsidP="00BB14F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Příkazník se zavazuje vykonat v rámci příkazu veškeré činnosti směřující k řádné administraci zadávacího řízení zejména:</w:t>
      </w:r>
    </w:p>
    <w:p w14:paraId="06BA571A" w14:textId="77777777" w:rsidR="0099517F" w:rsidRPr="00BB14FB" w:rsidRDefault="0099517F" w:rsidP="00BB14FB">
      <w:pPr>
        <w:jc w:val="both"/>
      </w:pPr>
    </w:p>
    <w:p w14:paraId="35AC3BDD" w14:textId="77777777" w:rsidR="0099517F" w:rsidRPr="00BB14FB" w:rsidRDefault="0099517F" w:rsidP="00BB14FB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BB14FB">
        <w:rPr>
          <w:rFonts w:ascii="Calibri" w:hAnsi="Calibri" w:cs="Calibri"/>
          <w:b/>
          <w:bCs/>
          <w:sz w:val="22"/>
          <w:szCs w:val="22"/>
        </w:rPr>
        <w:t>V rámci přípravy zadávacího řízení:</w:t>
      </w:r>
    </w:p>
    <w:p w14:paraId="2B8168B3" w14:textId="77777777" w:rsidR="0099517F" w:rsidRPr="00BB14FB" w:rsidRDefault="0099517F" w:rsidP="00BB14FB">
      <w:pPr>
        <w:pStyle w:val="Odstavecseseznamem"/>
        <w:numPr>
          <w:ilvl w:val="1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projednání veřejné zakázky s příkazníkem</w:t>
      </w:r>
    </w:p>
    <w:p w14:paraId="1E9A6595" w14:textId="77777777" w:rsidR="0099517F" w:rsidRPr="00BB14FB" w:rsidRDefault="0099517F" w:rsidP="00BB14FB">
      <w:pPr>
        <w:pStyle w:val="Odstavecseseznamem"/>
        <w:numPr>
          <w:ilvl w:val="1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doporučení vhodného druhu zadávacího řízení</w:t>
      </w:r>
    </w:p>
    <w:p w14:paraId="2437D4B4" w14:textId="77777777" w:rsidR="0099517F" w:rsidRPr="00BB14FB" w:rsidRDefault="0099517F" w:rsidP="00BB14FB">
      <w:pPr>
        <w:pStyle w:val="Odstavecseseznamem"/>
        <w:numPr>
          <w:ilvl w:val="1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 xml:space="preserve">zpracování harmonogramu realizace zadávacího řízení veřejné zakázky </w:t>
      </w:r>
    </w:p>
    <w:p w14:paraId="0CE7D37D" w14:textId="77777777" w:rsidR="0099517F" w:rsidRPr="00BB14FB" w:rsidRDefault="0099517F" w:rsidP="00BB14FB">
      <w:pPr>
        <w:pStyle w:val="Odstavecseseznamem"/>
        <w:numPr>
          <w:ilvl w:val="1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příprava zadávacích podmínek (mimo jejich technických částí) -  návrh zadávací dokumentace, doporučení kvalifikačních a hodnotících kritérií, zpracování návrhu příslušných smluv,</w:t>
      </w:r>
      <w:r>
        <w:rPr>
          <w:rFonts w:ascii="Calibri" w:hAnsi="Calibri" w:cs="Calibri"/>
          <w:sz w:val="22"/>
          <w:szCs w:val="22"/>
        </w:rPr>
        <w:t xml:space="preserve"> příprava a </w:t>
      </w:r>
      <w:r w:rsidRPr="00BB14FB">
        <w:rPr>
          <w:rFonts w:ascii="Calibri" w:hAnsi="Calibri" w:cs="Calibri"/>
          <w:sz w:val="22"/>
          <w:szCs w:val="22"/>
        </w:rPr>
        <w:t>kompletace příloh, formulářů a dalších částí zadávací dokumentace.</w:t>
      </w:r>
    </w:p>
    <w:p w14:paraId="34A90A93" w14:textId="77777777" w:rsidR="0099517F" w:rsidRPr="00BB14FB" w:rsidRDefault="0099517F" w:rsidP="00BB14FB">
      <w:pPr>
        <w:pStyle w:val="Odstavecseseznamem"/>
        <w:numPr>
          <w:ilvl w:val="1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 xml:space="preserve">vypořádání případných připomínek </w:t>
      </w:r>
      <w:r>
        <w:rPr>
          <w:rFonts w:ascii="Calibri" w:hAnsi="Calibri" w:cs="Calibri"/>
          <w:sz w:val="22"/>
          <w:szCs w:val="22"/>
        </w:rPr>
        <w:t>příkazce</w:t>
      </w:r>
      <w:r w:rsidRPr="00BB14FB">
        <w:rPr>
          <w:rFonts w:ascii="Calibri" w:hAnsi="Calibri" w:cs="Calibri"/>
          <w:sz w:val="22"/>
          <w:szCs w:val="22"/>
        </w:rPr>
        <w:t xml:space="preserve"> k zadávacím podmínkám</w:t>
      </w:r>
    </w:p>
    <w:p w14:paraId="54076AAA" w14:textId="77777777" w:rsidR="0099517F" w:rsidRPr="00BB14FB" w:rsidRDefault="0099517F" w:rsidP="00BB14FB">
      <w:pPr>
        <w:jc w:val="both"/>
      </w:pPr>
    </w:p>
    <w:p w14:paraId="3B93DD9D" w14:textId="77777777" w:rsidR="0099517F" w:rsidRPr="00BB14FB" w:rsidRDefault="0099517F" w:rsidP="00BB14FB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BB14FB">
        <w:rPr>
          <w:rFonts w:ascii="Calibri" w:hAnsi="Calibri" w:cs="Calibri"/>
          <w:b/>
          <w:bCs/>
          <w:sz w:val="22"/>
          <w:szCs w:val="22"/>
        </w:rPr>
        <w:t xml:space="preserve">V rámci realizace zadávacího řízení </w:t>
      </w:r>
    </w:p>
    <w:p w14:paraId="32A9B26B" w14:textId="77777777" w:rsidR="0099517F" w:rsidRPr="00BB14FB" w:rsidRDefault="0099517F" w:rsidP="00BB14FB">
      <w:pPr>
        <w:pStyle w:val="Odstavecseseznamem"/>
        <w:numPr>
          <w:ilvl w:val="1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zpracování a uveřejňování příslušných formulářů ve Věstníku veřejných zakázek</w:t>
      </w:r>
    </w:p>
    <w:p w14:paraId="332E794E" w14:textId="77777777" w:rsidR="0099517F" w:rsidRPr="00BB14FB" w:rsidRDefault="0099517F" w:rsidP="00BB14FB">
      <w:pPr>
        <w:pStyle w:val="Odstavecseseznamem"/>
        <w:numPr>
          <w:ilvl w:val="1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administrace zadávacího řízení v systému E-ZAK (za tímto účelem budou příkazcem příkazníkovi zřízena příslušná oprávnění), a to včetně komunikace s účastníky zadávacího řízení a doručování písemností. Systém E-ZAK slouží i jako profil zadavatele.</w:t>
      </w:r>
    </w:p>
    <w:p w14:paraId="18F0754A" w14:textId="77777777" w:rsidR="0099517F" w:rsidRPr="00BB14FB" w:rsidRDefault="0099517F" w:rsidP="00BB14FB">
      <w:pPr>
        <w:pStyle w:val="Odstavecseseznamem"/>
        <w:numPr>
          <w:ilvl w:val="1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splnění zákonných požadavků týkajících se uveřejňování na profilu zadavatele</w:t>
      </w:r>
    </w:p>
    <w:p w14:paraId="5BD04417" w14:textId="77777777" w:rsidR="0099517F" w:rsidRPr="00BB14FB" w:rsidRDefault="0099517F" w:rsidP="00BB14FB">
      <w:pPr>
        <w:pStyle w:val="Odstavecseseznamem"/>
        <w:numPr>
          <w:ilvl w:val="1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zpracování odpovědí na dotazy a žádosti o dodatečné informace k zadávacím podmínkám, případná vysvětlení zadávacích podmínek a další případná komunikace s</w:t>
      </w:r>
      <w:r>
        <w:rPr>
          <w:rFonts w:ascii="Calibri" w:hAnsi="Calibri" w:cs="Calibri"/>
          <w:sz w:val="22"/>
          <w:szCs w:val="22"/>
        </w:rPr>
        <w:t> účastníky zadávacího řízení</w:t>
      </w:r>
    </w:p>
    <w:p w14:paraId="5FD106A3" w14:textId="77777777" w:rsidR="0099517F" w:rsidRDefault="0099517F" w:rsidP="00BB14FB">
      <w:pPr>
        <w:pStyle w:val="Odstavecseseznamem"/>
        <w:numPr>
          <w:ilvl w:val="1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organizační zajištění komisí pro otevírání nabídek, posouzení splnění podmínek účasti v zadávacím řízení a hodnocení nabídek, účast v těchto komisích a jejich vedení, včetně</w:t>
      </w:r>
      <w:r>
        <w:rPr>
          <w:rFonts w:ascii="Calibri" w:hAnsi="Calibri" w:cs="Calibri"/>
          <w:sz w:val="22"/>
          <w:szCs w:val="22"/>
        </w:rPr>
        <w:t xml:space="preserve"> vyhodnocení nabídek a</w:t>
      </w:r>
      <w:r w:rsidRPr="00BB14FB">
        <w:rPr>
          <w:rFonts w:ascii="Calibri" w:hAnsi="Calibri" w:cs="Calibri"/>
          <w:sz w:val="22"/>
          <w:szCs w:val="22"/>
        </w:rPr>
        <w:t xml:space="preserve"> vypracování příslušných dokumentů a protokolů z těchto komisí, která budou obsahovat doporučení pro příkazce směřující k výsledku zadávacího řízení a jeho ukončení. Zástupce příkazníka je povinen úča</w:t>
      </w:r>
      <w:r>
        <w:rPr>
          <w:rFonts w:ascii="Calibri" w:hAnsi="Calibri" w:cs="Calibri"/>
          <w:sz w:val="22"/>
          <w:szCs w:val="22"/>
        </w:rPr>
        <w:t>stnit se výše uvedených komisí i</w:t>
      </w:r>
      <w:r w:rsidRPr="00BB14FB">
        <w:rPr>
          <w:rFonts w:ascii="Calibri" w:hAnsi="Calibri" w:cs="Calibri"/>
          <w:sz w:val="22"/>
          <w:szCs w:val="22"/>
        </w:rPr>
        <w:t xml:space="preserve"> jako jejich člen, v případě, že bude příkazcem do komise jmenován.</w:t>
      </w:r>
    </w:p>
    <w:p w14:paraId="70F884B6" w14:textId="77777777" w:rsidR="0099517F" w:rsidRPr="00BB14FB" w:rsidRDefault="0099517F" w:rsidP="00BB14FB">
      <w:pPr>
        <w:pStyle w:val="Odstavecseseznamem"/>
        <w:numPr>
          <w:ilvl w:val="1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 veřejných zakázek na stavební práce příkazník provede kontrolu rozpočtu doloženého účastníkem zadávacího řízení v nabídce </w:t>
      </w:r>
    </w:p>
    <w:p w14:paraId="090830BB" w14:textId="77777777" w:rsidR="0099517F" w:rsidRPr="00BB14FB" w:rsidRDefault="0099517F" w:rsidP="00BB14FB">
      <w:pPr>
        <w:jc w:val="both"/>
      </w:pPr>
    </w:p>
    <w:p w14:paraId="1A423E18" w14:textId="77777777" w:rsidR="0099517F" w:rsidRPr="00D50138" w:rsidRDefault="0099517F" w:rsidP="00BB14F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D50138">
        <w:rPr>
          <w:rFonts w:ascii="Calibri" w:hAnsi="Calibri" w:cs="Calibri"/>
          <w:b/>
          <w:bCs/>
          <w:sz w:val="22"/>
          <w:szCs w:val="22"/>
        </w:rPr>
        <w:t>V rámci ukončení zadávací řízení</w:t>
      </w:r>
    </w:p>
    <w:p w14:paraId="7A54CF1F" w14:textId="77777777" w:rsidR="0099517F" w:rsidRPr="00BB14FB" w:rsidRDefault="0099517F" w:rsidP="00BB14FB">
      <w:pPr>
        <w:pStyle w:val="Odstavecseseznamem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 xml:space="preserve">zpracování oznámení o výběru dodavatele </w:t>
      </w:r>
      <w:r>
        <w:rPr>
          <w:rFonts w:ascii="Calibri" w:hAnsi="Calibri" w:cs="Calibri"/>
          <w:sz w:val="22"/>
          <w:szCs w:val="22"/>
        </w:rPr>
        <w:t>a/</w:t>
      </w:r>
      <w:r w:rsidRPr="00BB14FB">
        <w:rPr>
          <w:rFonts w:ascii="Calibri" w:hAnsi="Calibri" w:cs="Calibri"/>
          <w:sz w:val="22"/>
          <w:szCs w:val="22"/>
        </w:rPr>
        <w:t>nebo o případném vyloučení účastníka z další účasti v zadávacím řízení a zajištění jejich doručení příslušným účastníkům zadávacího řízení.</w:t>
      </w:r>
    </w:p>
    <w:p w14:paraId="229ABF24" w14:textId="77777777" w:rsidR="0099517F" w:rsidRPr="00BB14FB" w:rsidRDefault="0099517F" w:rsidP="00BB14FB">
      <w:pPr>
        <w:pStyle w:val="Odstavecseseznamem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zajištění součinnosti s vybraným dodavatelem směřující k uzavření smlouvy (vyžádání příslušných dokladů a dokumentů)</w:t>
      </w:r>
    </w:p>
    <w:p w14:paraId="25A38AB1" w14:textId="77777777" w:rsidR="0099517F" w:rsidRPr="00BB14FB" w:rsidRDefault="0099517F" w:rsidP="00BB14FB">
      <w:pPr>
        <w:pStyle w:val="Odstavecseseznamem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zpracování a uveřejnění písemné zprávy zadavatele</w:t>
      </w:r>
    </w:p>
    <w:p w14:paraId="0E0C6E23" w14:textId="77777777" w:rsidR="0099517F" w:rsidRPr="00BB14FB" w:rsidRDefault="0099517F" w:rsidP="00BB14FB">
      <w:pPr>
        <w:pStyle w:val="Odstavecseseznamem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splnění povinností dle §219 zákona</w:t>
      </w:r>
    </w:p>
    <w:p w14:paraId="0DE9F349" w14:textId="77777777" w:rsidR="0099517F" w:rsidRPr="00BB14FB" w:rsidRDefault="0099517F" w:rsidP="00BB14FB">
      <w:pPr>
        <w:pStyle w:val="Odstavecseseznamem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splnění zákonných požadavků týkajících se uveřejňování na profilu zadavatele</w:t>
      </w:r>
    </w:p>
    <w:p w14:paraId="6326DE55" w14:textId="77777777" w:rsidR="0099517F" w:rsidRPr="00BB14FB" w:rsidRDefault="0099517F" w:rsidP="00BB14FB">
      <w:pPr>
        <w:pStyle w:val="Odstavecseseznamem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 xml:space="preserve">zpracování a uveřejňování příslušných formulářů ve Věstníku veřejných zakázek </w:t>
      </w:r>
    </w:p>
    <w:p w14:paraId="652C402A" w14:textId="77777777" w:rsidR="0099517F" w:rsidRPr="00BB14FB" w:rsidRDefault="0099517F" w:rsidP="00BB14FB">
      <w:pPr>
        <w:pStyle w:val="Odstavecseseznamem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posouzení případných námitek účastníků zadávacího řízení a zpracování rozhodnutí o námitkách</w:t>
      </w:r>
    </w:p>
    <w:p w14:paraId="6DA66A90" w14:textId="06F70F9D" w:rsidR="0099517F" w:rsidRPr="00BB14FB" w:rsidRDefault="0099517F" w:rsidP="00BB14FB">
      <w:pPr>
        <w:pStyle w:val="Odstavecseseznamem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spolupráce s příkazcem při řešení návrhu podaného k Úřadu pro ochranu hospodářské soutěže nebo jinému orgánu, který provádí kontrolu zadávacího řízení</w:t>
      </w:r>
    </w:p>
    <w:p w14:paraId="24531851" w14:textId="77777777" w:rsidR="0099517F" w:rsidRDefault="0099517F" w:rsidP="00BB14FB">
      <w:pPr>
        <w:pStyle w:val="Odstavecseseznamem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lastRenderedPageBreak/>
        <w:t xml:space="preserve">zpracování stanoviska zadavatele k podanému návrhu </w:t>
      </w:r>
    </w:p>
    <w:p w14:paraId="69C97BC2" w14:textId="77777777" w:rsidR="0099517F" w:rsidRPr="00BB14FB" w:rsidRDefault="0099517F" w:rsidP="00BB14FB">
      <w:pPr>
        <w:pStyle w:val="Odstavecseseznamem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spolupráce s příkazcem při provádění kontroly postupu realizace zadávacího řízení poskytovatelem dotace</w:t>
      </w:r>
    </w:p>
    <w:p w14:paraId="719DBAEF" w14:textId="77777777" w:rsidR="0099517F" w:rsidRPr="00BB14FB" w:rsidRDefault="0099517F" w:rsidP="00BB14FB">
      <w:pPr>
        <w:pStyle w:val="Odstavecseseznamem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vypořádání případných připomínek poskytovatele dotace k postupu při výběru dodavatele</w:t>
      </w:r>
    </w:p>
    <w:p w14:paraId="4B194D86" w14:textId="77777777" w:rsidR="0099517F" w:rsidRPr="00BB14FB" w:rsidRDefault="0099517F" w:rsidP="00BB14FB">
      <w:pPr>
        <w:jc w:val="both"/>
      </w:pPr>
    </w:p>
    <w:p w14:paraId="24BFDA55" w14:textId="77777777" w:rsidR="0099517F" w:rsidRPr="00BB14FB" w:rsidRDefault="0099517F" w:rsidP="00BB14F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BB14FB">
        <w:rPr>
          <w:rFonts w:ascii="Calibri" w:hAnsi="Calibri" w:cs="Calibri"/>
          <w:b/>
          <w:bCs/>
          <w:sz w:val="22"/>
          <w:szCs w:val="22"/>
        </w:rPr>
        <w:t xml:space="preserve">Po ukončení zadávacího řízení </w:t>
      </w:r>
    </w:p>
    <w:p w14:paraId="6F27C1BF" w14:textId="77777777" w:rsidR="0099517F" w:rsidRPr="009155F7" w:rsidRDefault="0099517F" w:rsidP="00BB14FB">
      <w:pPr>
        <w:pStyle w:val="Odstavecseseznamem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9155F7">
        <w:rPr>
          <w:rFonts w:ascii="Calibri" w:hAnsi="Calibri" w:cs="Calibri"/>
          <w:sz w:val="22"/>
          <w:szCs w:val="22"/>
        </w:rPr>
        <w:t>posoudit přípustnost provedení chystané změny závazku ze smlouvy na veřejnou zakázku. Příkazník posoudí, zda navrhovaná změna závazku na veřejnou zakázku je změnou podstatnou či nepodstatnou a vyhodnotí možnost jejího provedení v souladu s § 222 zákona</w:t>
      </w:r>
      <w:r>
        <w:rPr>
          <w:rFonts w:ascii="Calibri" w:hAnsi="Calibri" w:cs="Calibri"/>
          <w:sz w:val="22"/>
          <w:szCs w:val="22"/>
        </w:rPr>
        <w:t>,</w:t>
      </w:r>
      <w:r w:rsidRPr="009155F7">
        <w:rPr>
          <w:rFonts w:ascii="Calibri" w:hAnsi="Calibri" w:cs="Calibri"/>
          <w:sz w:val="22"/>
          <w:szCs w:val="22"/>
        </w:rPr>
        <w:t xml:space="preserve"> vypracování návrhu příslušného dodatku ke smlouvě na plnění veřejné zakázky na základě pos</w:t>
      </w:r>
      <w:r>
        <w:rPr>
          <w:rFonts w:ascii="Calibri" w:hAnsi="Calibri" w:cs="Calibri"/>
          <w:sz w:val="22"/>
          <w:szCs w:val="22"/>
        </w:rPr>
        <w:t>ouzení dle předchozího bodu</w:t>
      </w:r>
    </w:p>
    <w:p w14:paraId="6340B88B" w14:textId="77777777" w:rsidR="0099517F" w:rsidRPr="00BB14FB" w:rsidRDefault="0099517F" w:rsidP="00BB14FB">
      <w:pPr>
        <w:pStyle w:val="Odstavecseseznamem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 xml:space="preserve">zpracování a uveřejňování příslušného formuláře ve Věstníku veřejných zakázek vztahujícího se ke změně závazku </w:t>
      </w:r>
    </w:p>
    <w:p w14:paraId="44F48596" w14:textId="77777777" w:rsidR="0099517F" w:rsidRPr="00BB14FB" w:rsidRDefault="0099517F" w:rsidP="00BB14FB">
      <w:pPr>
        <w:jc w:val="both"/>
      </w:pPr>
    </w:p>
    <w:p w14:paraId="73B5A434" w14:textId="4DF62BE4" w:rsidR="0099517F" w:rsidRPr="00BB14FB" w:rsidRDefault="0099517F" w:rsidP="00BB14F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 xml:space="preserve">Pokud při provádění činností příkazníka dle této smlouvy nastane potřeba učinit jiný úkon neuvedený v odst. </w:t>
      </w:r>
      <w:r w:rsidR="002E5F98">
        <w:rPr>
          <w:rFonts w:ascii="Calibri" w:hAnsi="Calibri" w:cs="Calibri"/>
          <w:sz w:val="22"/>
          <w:szCs w:val="22"/>
        </w:rPr>
        <w:t>4</w:t>
      </w:r>
      <w:r w:rsidR="002E5F98" w:rsidRPr="00BB14FB">
        <w:rPr>
          <w:rFonts w:ascii="Calibri" w:hAnsi="Calibri" w:cs="Calibri"/>
          <w:sz w:val="22"/>
          <w:szCs w:val="22"/>
        </w:rPr>
        <w:t xml:space="preserve"> </w:t>
      </w:r>
      <w:r w:rsidRPr="00BB14FB">
        <w:rPr>
          <w:rFonts w:ascii="Calibri" w:hAnsi="Calibri" w:cs="Calibri"/>
          <w:sz w:val="22"/>
          <w:szCs w:val="22"/>
        </w:rPr>
        <w:t>tohoto článku, pak je povinností příkazníka takový úkon učinit, a to bez nár</w:t>
      </w:r>
      <w:r>
        <w:rPr>
          <w:rFonts w:ascii="Calibri" w:hAnsi="Calibri" w:cs="Calibri"/>
          <w:sz w:val="22"/>
          <w:szCs w:val="22"/>
        </w:rPr>
        <w:t>oku na odměnu nad rámec sjednaný v čl. IV</w:t>
      </w:r>
      <w:r w:rsidRPr="00BB14FB">
        <w:rPr>
          <w:rFonts w:ascii="Calibri" w:hAnsi="Calibri" w:cs="Calibri"/>
          <w:sz w:val="22"/>
          <w:szCs w:val="22"/>
        </w:rPr>
        <w:t xml:space="preserve">. této smlouvy. </w:t>
      </w:r>
    </w:p>
    <w:p w14:paraId="1A69617E" w14:textId="77777777" w:rsidR="0099517F" w:rsidRPr="00BB14FB" w:rsidRDefault="0099517F" w:rsidP="00241F6D">
      <w:pPr>
        <w:spacing w:after="0"/>
        <w:jc w:val="both"/>
      </w:pPr>
    </w:p>
    <w:p w14:paraId="57CDE953" w14:textId="77777777" w:rsidR="0099517F" w:rsidRPr="00BB14FB" w:rsidRDefault="0099517F" w:rsidP="00BB14F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Při své činnosti je příkazník povinen postupovat a řídit se zákonem č. 134/2016 Sb., o zadávání veřejných zakázek, ve znění pozdějších předpisů</w:t>
      </w:r>
      <w:r>
        <w:rPr>
          <w:rFonts w:ascii="Calibri" w:hAnsi="Calibri" w:cs="Calibri"/>
          <w:sz w:val="22"/>
          <w:szCs w:val="22"/>
        </w:rPr>
        <w:t>,</w:t>
      </w:r>
      <w:r w:rsidRPr="00BB14FB">
        <w:rPr>
          <w:rFonts w:ascii="Calibri" w:hAnsi="Calibri" w:cs="Calibri"/>
          <w:sz w:val="22"/>
          <w:szCs w:val="22"/>
        </w:rPr>
        <w:t xml:space="preserve"> včetně prováděcích předpisů, a pokud bude plnění veřejné zakázky hrazeno byť z části z dotace, pak také dotačními pravidly a podmínkami dotačních programů stanovených pro zadávání veřejných zakázek. Dále je příkazník povinen postupovat podle ustálené judikatury a rozhodnutí Úřadu pro ochranu hospodářské soutěže a v souladu s interními předpisy příkazce.</w:t>
      </w:r>
    </w:p>
    <w:p w14:paraId="117D0B18" w14:textId="77777777" w:rsidR="0099517F" w:rsidRPr="00BB14FB" w:rsidRDefault="0099517F" w:rsidP="00BB14FB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051F4774" w14:textId="77777777" w:rsidR="0099517F" w:rsidRPr="00BB14FB" w:rsidRDefault="0099517F" w:rsidP="00BB14F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 xml:space="preserve">V rámci konzultačních služeb je příkazník povinen poskytovat poradenství, zpracovávat stanoviska a výklady v oblasti zadávání veřejných zakázek dle požadavků příkazce v písemné, </w:t>
      </w:r>
      <w:r>
        <w:rPr>
          <w:rFonts w:ascii="Calibri" w:hAnsi="Calibri" w:cs="Calibri"/>
          <w:sz w:val="22"/>
          <w:szCs w:val="22"/>
        </w:rPr>
        <w:t>a to i elektronické (</w:t>
      </w:r>
      <w:r w:rsidRPr="00BB14FB">
        <w:rPr>
          <w:rFonts w:ascii="Calibri" w:hAnsi="Calibri" w:cs="Calibri"/>
          <w:sz w:val="22"/>
          <w:szCs w:val="22"/>
        </w:rPr>
        <w:t>e-mailové</w:t>
      </w:r>
      <w:r>
        <w:rPr>
          <w:rFonts w:ascii="Calibri" w:hAnsi="Calibri" w:cs="Calibri"/>
          <w:sz w:val="22"/>
          <w:szCs w:val="22"/>
        </w:rPr>
        <w:t>)</w:t>
      </w:r>
      <w:r w:rsidRPr="00BB14FB">
        <w:rPr>
          <w:rFonts w:ascii="Calibri" w:hAnsi="Calibri" w:cs="Calibri"/>
          <w:sz w:val="22"/>
          <w:szCs w:val="22"/>
        </w:rPr>
        <w:t xml:space="preserve"> a telefonické formě a v případě přítomnosti příkazníka v sídle příkazce též v ústní formě. Za konzultační službu se nepovažuje telefonická komunikace mezi smluvními stranami, která nepřesáhne délku trvání 15 min., délku jednotlivých telefonických komunikací nelze sčítat.</w:t>
      </w:r>
    </w:p>
    <w:p w14:paraId="1C04D54E" w14:textId="77777777" w:rsidR="0099517F" w:rsidRPr="00BB14FB" w:rsidRDefault="0099517F" w:rsidP="00BB14FB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0077D29A" w14:textId="77777777" w:rsidR="0099517F" w:rsidRPr="00BB14FB" w:rsidRDefault="0099517F" w:rsidP="00BB14FB">
      <w:pPr>
        <w:spacing w:after="0"/>
        <w:jc w:val="center"/>
        <w:rPr>
          <w:b/>
          <w:bCs/>
        </w:rPr>
      </w:pPr>
      <w:r w:rsidRPr="00BB14FB">
        <w:rPr>
          <w:b/>
          <w:bCs/>
        </w:rPr>
        <w:t>II.</w:t>
      </w:r>
    </w:p>
    <w:p w14:paraId="0FD71971" w14:textId="77777777" w:rsidR="0099517F" w:rsidRPr="00BB14FB" w:rsidRDefault="0099517F" w:rsidP="00BB14FB">
      <w:pPr>
        <w:spacing w:after="0"/>
        <w:jc w:val="center"/>
        <w:rPr>
          <w:b/>
          <w:bCs/>
        </w:rPr>
      </w:pPr>
      <w:r w:rsidRPr="00BB14FB">
        <w:rPr>
          <w:b/>
          <w:bCs/>
        </w:rPr>
        <w:t>Způsob uzavírání příkazních smluv</w:t>
      </w:r>
    </w:p>
    <w:p w14:paraId="49F7C012" w14:textId="77777777" w:rsidR="0099517F" w:rsidRPr="00BB14FB" w:rsidRDefault="0099517F" w:rsidP="005E07BE">
      <w:pPr>
        <w:spacing w:after="0"/>
        <w:jc w:val="both"/>
      </w:pPr>
    </w:p>
    <w:p w14:paraId="40904479" w14:textId="525980AB" w:rsidR="0099517F" w:rsidRPr="00BB14FB" w:rsidRDefault="0099517F" w:rsidP="00BB14FB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 xml:space="preserve">Příkazce bude zadávat jednotlivé veřejné zakázky a uzavírat příkazní smlouvy s příkazníkem na základě písemných objednávek. Objednávka je návrhem na uzavření příkazní smlouvy, a to za podmínek stanovených touto rámcovou smlouvou. </w:t>
      </w:r>
    </w:p>
    <w:p w14:paraId="799FB483" w14:textId="77777777" w:rsidR="0099517F" w:rsidRPr="00BB14FB" w:rsidRDefault="0099517F" w:rsidP="00241F6D">
      <w:pPr>
        <w:spacing w:after="0"/>
        <w:jc w:val="both"/>
      </w:pPr>
    </w:p>
    <w:p w14:paraId="7EDD0EA1" w14:textId="77777777" w:rsidR="0099517F" w:rsidRPr="00BB14FB" w:rsidRDefault="0099517F" w:rsidP="00BB14FB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Objednávka bude obsahovat specifikaci objednávaného plnění</w:t>
      </w:r>
      <w:r>
        <w:rPr>
          <w:rFonts w:ascii="Calibri" w:hAnsi="Calibri" w:cs="Calibri"/>
          <w:sz w:val="22"/>
          <w:szCs w:val="22"/>
        </w:rPr>
        <w:t xml:space="preserve"> (příkazu)</w:t>
      </w:r>
      <w:r w:rsidRPr="00BB14FB">
        <w:rPr>
          <w:rFonts w:ascii="Calibri" w:hAnsi="Calibri" w:cs="Calibri"/>
          <w:sz w:val="22"/>
          <w:szCs w:val="22"/>
        </w:rPr>
        <w:t xml:space="preserve">, údaje potřebné k realizaci tohoto plnění, případně zvláštní podmínky pro jeho provedení a dále výši odměny </w:t>
      </w:r>
      <w:r w:rsidRPr="000C6904">
        <w:rPr>
          <w:rFonts w:ascii="Calibri" w:hAnsi="Calibri" w:cs="Calibri"/>
          <w:sz w:val="22"/>
          <w:szCs w:val="22"/>
        </w:rPr>
        <w:t xml:space="preserve">dle čl. IV. </w:t>
      </w:r>
      <w:r w:rsidRPr="00BB14FB">
        <w:rPr>
          <w:rFonts w:ascii="Calibri" w:hAnsi="Calibri" w:cs="Calibri"/>
          <w:sz w:val="22"/>
          <w:szCs w:val="22"/>
        </w:rPr>
        <w:t>této smlouvy, eventuálně další nutné údaje. Příkazník je povinen si v případě pochybností týkající</w:t>
      </w:r>
      <w:r>
        <w:rPr>
          <w:rFonts w:ascii="Calibri" w:hAnsi="Calibri" w:cs="Calibri"/>
          <w:sz w:val="22"/>
          <w:szCs w:val="22"/>
        </w:rPr>
        <w:t>ch</w:t>
      </w:r>
      <w:r w:rsidRPr="00BB14FB">
        <w:rPr>
          <w:rFonts w:ascii="Calibri" w:hAnsi="Calibri" w:cs="Calibri"/>
          <w:sz w:val="22"/>
          <w:szCs w:val="22"/>
        </w:rPr>
        <w:t xml:space="preserve"> se specifikace či podmínek objednávaného plnění vyžádat písemně u příkazce doplňující údaje. Pokud takto neučiní, má se za to, že všechny údaje pro provedení plnění jsou mu známy a nemůže se z tohoto důvodu zprostit odpovědnosti za případné vady plnění.</w:t>
      </w:r>
    </w:p>
    <w:p w14:paraId="01873F3D" w14:textId="77777777" w:rsidR="0099517F" w:rsidRPr="00BB14FB" w:rsidRDefault="0099517F" w:rsidP="00BB14FB">
      <w:pPr>
        <w:jc w:val="both"/>
      </w:pPr>
    </w:p>
    <w:p w14:paraId="3C91A74E" w14:textId="77777777" w:rsidR="0099517F" w:rsidRPr="00BB14FB" w:rsidRDefault="0099517F" w:rsidP="00BB14FB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lastRenderedPageBreak/>
        <w:t>Příkazník je povinen písemně potvrdit objednávku, a to do třech pracovních dnů od jejího doručení. Písemné potvrzení objednávky příkazníkem je přijetím návrhu příkazní smlouvy. Přijetí objednávky s dodatkem nebo odchylkou se vylučuje.</w:t>
      </w:r>
    </w:p>
    <w:p w14:paraId="3ACC3241" w14:textId="77777777" w:rsidR="0099517F" w:rsidRPr="00BB14FB" w:rsidRDefault="0099517F" w:rsidP="00241F6D">
      <w:pPr>
        <w:spacing w:after="0"/>
        <w:jc w:val="both"/>
      </w:pPr>
    </w:p>
    <w:p w14:paraId="46B0C187" w14:textId="77777777" w:rsidR="0099517F" w:rsidRPr="00BB14FB" w:rsidRDefault="0099517F" w:rsidP="00BB14FB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Neobdrží-li příkazce od příkazníka potvrzení objednávky v termínu uvedeném v odst. 3 tohoto článku, či odmítne-li příkazník provést plnění v objednávce specifikovan</w:t>
      </w:r>
      <w:r>
        <w:rPr>
          <w:rFonts w:ascii="Calibri" w:hAnsi="Calibri" w:cs="Calibri"/>
          <w:sz w:val="22"/>
          <w:szCs w:val="22"/>
        </w:rPr>
        <w:t>á</w:t>
      </w:r>
      <w:r w:rsidRPr="00BB14FB">
        <w:rPr>
          <w:rFonts w:ascii="Calibri" w:hAnsi="Calibri" w:cs="Calibri"/>
          <w:sz w:val="22"/>
          <w:szCs w:val="22"/>
        </w:rPr>
        <w:t xml:space="preserve">, považují se tyto skutečnosti za podstatné porušení smlouvy a příkazce je oprávněn od této smlouvy odstoupit. </w:t>
      </w:r>
    </w:p>
    <w:p w14:paraId="05FD30B0" w14:textId="77777777" w:rsidR="0099517F" w:rsidRPr="00BB14FB" w:rsidRDefault="0099517F" w:rsidP="00241F6D">
      <w:pPr>
        <w:spacing w:after="0"/>
        <w:jc w:val="both"/>
      </w:pPr>
    </w:p>
    <w:p w14:paraId="5D417ED7" w14:textId="78F461D1" w:rsidR="0099517F" w:rsidRPr="00BB14FB" w:rsidRDefault="0099517F" w:rsidP="00BB14FB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a</w:t>
      </w:r>
      <w:r w:rsidRPr="00BB14FB">
        <w:rPr>
          <w:rFonts w:ascii="Calibri" w:hAnsi="Calibri" w:cs="Calibri"/>
          <w:sz w:val="22"/>
          <w:szCs w:val="22"/>
        </w:rPr>
        <w:t xml:space="preserve"> písemné potvrzení objednávky se považuje vyjádření nezpochybnitelného souhlasu s obsahem objednávky, jenž bude podepsán příkazníkem, a to i přímo na textu objednávky. </w:t>
      </w:r>
    </w:p>
    <w:p w14:paraId="34ABF312" w14:textId="77777777" w:rsidR="0099517F" w:rsidRPr="00BB14FB" w:rsidRDefault="0099517F" w:rsidP="00241F6D">
      <w:pPr>
        <w:spacing w:after="0"/>
        <w:jc w:val="both"/>
      </w:pPr>
    </w:p>
    <w:p w14:paraId="4398C1C5" w14:textId="77777777" w:rsidR="0099517F" w:rsidRPr="00BB14FB" w:rsidRDefault="0099517F" w:rsidP="00BB14FB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Písemnou objednávku dle této smlouvy je oprávněn vystavit, příkaz a pokyny příkazníkovi udělit pouze vedoucí odborů, vedoucí přímo řízených oddělení či zaměstnanci přímo řízení tajemníkem a v případě jejich nepřítomnosti jejich zástupci.</w:t>
      </w:r>
    </w:p>
    <w:p w14:paraId="564E804D" w14:textId="77777777" w:rsidR="0099517F" w:rsidRPr="00BB14FB" w:rsidRDefault="0099517F" w:rsidP="00BB14FB">
      <w:pPr>
        <w:jc w:val="both"/>
      </w:pPr>
    </w:p>
    <w:p w14:paraId="1C9CECBB" w14:textId="77777777" w:rsidR="0099517F" w:rsidRPr="00BB14FB" w:rsidRDefault="0099517F" w:rsidP="00BB14FB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>Za písemnou formu se pro účely tohoto článku rozumí i elektronická e-mailová komunikace smluvních stran doručovaná na e-mailové adresy uvedené v objednávce.</w:t>
      </w:r>
    </w:p>
    <w:p w14:paraId="4B3284D8" w14:textId="77777777" w:rsidR="0099517F" w:rsidRPr="00BB14FB" w:rsidRDefault="0099517F" w:rsidP="00BB14FB">
      <w:pPr>
        <w:jc w:val="both"/>
      </w:pPr>
    </w:p>
    <w:p w14:paraId="6C1F342C" w14:textId="77777777" w:rsidR="0099517F" w:rsidRPr="00BB14FB" w:rsidRDefault="0099517F" w:rsidP="00BB14FB">
      <w:pPr>
        <w:tabs>
          <w:tab w:val="left" w:pos="810"/>
        </w:tabs>
        <w:spacing w:after="0"/>
        <w:jc w:val="center"/>
        <w:rPr>
          <w:b/>
          <w:bCs/>
        </w:rPr>
      </w:pPr>
      <w:r w:rsidRPr="00BB14FB">
        <w:rPr>
          <w:b/>
          <w:bCs/>
        </w:rPr>
        <w:t>III.</w:t>
      </w:r>
    </w:p>
    <w:p w14:paraId="042176CC" w14:textId="77777777" w:rsidR="0099517F" w:rsidRPr="00BB14FB" w:rsidRDefault="0099517F" w:rsidP="00BB14FB">
      <w:pPr>
        <w:spacing w:after="0"/>
        <w:jc w:val="center"/>
        <w:rPr>
          <w:b/>
          <w:bCs/>
        </w:rPr>
      </w:pPr>
      <w:r w:rsidRPr="00BB14FB">
        <w:rPr>
          <w:b/>
          <w:bCs/>
        </w:rPr>
        <w:t>Doba trvání smlouvy a doba plnění</w:t>
      </w:r>
    </w:p>
    <w:p w14:paraId="12D71880" w14:textId="77777777" w:rsidR="0099517F" w:rsidRPr="00BB14FB" w:rsidRDefault="0099517F" w:rsidP="005E07BE">
      <w:pPr>
        <w:spacing w:after="0"/>
        <w:jc w:val="both"/>
      </w:pPr>
    </w:p>
    <w:p w14:paraId="60D3964D" w14:textId="77777777" w:rsidR="0099517F" w:rsidRPr="00BB14FB" w:rsidRDefault="0099517F" w:rsidP="00BB14FB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BB14FB">
        <w:rPr>
          <w:rFonts w:ascii="Calibri" w:hAnsi="Calibri" w:cs="Calibri"/>
          <w:sz w:val="22"/>
          <w:szCs w:val="22"/>
        </w:rPr>
        <w:t xml:space="preserve">Tato rámcová smlouva se uzavírá na dobu určitou, a to </w:t>
      </w:r>
      <w:r>
        <w:rPr>
          <w:rFonts w:ascii="Calibri" w:hAnsi="Calibri" w:cs="Calibri"/>
          <w:sz w:val="22"/>
          <w:szCs w:val="22"/>
        </w:rPr>
        <w:t>na dobu 4 let</w:t>
      </w:r>
      <w:r w:rsidRPr="00BB14FB">
        <w:rPr>
          <w:rFonts w:ascii="Calibri" w:hAnsi="Calibri" w:cs="Calibri"/>
          <w:sz w:val="22"/>
          <w:szCs w:val="22"/>
        </w:rPr>
        <w:t xml:space="preserve"> nebo do zadání příkazů v takovém rozsahu, že dojde k vyčerpání částky 1.</w:t>
      </w:r>
      <w:r>
        <w:rPr>
          <w:rFonts w:ascii="Calibri" w:hAnsi="Calibri" w:cs="Calibri"/>
          <w:sz w:val="22"/>
          <w:szCs w:val="22"/>
        </w:rPr>
        <w:t>5</w:t>
      </w:r>
      <w:r w:rsidRPr="00BB14FB">
        <w:rPr>
          <w:rFonts w:ascii="Calibri" w:hAnsi="Calibri" w:cs="Calibri"/>
          <w:sz w:val="22"/>
          <w:szCs w:val="22"/>
        </w:rPr>
        <w:t>00.000 Kč bez DPH nebo by došlo k jejímu přečerpání, pokračovalo-li by se v plnění dle této smlouvy, podle toho, která ze skutečností nastane dříve.</w:t>
      </w:r>
    </w:p>
    <w:p w14:paraId="303A03D5" w14:textId="77777777" w:rsidR="0099517F" w:rsidRPr="00BB14FB" w:rsidRDefault="0099517F" w:rsidP="00BB14FB">
      <w:pPr>
        <w:jc w:val="both"/>
      </w:pPr>
    </w:p>
    <w:p w14:paraId="3CB1BF85" w14:textId="77777777" w:rsidR="0099517F" w:rsidRPr="00935912" w:rsidRDefault="0099517F" w:rsidP="00BB14FB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BB14FB">
        <w:rPr>
          <w:rFonts w:ascii="Calibri" w:hAnsi="Calibri" w:cs="Calibri"/>
          <w:sz w:val="22"/>
          <w:szCs w:val="22"/>
        </w:rPr>
        <w:t>Příkazník je povinen zahájit plnění příkazu v termínu určeném příkazcem v objednávce dle čl. II. odst. 2 této smlouvy a předat příkaz</w:t>
      </w:r>
      <w:r>
        <w:rPr>
          <w:rFonts w:ascii="Calibri" w:hAnsi="Calibri" w:cs="Calibri"/>
          <w:sz w:val="22"/>
          <w:szCs w:val="22"/>
        </w:rPr>
        <w:t xml:space="preserve">ci </w:t>
      </w:r>
      <w:r w:rsidRPr="00BB14FB">
        <w:rPr>
          <w:rFonts w:ascii="Calibri" w:hAnsi="Calibri" w:cs="Calibri"/>
          <w:sz w:val="22"/>
          <w:szCs w:val="22"/>
        </w:rPr>
        <w:t>orientační časový harmonogram zadávacího řízení do pěti dnů ode dne zahájení plnění příkazu.</w:t>
      </w:r>
      <w:r>
        <w:rPr>
          <w:rFonts w:ascii="Calibri" w:hAnsi="Calibri" w:cs="Calibri"/>
          <w:sz w:val="22"/>
          <w:szCs w:val="22"/>
        </w:rPr>
        <w:t xml:space="preserve"> </w:t>
      </w:r>
      <w:r w:rsidRPr="00935912">
        <w:rPr>
          <w:rFonts w:ascii="Calibri" w:hAnsi="Calibri" w:cs="Calibri"/>
          <w:sz w:val="22"/>
          <w:szCs w:val="22"/>
        </w:rPr>
        <w:t>Konkrétní termíny zahájení zadávacího ř</w:t>
      </w:r>
      <w:r>
        <w:rPr>
          <w:rFonts w:ascii="Calibri" w:hAnsi="Calibri" w:cs="Calibri"/>
          <w:sz w:val="22"/>
          <w:szCs w:val="22"/>
        </w:rPr>
        <w:t xml:space="preserve">ízení a předložení kompletních </w:t>
      </w:r>
      <w:r w:rsidRPr="00935912">
        <w:rPr>
          <w:rFonts w:ascii="Calibri" w:hAnsi="Calibri" w:cs="Calibri"/>
          <w:sz w:val="22"/>
          <w:szCs w:val="22"/>
        </w:rPr>
        <w:t>zadávacích podmínek příkazci budou po vzájemné konzultaci příkazcem stanoveny a písemně sděleny příkazníkovi, a to i e-mailem na adresu uvedenou v záhlaví této smlouvy.</w:t>
      </w:r>
    </w:p>
    <w:p w14:paraId="0A0D338D" w14:textId="77777777" w:rsidR="0099517F" w:rsidRPr="00753935" w:rsidRDefault="0099517F" w:rsidP="00753935">
      <w:pPr>
        <w:spacing w:after="0"/>
        <w:jc w:val="center"/>
        <w:rPr>
          <w:b/>
          <w:bCs/>
        </w:rPr>
      </w:pPr>
    </w:p>
    <w:p w14:paraId="377F60B8" w14:textId="77777777" w:rsidR="0099517F" w:rsidRDefault="0099517F" w:rsidP="00753935">
      <w:pPr>
        <w:spacing w:after="0"/>
        <w:jc w:val="center"/>
        <w:rPr>
          <w:b/>
          <w:bCs/>
        </w:rPr>
      </w:pPr>
    </w:p>
    <w:p w14:paraId="2CAE4B09" w14:textId="77777777" w:rsidR="0099517F" w:rsidRPr="00753935" w:rsidRDefault="0099517F" w:rsidP="00753935">
      <w:pPr>
        <w:spacing w:after="0"/>
        <w:jc w:val="center"/>
        <w:rPr>
          <w:b/>
          <w:bCs/>
        </w:rPr>
      </w:pPr>
      <w:r w:rsidRPr="00753935">
        <w:rPr>
          <w:b/>
          <w:bCs/>
        </w:rPr>
        <w:t>IV.</w:t>
      </w:r>
    </w:p>
    <w:p w14:paraId="35816A18" w14:textId="77777777" w:rsidR="0099517F" w:rsidRPr="00753935" w:rsidRDefault="0099517F" w:rsidP="00753935">
      <w:pPr>
        <w:spacing w:after="0"/>
        <w:jc w:val="center"/>
        <w:rPr>
          <w:b/>
          <w:bCs/>
        </w:rPr>
      </w:pPr>
      <w:r w:rsidRPr="00753935">
        <w:rPr>
          <w:b/>
          <w:bCs/>
        </w:rPr>
        <w:t>Odměna a platební podmínky</w:t>
      </w:r>
    </w:p>
    <w:p w14:paraId="40CFDBAF" w14:textId="77777777" w:rsidR="0099517F" w:rsidRPr="00753935" w:rsidRDefault="0099517F" w:rsidP="005E07BE">
      <w:pPr>
        <w:spacing w:after="0"/>
        <w:jc w:val="both"/>
        <w:rPr>
          <w:sz w:val="20"/>
          <w:szCs w:val="20"/>
        </w:rPr>
      </w:pPr>
    </w:p>
    <w:p w14:paraId="012B8E90" w14:textId="77777777" w:rsidR="0099517F" w:rsidRPr="00753935" w:rsidRDefault="0099517F" w:rsidP="00753935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753935">
        <w:rPr>
          <w:rFonts w:ascii="Calibri" w:hAnsi="Calibri" w:cs="Calibri"/>
          <w:sz w:val="22"/>
          <w:szCs w:val="22"/>
        </w:rPr>
        <w:t>Smluvní strany se dohodly, že za řádné provádění příkazů dle této smlouvy náleží příkazníkovi odměna.</w:t>
      </w:r>
    </w:p>
    <w:p w14:paraId="7F08D073" w14:textId="77777777" w:rsidR="0099517F" w:rsidRPr="00753935" w:rsidRDefault="0099517F" w:rsidP="00753935">
      <w:pPr>
        <w:jc w:val="both"/>
        <w:rPr>
          <w:sz w:val="20"/>
          <w:szCs w:val="20"/>
        </w:rPr>
      </w:pPr>
    </w:p>
    <w:p w14:paraId="1031B714" w14:textId="77777777" w:rsidR="0099517F" w:rsidRDefault="0099517F" w:rsidP="00753935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753935">
        <w:rPr>
          <w:rFonts w:ascii="Calibri" w:hAnsi="Calibri" w:cs="Calibri"/>
          <w:sz w:val="22"/>
          <w:szCs w:val="22"/>
        </w:rPr>
        <w:t>Smluvní strany se dohodly, že odměna za příkaz provedený na základě objednávky dle této s</w:t>
      </w:r>
      <w:r>
        <w:rPr>
          <w:rFonts w:ascii="Calibri" w:hAnsi="Calibri" w:cs="Calibri"/>
          <w:sz w:val="22"/>
          <w:szCs w:val="22"/>
        </w:rPr>
        <w:t>mlouvy bude stanovena dle odst. 3 tohoto článku</w:t>
      </w:r>
      <w:r w:rsidRPr="00753935">
        <w:rPr>
          <w:rFonts w:ascii="Calibri" w:hAnsi="Calibri" w:cs="Calibri"/>
          <w:sz w:val="22"/>
          <w:szCs w:val="22"/>
        </w:rPr>
        <w:t>. Sjednané ceny jsou maximální a nejvýše přípustné po celou dobu trvání této smlouvy.</w:t>
      </w:r>
    </w:p>
    <w:p w14:paraId="5E493D7A" w14:textId="77777777" w:rsidR="0099517F" w:rsidRPr="00D71957" w:rsidRDefault="0099517F" w:rsidP="00D71957">
      <w:pPr>
        <w:pStyle w:val="Odstavecseseznamem"/>
        <w:rPr>
          <w:rFonts w:ascii="Calibri" w:hAnsi="Calibri" w:cs="Calibri"/>
          <w:sz w:val="20"/>
          <w:szCs w:val="20"/>
        </w:rPr>
      </w:pPr>
    </w:p>
    <w:p w14:paraId="3AC8488A" w14:textId="77777777" w:rsidR="0099517F" w:rsidRPr="00D71957" w:rsidRDefault="0099517F" w:rsidP="00D71957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D71957">
        <w:rPr>
          <w:rFonts w:ascii="Calibri" w:hAnsi="Calibri" w:cs="Calibri"/>
          <w:sz w:val="22"/>
          <w:szCs w:val="22"/>
        </w:rPr>
        <w:t>Smluvní strany se dohodly na následující odměně za provedení příkazu:</w:t>
      </w:r>
    </w:p>
    <w:p w14:paraId="30939A18" w14:textId="77777777" w:rsidR="0099517F" w:rsidRPr="00D71957" w:rsidRDefault="0099517F" w:rsidP="00D71957">
      <w:pPr>
        <w:pStyle w:val="Odstavecseseznamem"/>
        <w:jc w:val="both"/>
        <w:rPr>
          <w:b/>
          <w:bCs/>
        </w:rPr>
      </w:pPr>
    </w:p>
    <w:tbl>
      <w:tblPr>
        <w:tblpPr w:leftFromText="141" w:rightFromText="141" w:vertAnchor="text" w:horzAnchor="margin" w:tblpXSpec="center" w:tblpY="196"/>
        <w:tblOverlap w:val="never"/>
        <w:tblW w:w="8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3"/>
        <w:gridCol w:w="2053"/>
        <w:gridCol w:w="2054"/>
        <w:gridCol w:w="2054"/>
      </w:tblGrid>
      <w:tr w:rsidR="0099517F" w:rsidRPr="00DA1775" w14:paraId="5DEB5A9C" w14:textId="77777777">
        <w:trPr>
          <w:trHeight w:val="605"/>
        </w:trPr>
        <w:tc>
          <w:tcPr>
            <w:tcW w:w="2053" w:type="dxa"/>
          </w:tcPr>
          <w:p w14:paraId="298B5AE5" w14:textId="77777777" w:rsidR="0099517F" w:rsidRPr="00DA1775" w:rsidRDefault="0099517F" w:rsidP="00DA1775">
            <w:pPr>
              <w:spacing w:after="0" w:line="240" w:lineRule="auto"/>
              <w:rPr>
                <w:b/>
                <w:bCs/>
              </w:rPr>
            </w:pPr>
          </w:p>
          <w:p w14:paraId="622AC44D" w14:textId="77777777" w:rsidR="0099517F" w:rsidRPr="00DA1775" w:rsidRDefault="0099517F" w:rsidP="00DA1775">
            <w:pPr>
              <w:spacing w:after="0" w:line="240" w:lineRule="auto"/>
              <w:rPr>
                <w:b/>
                <w:bCs/>
              </w:rPr>
            </w:pPr>
            <w:r w:rsidRPr="00DA1775">
              <w:rPr>
                <w:b/>
                <w:bCs/>
              </w:rPr>
              <w:t>Veřejná zakázka dle výše předpokládané hodnoty</w:t>
            </w:r>
          </w:p>
        </w:tc>
        <w:tc>
          <w:tcPr>
            <w:tcW w:w="2053" w:type="dxa"/>
          </w:tcPr>
          <w:p w14:paraId="1DB9B842" w14:textId="77777777" w:rsidR="0099517F" w:rsidRPr="00DA1775" w:rsidRDefault="0099517F" w:rsidP="00DA1775">
            <w:pPr>
              <w:spacing w:after="0" w:line="240" w:lineRule="auto"/>
              <w:jc w:val="both"/>
              <w:rPr>
                <w:b/>
                <w:bCs/>
              </w:rPr>
            </w:pPr>
            <w:r w:rsidRPr="00DA1775">
              <w:rPr>
                <w:b/>
                <w:bCs/>
              </w:rPr>
              <w:t>Cena bez DPH za kompletní administraci zadávacího řízení dle čl. I odst. 4 smlouvy</w:t>
            </w:r>
          </w:p>
        </w:tc>
        <w:tc>
          <w:tcPr>
            <w:tcW w:w="2054" w:type="dxa"/>
          </w:tcPr>
          <w:p w14:paraId="78DE803C" w14:textId="77777777" w:rsidR="0099517F" w:rsidRPr="00DA1775" w:rsidRDefault="0099517F" w:rsidP="00DA1775">
            <w:pPr>
              <w:spacing w:after="0" w:line="240" w:lineRule="auto"/>
              <w:jc w:val="both"/>
              <w:rPr>
                <w:b/>
                <w:bCs/>
              </w:rPr>
            </w:pPr>
            <w:r w:rsidRPr="00DA1775">
              <w:rPr>
                <w:b/>
                <w:bCs/>
              </w:rPr>
              <w:t>DPH</w:t>
            </w:r>
          </w:p>
        </w:tc>
        <w:tc>
          <w:tcPr>
            <w:tcW w:w="2054" w:type="dxa"/>
          </w:tcPr>
          <w:p w14:paraId="0AEA69D9" w14:textId="77777777" w:rsidR="0099517F" w:rsidRPr="00DA1775" w:rsidRDefault="0099517F" w:rsidP="00DA1775">
            <w:pPr>
              <w:spacing w:after="0" w:line="240" w:lineRule="auto"/>
              <w:jc w:val="both"/>
              <w:rPr>
                <w:b/>
                <w:bCs/>
              </w:rPr>
            </w:pPr>
            <w:r w:rsidRPr="00DA1775">
              <w:rPr>
                <w:b/>
                <w:bCs/>
              </w:rPr>
              <w:t>Cena celkem za kompletní administraci zadávacího řízení dle čl. I odst. 4 smlouvy</w:t>
            </w:r>
          </w:p>
        </w:tc>
      </w:tr>
      <w:tr w:rsidR="0099517F" w:rsidRPr="00DA1775" w14:paraId="7517F282" w14:textId="77777777" w:rsidTr="00F6608B">
        <w:trPr>
          <w:trHeight w:val="605"/>
        </w:trPr>
        <w:tc>
          <w:tcPr>
            <w:tcW w:w="2053" w:type="dxa"/>
          </w:tcPr>
          <w:p w14:paraId="28FFF607" w14:textId="77777777" w:rsidR="0099517F" w:rsidRPr="00DA1775" w:rsidRDefault="0099517F" w:rsidP="00DA1775">
            <w:pPr>
              <w:spacing w:after="0" w:line="240" w:lineRule="auto"/>
              <w:rPr>
                <w:b/>
                <w:bCs/>
              </w:rPr>
            </w:pPr>
            <w:r w:rsidRPr="00DA1775">
              <w:rPr>
                <w:b/>
                <w:bCs/>
              </w:rPr>
              <w:t>Veřejná zakázka malého rozsahu</w:t>
            </w:r>
          </w:p>
        </w:tc>
        <w:tc>
          <w:tcPr>
            <w:tcW w:w="2053" w:type="dxa"/>
            <w:vAlign w:val="center"/>
          </w:tcPr>
          <w:p w14:paraId="7E8E3ED5" w14:textId="64E84428" w:rsidR="0099517F" w:rsidRPr="00DA1775" w:rsidRDefault="00F85D85" w:rsidP="00F6608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28.000 Kč</w:t>
            </w:r>
          </w:p>
        </w:tc>
        <w:tc>
          <w:tcPr>
            <w:tcW w:w="2054" w:type="dxa"/>
            <w:vAlign w:val="center"/>
          </w:tcPr>
          <w:p w14:paraId="320D7ED8" w14:textId="747A4678" w:rsidR="0099517F" w:rsidRPr="00DA1775" w:rsidRDefault="00F6608B" w:rsidP="00F6608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5.880 Kč</w:t>
            </w:r>
          </w:p>
        </w:tc>
        <w:tc>
          <w:tcPr>
            <w:tcW w:w="2054" w:type="dxa"/>
            <w:vAlign w:val="center"/>
          </w:tcPr>
          <w:p w14:paraId="4AC7FBE9" w14:textId="7BAB06A5" w:rsidR="0099517F" w:rsidRPr="00DA1775" w:rsidRDefault="00F85D85" w:rsidP="00F6608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33.880 Kč</w:t>
            </w:r>
          </w:p>
        </w:tc>
      </w:tr>
      <w:tr w:rsidR="0099517F" w:rsidRPr="00DA1775" w14:paraId="2BBA5939" w14:textId="77777777" w:rsidTr="00F6608B">
        <w:trPr>
          <w:trHeight w:val="638"/>
        </w:trPr>
        <w:tc>
          <w:tcPr>
            <w:tcW w:w="2053" w:type="dxa"/>
          </w:tcPr>
          <w:p w14:paraId="32BF4F67" w14:textId="77777777" w:rsidR="0099517F" w:rsidRPr="00DA1775" w:rsidRDefault="0099517F" w:rsidP="00DA1775">
            <w:pPr>
              <w:spacing w:after="0" w:line="240" w:lineRule="auto"/>
              <w:jc w:val="both"/>
              <w:rPr>
                <w:b/>
                <w:bCs/>
              </w:rPr>
            </w:pPr>
            <w:r w:rsidRPr="00DA1775">
              <w:rPr>
                <w:b/>
                <w:bCs/>
              </w:rPr>
              <w:t>Podlimitní veřejná zakázka</w:t>
            </w:r>
          </w:p>
        </w:tc>
        <w:tc>
          <w:tcPr>
            <w:tcW w:w="2053" w:type="dxa"/>
            <w:vAlign w:val="center"/>
          </w:tcPr>
          <w:p w14:paraId="7055E4BA" w14:textId="5FC7A09E" w:rsidR="0099517F" w:rsidRPr="00DA1775" w:rsidRDefault="00F85D85" w:rsidP="00F6608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34.000 Kč</w:t>
            </w:r>
          </w:p>
        </w:tc>
        <w:tc>
          <w:tcPr>
            <w:tcW w:w="2054" w:type="dxa"/>
            <w:vAlign w:val="center"/>
          </w:tcPr>
          <w:p w14:paraId="2A34AA42" w14:textId="2DDB5A7B" w:rsidR="0099517F" w:rsidRPr="00DA1775" w:rsidRDefault="00F6608B" w:rsidP="00F6608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7.140 Kč</w:t>
            </w:r>
          </w:p>
        </w:tc>
        <w:tc>
          <w:tcPr>
            <w:tcW w:w="2054" w:type="dxa"/>
            <w:vAlign w:val="center"/>
          </w:tcPr>
          <w:p w14:paraId="41747507" w14:textId="74CA70B0" w:rsidR="0099517F" w:rsidRPr="00DA1775" w:rsidRDefault="00F85D85" w:rsidP="00F6608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41.1</w:t>
            </w:r>
            <w:r w:rsidR="00F6608B">
              <w:rPr>
                <w:b/>
                <w:bCs/>
              </w:rPr>
              <w:t>40</w:t>
            </w:r>
            <w:r>
              <w:rPr>
                <w:b/>
                <w:bCs/>
              </w:rPr>
              <w:t xml:space="preserve"> Kč</w:t>
            </w:r>
          </w:p>
        </w:tc>
      </w:tr>
      <w:tr w:rsidR="0099517F" w:rsidRPr="00DA1775" w14:paraId="6FF91D48" w14:textId="77777777" w:rsidTr="00F6608B">
        <w:trPr>
          <w:trHeight w:val="605"/>
        </w:trPr>
        <w:tc>
          <w:tcPr>
            <w:tcW w:w="2053" w:type="dxa"/>
          </w:tcPr>
          <w:p w14:paraId="26FDA4B8" w14:textId="77777777" w:rsidR="0099517F" w:rsidRPr="00DA1775" w:rsidRDefault="0099517F" w:rsidP="00DA1775">
            <w:pPr>
              <w:spacing w:after="0" w:line="240" w:lineRule="auto"/>
              <w:jc w:val="both"/>
              <w:rPr>
                <w:b/>
                <w:bCs/>
              </w:rPr>
            </w:pPr>
            <w:r w:rsidRPr="00DA1775">
              <w:rPr>
                <w:b/>
                <w:bCs/>
              </w:rPr>
              <w:t>Nadlimitní veřejná zakázka</w:t>
            </w:r>
          </w:p>
        </w:tc>
        <w:tc>
          <w:tcPr>
            <w:tcW w:w="2053" w:type="dxa"/>
            <w:vAlign w:val="center"/>
          </w:tcPr>
          <w:p w14:paraId="6BA4E57B" w14:textId="1074C433" w:rsidR="0099517F" w:rsidRPr="00DA1775" w:rsidRDefault="00F85D85" w:rsidP="00F6608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39.000 Kč</w:t>
            </w:r>
          </w:p>
        </w:tc>
        <w:tc>
          <w:tcPr>
            <w:tcW w:w="2054" w:type="dxa"/>
            <w:vAlign w:val="center"/>
          </w:tcPr>
          <w:p w14:paraId="30049A31" w14:textId="6C821D05" w:rsidR="0099517F" w:rsidRPr="00DA1775" w:rsidRDefault="00F6608B" w:rsidP="00F6608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8.190 Kč</w:t>
            </w:r>
          </w:p>
        </w:tc>
        <w:tc>
          <w:tcPr>
            <w:tcW w:w="2054" w:type="dxa"/>
            <w:vAlign w:val="center"/>
          </w:tcPr>
          <w:p w14:paraId="3B9C230A" w14:textId="18302C43" w:rsidR="0099517F" w:rsidRPr="00DA1775" w:rsidRDefault="00F6608B" w:rsidP="00F6608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47.190 Kč</w:t>
            </w:r>
          </w:p>
        </w:tc>
      </w:tr>
      <w:tr w:rsidR="0099517F" w:rsidRPr="00DA1775" w14:paraId="39E2123B" w14:textId="77777777">
        <w:trPr>
          <w:trHeight w:val="605"/>
        </w:trPr>
        <w:tc>
          <w:tcPr>
            <w:tcW w:w="2053" w:type="dxa"/>
            <w:shd w:val="clear" w:color="auto" w:fill="002060"/>
          </w:tcPr>
          <w:p w14:paraId="42E54D84" w14:textId="77777777" w:rsidR="0099517F" w:rsidRPr="00DA1775" w:rsidRDefault="0099517F" w:rsidP="00DA1775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053" w:type="dxa"/>
            <w:shd w:val="clear" w:color="auto" w:fill="002060"/>
          </w:tcPr>
          <w:p w14:paraId="71DB8C41" w14:textId="77777777" w:rsidR="0099517F" w:rsidRPr="00DA1775" w:rsidRDefault="0099517F" w:rsidP="00DA1775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054" w:type="dxa"/>
            <w:shd w:val="clear" w:color="auto" w:fill="002060"/>
          </w:tcPr>
          <w:p w14:paraId="0EA08883" w14:textId="77777777" w:rsidR="0099517F" w:rsidRPr="00DA1775" w:rsidRDefault="0099517F" w:rsidP="00DA1775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054" w:type="dxa"/>
            <w:shd w:val="clear" w:color="auto" w:fill="002060"/>
          </w:tcPr>
          <w:p w14:paraId="3FA1B679" w14:textId="77777777" w:rsidR="0099517F" w:rsidRPr="00DA1775" w:rsidRDefault="0099517F" w:rsidP="00DA1775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99517F" w:rsidRPr="00DA1775" w14:paraId="42F2212F" w14:textId="77777777" w:rsidTr="00F6608B">
        <w:trPr>
          <w:trHeight w:val="321"/>
        </w:trPr>
        <w:tc>
          <w:tcPr>
            <w:tcW w:w="2053" w:type="dxa"/>
          </w:tcPr>
          <w:p w14:paraId="30E225D8" w14:textId="77777777" w:rsidR="0099517F" w:rsidRPr="00DA1775" w:rsidRDefault="0099517F" w:rsidP="00DA1775">
            <w:pPr>
              <w:spacing w:after="0" w:line="240" w:lineRule="auto"/>
              <w:jc w:val="both"/>
              <w:rPr>
                <w:b/>
                <w:bCs/>
              </w:rPr>
            </w:pPr>
            <w:r w:rsidRPr="00DA1775">
              <w:rPr>
                <w:b/>
                <w:bCs/>
              </w:rPr>
              <w:t>Konzultační služby za 1 hod.</w:t>
            </w:r>
          </w:p>
        </w:tc>
        <w:tc>
          <w:tcPr>
            <w:tcW w:w="2053" w:type="dxa"/>
            <w:vAlign w:val="center"/>
          </w:tcPr>
          <w:p w14:paraId="6ED2A316" w14:textId="1F774F08" w:rsidR="0099517F" w:rsidRPr="00DA1775" w:rsidRDefault="00F85D85" w:rsidP="00F6608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1.000 Kč</w:t>
            </w:r>
          </w:p>
        </w:tc>
        <w:tc>
          <w:tcPr>
            <w:tcW w:w="2054" w:type="dxa"/>
            <w:vAlign w:val="center"/>
          </w:tcPr>
          <w:p w14:paraId="21C7781B" w14:textId="68ECBD2A" w:rsidR="0099517F" w:rsidRPr="00DA1775" w:rsidRDefault="00F6608B" w:rsidP="00F6608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 Kč</w:t>
            </w:r>
          </w:p>
        </w:tc>
        <w:tc>
          <w:tcPr>
            <w:tcW w:w="2054" w:type="dxa"/>
            <w:vAlign w:val="center"/>
          </w:tcPr>
          <w:p w14:paraId="7C577A0C" w14:textId="5092FCAE" w:rsidR="0099517F" w:rsidRPr="00DA1775" w:rsidRDefault="00F6608B" w:rsidP="00F6608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1.210 Kč</w:t>
            </w:r>
          </w:p>
        </w:tc>
      </w:tr>
    </w:tbl>
    <w:p w14:paraId="5DEFE79B" w14:textId="77777777" w:rsidR="0099517F" w:rsidRPr="00753935" w:rsidRDefault="0099517F" w:rsidP="00D71957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579515DA" w14:textId="77777777" w:rsidR="0099517F" w:rsidRPr="00753935" w:rsidRDefault="0099517F" w:rsidP="00753935">
      <w:pPr>
        <w:jc w:val="both"/>
        <w:rPr>
          <w:sz w:val="20"/>
          <w:szCs w:val="20"/>
        </w:rPr>
      </w:pPr>
    </w:p>
    <w:p w14:paraId="0D741F4B" w14:textId="77777777" w:rsidR="0099517F" w:rsidRPr="00753935" w:rsidRDefault="0099517F" w:rsidP="00753935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Odměna stanovená dle bodu 3</w:t>
      </w:r>
      <w:r w:rsidRPr="00753935">
        <w:rPr>
          <w:rFonts w:ascii="Calibri" w:hAnsi="Calibri" w:cs="Calibri"/>
          <w:sz w:val="22"/>
          <w:szCs w:val="22"/>
        </w:rPr>
        <w:t>. tohoto článku obsahuje všechny práce, činnosti a náklady nutné k  řádnému provedení příkazu, včetně nákladů na dopravu, kancelářský materiál, poštovné, náhradu za promeškaný čas apod. Tyto náklady si příkazník není oprávněn účtovat.</w:t>
      </w:r>
    </w:p>
    <w:p w14:paraId="3AE14495" w14:textId="77777777" w:rsidR="0099517F" w:rsidRPr="00753935" w:rsidRDefault="0099517F" w:rsidP="00241F6D">
      <w:pPr>
        <w:spacing w:after="0"/>
        <w:jc w:val="both"/>
        <w:rPr>
          <w:sz w:val="20"/>
          <w:szCs w:val="20"/>
        </w:rPr>
      </w:pPr>
    </w:p>
    <w:p w14:paraId="6F10D4C7" w14:textId="77777777" w:rsidR="0099517F" w:rsidRPr="00753935" w:rsidRDefault="0099517F" w:rsidP="00753935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753935">
        <w:rPr>
          <w:rFonts w:ascii="Calibri" w:hAnsi="Calibri" w:cs="Calibri"/>
          <w:sz w:val="22"/>
          <w:szCs w:val="22"/>
        </w:rPr>
        <w:t>Celková odměna za splnění všech příkazů zadaných příkazci na základě této rámcové smlouvy nepřesáhne 1.</w:t>
      </w:r>
      <w:r>
        <w:rPr>
          <w:rFonts w:ascii="Calibri" w:hAnsi="Calibri" w:cs="Calibri"/>
          <w:sz w:val="22"/>
          <w:szCs w:val="22"/>
        </w:rPr>
        <w:t>500</w:t>
      </w:r>
      <w:r w:rsidRPr="00753935">
        <w:rPr>
          <w:rFonts w:ascii="Calibri" w:hAnsi="Calibri" w:cs="Calibri"/>
          <w:sz w:val="22"/>
          <w:szCs w:val="22"/>
        </w:rPr>
        <w:t xml:space="preserve">.000 Kč bez DPH, tato částka je částkou maximální a nemusí být postupem dle této smlouvy zcela vyčerpána. </w:t>
      </w:r>
    </w:p>
    <w:p w14:paraId="73BFCF86" w14:textId="77777777" w:rsidR="0099517F" w:rsidRPr="00753935" w:rsidRDefault="0099517F" w:rsidP="00753935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208943FD" w14:textId="77777777" w:rsidR="0099517F" w:rsidRPr="00753935" w:rsidRDefault="0099517F" w:rsidP="00753935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753935">
        <w:rPr>
          <w:rFonts w:ascii="Calibri" w:hAnsi="Calibri" w:cs="Calibri"/>
          <w:sz w:val="22"/>
          <w:szCs w:val="22"/>
        </w:rPr>
        <w:t>Odměna za realizaci zadávacího řízení bude příkazníkovi zaplacena po řádném provedení a ukončení zadávacího řízení, včetně všech úkonů a činností k tomu potřebných a s tím spojených.</w:t>
      </w:r>
    </w:p>
    <w:p w14:paraId="4D020193" w14:textId="77777777" w:rsidR="0099517F" w:rsidRPr="00753935" w:rsidRDefault="0099517F" w:rsidP="00241F6D">
      <w:pPr>
        <w:spacing w:after="0"/>
        <w:jc w:val="both"/>
        <w:rPr>
          <w:sz w:val="20"/>
          <w:szCs w:val="20"/>
        </w:rPr>
      </w:pPr>
    </w:p>
    <w:p w14:paraId="610334E0" w14:textId="77777777" w:rsidR="0099517F" w:rsidRPr="00753935" w:rsidRDefault="0099517F" w:rsidP="00753935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753935">
        <w:rPr>
          <w:rFonts w:ascii="Calibri" w:hAnsi="Calibri" w:cs="Calibri"/>
          <w:sz w:val="22"/>
          <w:szCs w:val="22"/>
        </w:rPr>
        <w:t>Řádným ukončením zadávacího řízení se rozumí zadání veřejné zakázky, včetně uzavření smlouvy s dodavatelem, popřípadě zrušení zadávacího řízení příkazcem, neleží-li důvody zrušení zadávacího řízení na straně příkazníka, v takovém případě odměna příkazníkovi nenáleží.</w:t>
      </w:r>
    </w:p>
    <w:p w14:paraId="5310525C" w14:textId="77777777" w:rsidR="0099517F" w:rsidRPr="00753935" w:rsidRDefault="0099517F" w:rsidP="00241F6D">
      <w:pPr>
        <w:spacing w:after="0"/>
        <w:jc w:val="both"/>
        <w:rPr>
          <w:sz w:val="20"/>
          <w:szCs w:val="20"/>
        </w:rPr>
      </w:pPr>
    </w:p>
    <w:p w14:paraId="34347D39" w14:textId="77777777" w:rsidR="0099517F" w:rsidRPr="00753935" w:rsidRDefault="0099517F" w:rsidP="00753935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753935">
        <w:rPr>
          <w:rFonts w:ascii="Calibri" w:hAnsi="Calibri" w:cs="Calibri"/>
          <w:sz w:val="22"/>
          <w:szCs w:val="22"/>
        </w:rPr>
        <w:t xml:space="preserve">Nerozhodne-li příkazce o zahájení zadávacího řízení a vykonal-li příkazník již alespoň částečné plnění dle této smlouvy spočívající v kompletním vyhotovení zadávacích podmínek, náleží příkazníkovi odměna ve výši 40%.  </w:t>
      </w:r>
    </w:p>
    <w:p w14:paraId="5CB4B977" w14:textId="77777777" w:rsidR="0099517F" w:rsidRPr="00753935" w:rsidRDefault="0099517F" w:rsidP="00753935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C3BE831" w14:textId="77777777" w:rsidR="0099517F" w:rsidRPr="00753935" w:rsidRDefault="0099517F" w:rsidP="00753935">
      <w:pPr>
        <w:pStyle w:val="Odstavecseseznamem"/>
        <w:numPr>
          <w:ilvl w:val="0"/>
          <w:numId w:val="15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753935">
        <w:rPr>
          <w:rFonts w:ascii="Calibri" w:hAnsi="Calibri" w:cs="Calibri"/>
          <w:sz w:val="22"/>
          <w:szCs w:val="22"/>
        </w:rPr>
        <w:t xml:space="preserve">V případě že dojde ke zrušení zadávacího řízení a příkazce rozhodne o zahájení nového zadávacího řízení se shodným předmětem plnění, zavazuje se příkazník k realizaci tohoto opakovaného zadávacího řízení, a to za odměnu ve výši 50 % z příslušné části odměny dle odst. </w:t>
      </w:r>
      <w:r>
        <w:rPr>
          <w:rFonts w:ascii="Calibri" w:hAnsi="Calibri" w:cs="Calibri"/>
          <w:sz w:val="22"/>
          <w:szCs w:val="22"/>
        </w:rPr>
        <w:t>3</w:t>
      </w:r>
      <w:r w:rsidRPr="00753935">
        <w:rPr>
          <w:rFonts w:ascii="Calibri" w:hAnsi="Calibri" w:cs="Calibri"/>
          <w:sz w:val="22"/>
          <w:szCs w:val="22"/>
        </w:rPr>
        <w:t xml:space="preserve"> tohoto článku.  </w:t>
      </w:r>
    </w:p>
    <w:p w14:paraId="41477119" w14:textId="77777777" w:rsidR="0099517F" w:rsidRPr="00753935" w:rsidRDefault="0099517F" w:rsidP="00753935">
      <w:pPr>
        <w:pStyle w:val="Odstavecseseznamem"/>
        <w:numPr>
          <w:ilvl w:val="0"/>
          <w:numId w:val="15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753935">
        <w:rPr>
          <w:rFonts w:ascii="Calibri" w:hAnsi="Calibri" w:cs="Calibri"/>
          <w:sz w:val="22"/>
          <w:szCs w:val="22"/>
        </w:rPr>
        <w:t>Bude-li zadávací řízení ukončeno jiným způsobem než uzavřením smlouvy</w:t>
      </w:r>
      <w:r>
        <w:rPr>
          <w:rFonts w:ascii="Calibri" w:hAnsi="Calibri" w:cs="Calibri"/>
          <w:sz w:val="22"/>
          <w:szCs w:val="22"/>
        </w:rPr>
        <w:t xml:space="preserve"> s dodavatelem</w:t>
      </w:r>
      <w:r w:rsidRPr="00753935">
        <w:rPr>
          <w:rFonts w:ascii="Calibri" w:hAnsi="Calibri" w:cs="Calibri"/>
          <w:sz w:val="22"/>
          <w:szCs w:val="22"/>
        </w:rPr>
        <w:t>, má příkazník právo na odměnu ve výši 8</w:t>
      </w:r>
      <w:r>
        <w:rPr>
          <w:rFonts w:ascii="Calibri" w:hAnsi="Calibri" w:cs="Calibri"/>
          <w:sz w:val="22"/>
          <w:szCs w:val="22"/>
        </w:rPr>
        <w:t>5</w:t>
      </w:r>
      <w:r w:rsidRPr="00753935">
        <w:rPr>
          <w:rFonts w:ascii="Calibri" w:hAnsi="Calibri" w:cs="Calibri"/>
          <w:sz w:val="22"/>
          <w:szCs w:val="22"/>
        </w:rPr>
        <w:t xml:space="preserve"> % z příslušné části odměny dle odst. </w:t>
      </w:r>
      <w:r>
        <w:rPr>
          <w:rFonts w:ascii="Calibri" w:hAnsi="Calibri" w:cs="Calibri"/>
          <w:sz w:val="22"/>
          <w:szCs w:val="22"/>
        </w:rPr>
        <w:t>3</w:t>
      </w:r>
      <w:r w:rsidRPr="00753935">
        <w:rPr>
          <w:rFonts w:ascii="Calibri" w:hAnsi="Calibri" w:cs="Calibri"/>
          <w:sz w:val="22"/>
          <w:szCs w:val="22"/>
        </w:rPr>
        <w:t xml:space="preserve"> tohoto článku.</w:t>
      </w:r>
    </w:p>
    <w:p w14:paraId="6CCAA8FE" w14:textId="77777777" w:rsidR="0099517F" w:rsidRPr="00753935" w:rsidRDefault="0099517F" w:rsidP="00753935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753935">
        <w:rPr>
          <w:rFonts w:ascii="Calibri" w:hAnsi="Calibri" w:cs="Calibri"/>
          <w:sz w:val="22"/>
          <w:szCs w:val="22"/>
        </w:rPr>
        <w:t>Odměna za konzultační služby bude příkazníkem příkazci vyúčtována měsíčně, a to vždy k 15. dni měsíce následujícího po měsíci, v němž budou konzultační služby realizovány.</w:t>
      </w:r>
    </w:p>
    <w:p w14:paraId="35C1FB1B" w14:textId="77777777" w:rsidR="0099517F" w:rsidRPr="00753935" w:rsidRDefault="0099517F" w:rsidP="00753935">
      <w:pPr>
        <w:jc w:val="both"/>
        <w:rPr>
          <w:sz w:val="20"/>
          <w:szCs w:val="20"/>
        </w:rPr>
      </w:pPr>
    </w:p>
    <w:p w14:paraId="6DCB04C3" w14:textId="77777777" w:rsidR="0099517F" w:rsidRPr="00753935" w:rsidRDefault="0099517F" w:rsidP="00753935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753935">
        <w:rPr>
          <w:rFonts w:ascii="Calibri" w:hAnsi="Calibri" w:cs="Calibri"/>
          <w:sz w:val="22"/>
          <w:szCs w:val="22"/>
        </w:rPr>
        <w:t xml:space="preserve">V rámci </w:t>
      </w:r>
      <w:r>
        <w:rPr>
          <w:rFonts w:ascii="Calibri" w:hAnsi="Calibri" w:cs="Calibri"/>
          <w:sz w:val="22"/>
          <w:szCs w:val="22"/>
        </w:rPr>
        <w:t>veřejných zakázek administrovaných příkazníkem</w:t>
      </w:r>
      <w:r w:rsidRPr="00753935">
        <w:rPr>
          <w:rFonts w:ascii="Calibri" w:hAnsi="Calibri" w:cs="Calibri"/>
          <w:sz w:val="22"/>
          <w:szCs w:val="22"/>
        </w:rPr>
        <w:t xml:space="preserve"> není možné účtovat konzultační služby, neboť tyto jsou již zahrnuty v odměně za toto plnění.</w:t>
      </w:r>
    </w:p>
    <w:p w14:paraId="20829165" w14:textId="77777777" w:rsidR="0099517F" w:rsidRPr="00753935" w:rsidRDefault="0099517F" w:rsidP="00241F6D">
      <w:pPr>
        <w:spacing w:after="0"/>
        <w:jc w:val="both"/>
        <w:rPr>
          <w:sz w:val="20"/>
          <w:szCs w:val="20"/>
        </w:rPr>
      </w:pPr>
    </w:p>
    <w:p w14:paraId="4C10A08A" w14:textId="77777777" w:rsidR="0099517F" w:rsidRPr="00753935" w:rsidRDefault="0099517F" w:rsidP="00753935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753935">
        <w:rPr>
          <w:rFonts w:ascii="Calibri" w:hAnsi="Calibri" w:cs="Calibri"/>
          <w:sz w:val="22"/>
          <w:szCs w:val="22"/>
        </w:rPr>
        <w:t>K odměně bude připočtena DPH ve výši podle platných právních předpisů. Změní-li se sazba DPH v důsledku změny právních předpisů, není třeba z tohoto důvodu uzavírat mezi smluvními stranami dodatek k této smlouvě.</w:t>
      </w:r>
    </w:p>
    <w:p w14:paraId="34EBA799" w14:textId="77777777" w:rsidR="0099517F" w:rsidRPr="00753935" w:rsidRDefault="0099517F" w:rsidP="00241F6D">
      <w:pPr>
        <w:spacing w:after="0"/>
        <w:jc w:val="both"/>
        <w:rPr>
          <w:sz w:val="20"/>
          <w:szCs w:val="20"/>
        </w:rPr>
      </w:pPr>
    </w:p>
    <w:p w14:paraId="4F896DC6" w14:textId="77777777" w:rsidR="0099517F" w:rsidRPr="00753935" w:rsidRDefault="0099517F" w:rsidP="00753935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753935">
        <w:rPr>
          <w:rFonts w:ascii="Calibri" w:hAnsi="Calibri" w:cs="Calibri"/>
          <w:sz w:val="22"/>
          <w:szCs w:val="22"/>
        </w:rPr>
        <w:t>Odměna bude vyúčtována příkazníkem příkazci daňovým dokladem, fakturou zaslanou do sídla příkazce, přičemž splatnost faktury bude činit 30 dní od jejího doručení. Nebude-li faktura obsahovat zákonem stanovené náležitosti, nebo bude-li chybně vyúčtována cena, je příkazce oprávněn vadnou fakturu vrátit příkazníkovi bez zaplacení k provedení opravy. Příkazce příkazníkovi sdělí důvod vrácení faktury. Vrátí-li příkazce vadnou fakturu příkazníkovi, přestává běžet původní lhůta splatnosti. Nová lhůta splatnosti běží opět ode dne doručení nově vyhotovené (</w:t>
      </w:r>
      <w:r>
        <w:rPr>
          <w:rFonts w:ascii="Calibri" w:hAnsi="Calibri" w:cs="Calibri"/>
          <w:sz w:val="22"/>
          <w:szCs w:val="22"/>
        </w:rPr>
        <w:t>příkazníkem</w:t>
      </w:r>
      <w:r w:rsidRPr="00753935">
        <w:rPr>
          <w:rFonts w:ascii="Calibri" w:hAnsi="Calibri" w:cs="Calibri"/>
          <w:sz w:val="22"/>
          <w:szCs w:val="22"/>
        </w:rPr>
        <w:t xml:space="preserve"> opravené) faktury.</w:t>
      </w:r>
    </w:p>
    <w:p w14:paraId="664532EC" w14:textId="77777777" w:rsidR="0099517F" w:rsidRPr="00753935" w:rsidRDefault="0099517F" w:rsidP="00241F6D">
      <w:pPr>
        <w:spacing w:after="0"/>
        <w:jc w:val="both"/>
        <w:rPr>
          <w:sz w:val="20"/>
          <w:szCs w:val="20"/>
        </w:rPr>
      </w:pPr>
    </w:p>
    <w:p w14:paraId="07BF7A74" w14:textId="77777777" w:rsidR="0099517F" w:rsidRPr="00753935" w:rsidRDefault="0099517F" w:rsidP="00753935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753935">
        <w:rPr>
          <w:rFonts w:ascii="Calibri" w:hAnsi="Calibri" w:cs="Calibri"/>
          <w:sz w:val="22"/>
          <w:szCs w:val="22"/>
        </w:rPr>
        <w:t>Zálohy nebudou příkazcem poskytovány.</w:t>
      </w:r>
    </w:p>
    <w:p w14:paraId="57C96B23" w14:textId="77777777" w:rsidR="0099517F" w:rsidRDefault="0099517F" w:rsidP="005E07BE">
      <w:pPr>
        <w:spacing w:after="0"/>
        <w:jc w:val="center"/>
        <w:rPr>
          <w:b/>
          <w:bCs/>
        </w:rPr>
      </w:pPr>
    </w:p>
    <w:p w14:paraId="652003FD" w14:textId="77777777" w:rsidR="0099517F" w:rsidRPr="005E07BE" w:rsidRDefault="0099517F" w:rsidP="005E07BE">
      <w:pPr>
        <w:spacing w:after="0"/>
        <w:jc w:val="center"/>
        <w:rPr>
          <w:b/>
          <w:bCs/>
        </w:rPr>
      </w:pPr>
      <w:r>
        <w:rPr>
          <w:b/>
          <w:bCs/>
        </w:rPr>
        <w:t>V</w:t>
      </w:r>
      <w:r w:rsidRPr="005E07BE">
        <w:rPr>
          <w:b/>
          <w:bCs/>
        </w:rPr>
        <w:t>.</w:t>
      </w:r>
    </w:p>
    <w:p w14:paraId="1845FECB" w14:textId="77777777" w:rsidR="0099517F" w:rsidRPr="005E07BE" w:rsidRDefault="0099517F" w:rsidP="005E07BE">
      <w:pPr>
        <w:spacing w:after="0"/>
        <w:jc w:val="center"/>
        <w:rPr>
          <w:b/>
          <w:bCs/>
        </w:rPr>
      </w:pPr>
      <w:r w:rsidRPr="005E07BE">
        <w:rPr>
          <w:b/>
          <w:bCs/>
        </w:rPr>
        <w:t>Povinnosti příkazníka</w:t>
      </w:r>
    </w:p>
    <w:p w14:paraId="504C6B37" w14:textId="77777777" w:rsidR="0099517F" w:rsidRPr="005E07BE" w:rsidRDefault="0099517F" w:rsidP="005E07BE">
      <w:pPr>
        <w:spacing w:after="0"/>
      </w:pPr>
    </w:p>
    <w:p w14:paraId="1EBA0309" w14:textId="77777777" w:rsidR="0099517F" w:rsidRPr="005E07BE" w:rsidRDefault="0099517F" w:rsidP="005E07BE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E07BE">
        <w:rPr>
          <w:rFonts w:ascii="Calibri" w:hAnsi="Calibri" w:cs="Calibri"/>
          <w:sz w:val="22"/>
          <w:szCs w:val="22"/>
        </w:rPr>
        <w:t xml:space="preserve">Příkazník je při provádění příkazu dle této smlouvy </w:t>
      </w:r>
      <w:r>
        <w:rPr>
          <w:rFonts w:ascii="Calibri" w:hAnsi="Calibri" w:cs="Calibri"/>
          <w:sz w:val="22"/>
          <w:szCs w:val="22"/>
        </w:rPr>
        <w:t xml:space="preserve">povinen </w:t>
      </w:r>
      <w:r w:rsidRPr="005E07BE">
        <w:rPr>
          <w:rFonts w:ascii="Calibri" w:hAnsi="Calibri" w:cs="Calibri"/>
          <w:sz w:val="22"/>
          <w:szCs w:val="22"/>
        </w:rPr>
        <w:t>postupovat s odbornou péčí, poctivě a pečlivě v souladu se zájmy příkazce. Příkazník tímto prohlašuje, že je schopen odborného výkonu v rámci předmětu plnění dle této smlouvy.</w:t>
      </w:r>
    </w:p>
    <w:p w14:paraId="611332E1" w14:textId="77777777" w:rsidR="0099517F" w:rsidRPr="005E07BE" w:rsidRDefault="0099517F" w:rsidP="005E07BE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3893CDEF" w14:textId="77777777" w:rsidR="0099517F" w:rsidRPr="005E07BE" w:rsidRDefault="0099517F" w:rsidP="005E07BE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E07BE">
        <w:rPr>
          <w:rFonts w:ascii="Calibri" w:hAnsi="Calibri" w:cs="Calibri"/>
          <w:sz w:val="22"/>
          <w:szCs w:val="22"/>
        </w:rPr>
        <w:t xml:space="preserve">Příkazník je povinen postupovat podle pokynů příkazce, příkazník je povinen bez zbytečného odkladu oznámit příkazci všechny okolnosti, které zjistil při plnění příkazu, a které mohou mít vliv na změnu pokynů nebo zájmů příkazce. Pokyny příkazce jsou pro příkazníka závazné. Od příkazcových pokynů se příkazník může odchýlit, jen pokud je to nezbytné v zájmu příkazce a pokud příkazník nemůže včas obdržet jeho souhlas. </w:t>
      </w:r>
    </w:p>
    <w:p w14:paraId="19502EC1" w14:textId="77777777" w:rsidR="0099517F" w:rsidRPr="005E07BE" w:rsidRDefault="0099517F" w:rsidP="005E07BE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341E6F4A" w14:textId="77777777" w:rsidR="0099517F" w:rsidRPr="005E07BE" w:rsidRDefault="0099517F" w:rsidP="005E07BE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E07BE">
        <w:rPr>
          <w:rFonts w:ascii="Calibri" w:hAnsi="Calibri" w:cs="Calibri"/>
          <w:sz w:val="22"/>
          <w:szCs w:val="22"/>
        </w:rPr>
        <w:t xml:space="preserve">V případě, že pokyn příkazce je v rozporu se zákonem či jinými závaznými právními předpisy, je příkazník povinen na tuto skutečnost příkazce bez zbytečného odkladu upozornit. Jestliže by i přes takové upozornění příkazce nadále trval na splnění daného pokynu, má příkazník právo od smlouvy odstoupit. </w:t>
      </w:r>
    </w:p>
    <w:p w14:paraId="0EA0472C" w14:textId="77777777" w:rsidR="0099517F" w:rsidRPr="005E07BE" w:rsidRDefault="0099517F" w:rsidP="00241F6D">
      <w:pPr>
        <w:spacing w:after="0"/>
        <w:jc w:val="both"/>
      </w:pPr>
    </w:p>
    <w:p w14:paraId="35D71BEE" w14:textId="77777777" w:rsidR="0099517F" w:rsidRPr="005E07BE" w:rsidRDefault="0099517F" w:rsidP="005E07BE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E07BE">
        <w:rPr>
          <w:rFonts w:ascii="Calibri" w:hAnsi="Calibri" w:cs="Calibri"/>
          <w:sz w:val="22"/>
          <w:szCs w:val="22"/>
        </w:rPr>
        <w:t xml:space="preserve">Příkazník je povinen provést příkaz podle této smlouvy osobně, prostřednictvím vlastních prostředků a zaměstnanců. Svěří-li příkazník i přesto provedení příkazu podle této smlouvy jinému, odpovídá, jako by příkaz prováděl sám.  </w:t>
      </w:r>
    </w:p>
    <w:p w14:paraId="1857551A" w14:textId="77777777" w:rsidR="0099517F" w:rsidRPr="005E07BE" w:rsidRDefault="0099517F" w:rsidP="00241F6D">
      <w:pPr>
        <w:spacing w:after="0"/>
        <w:jc w:val="both"/>
      </w:pPr>
    </w:p>
    <w:p w14:paraId="69687F8A" w14:textId="77777777" w:rsidR="0099517F" w:rsidRPr="005E07BE" w:rsidRDefault="0099517F" w:rsidP="005E07BE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E07BE">
        <w:rPr>
          <w:rFonts w:ascii="Calibri" w:hAnsi="Calibri" w:cs="Calibri"/>
          <w:sz w:val="22"/>
          <w:szCs w:val="22"/>
        </w:rPr>
        <w:t>Příkazník je povinen vždy na požádání příkazce podat mu zprávy o svém postupu při plnění příkazu.</w:t>
      </w:r>
    </w:p>
    <w:p w14:paraId="68F1BAB4" w14:textId="77777777" w:rsidR="0099517F" w:rsidRPr="005E07BE" w:rsidRDefault="0099517F" w:rsidP="00241F6D">
      <w:pPr>
        <w:spacing w:after="0"/>
        <w:jc w:val="both"/>
      </w:pPr>
    </w:p>
    <w:p w14:paraId="1C9488F9" w14:textId="77777777" w:rsidR="0099517F" w:rsidRPr="005E07BE" w:rsidRDefault="0099517F" w:rsidP="005E07BE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E07BE">
        <w:rPr>
          <w:rFonts w:ascii="Calibri" w:hAnsi="Calibri" w:cs="Calibri"/>
          <w:sz w:val="22"/>
          <w:szCs w:val="22"/>
        </w:rPr>
        <w:t xml:space="preserve">Příkazník se zavazuje, že při plnění příkazu nedojde jeho činností k porušení autorských práv či jiných práv k duševnímu či průmyslovému vlastnictví třetích osob. </w:t>
      </w:r>
    </w:p>
    <w:p w14:paraId="09577C6C" w14:textId="77777777" w:rsidR="0099517F" w:rsidRPr="005E07BE" w:rsidRDefault="0099517F" w:rsidP="00241F6D">
      <w:pPr>
        <w:spacing w:after="0"/>
        <w:jc w:val="both"/>
      </w:pPr>
    </w:p>
    <w:p w14:paraId="7C4CE50A" w14:textId="77777777" w:rsidR="0099517F" w:rsidRPr="005E07BE" w:rsidRDefault="0099517F" w:rsidP="005E07BE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E07BE">
        <w:rPr>
          <w:rFonts w:ascii="Calibri" w:hAnsi="Calibri" w:cs="Calibri"/>
          <w:sz w:val="22"/>
          <w:szCs w:val="22"/>
        </w:rPr>
        <w:t xml:space="preserve">Veškeré podklady a dokumenty tvořící zadávací podmínky nebo zachycující průběh zadávacího řízení je příkazník povinen zabezpečit proti neoprávněnému zpřístupnění třetím osobám. Příkazník je povinen přijmout taková opatření, aby nemohlo dojít k neoprávněnému nebo nahodilému přístupu třetích subjektů k zadávacím podmínkám případně dokumentům </w:t>
      </w:r>
      <w:r w:rsidRPr="005E07BE">
        <w:rPr>
          <w:rFonts w:ascii="Calibri" w:hAnsi="Calibri" w:cs="Calibri"/>
          <w:sz w:val="22"/>
          <w:szCs w:val="22"/>
        </w:rPr>
        <w:lastRenderedPageBreak/>
        <w:t>zachycujícím průběh veřejné zakázky, k jejich změně, zničení či ztrátě, neoprávněným přenosům nebo k jejich jinému neoprávněnému zpracování. Neučiní-li tak příkazník, je příkazce oprávněn od této smlouvy odstoupit.</w:t>
      </w:r>
    </w:p>
    <w:p w14:paraId="2CFBBE79" w14:textId="77777777" w:rsidR="0099517F" w:rsidRPr="005E07BE" w:rsidRDefault="0099517F" w:rsidP="00241F6D">
      <w:pPr>
        <w:spacing w:after="0"/>
        <w:jc w:val="both"/>
      </w:pPr>
    </w:p>
    <w:p w14:paraId="50C6FBF3" w14:textId="77777777" w:rsidR="0099517F" w:rsidRPr="005E07BE" w:rsidRDefault="0099517F" w:rsidP="005E07BE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E07BE">
        <w:rPr>
          <w:rFonts w:ascii="Calibri" w:hAnsi="Calibri" w:cs="Calibri"/>
          <w:sz w:val="22"/>
          <w:szCs w:val="22"/>
        </w:rPr>
        <w:t>Za škodu způsobenou ztrátou, zničením, zpřístupněním nebo jiným neoprávněným užitím zadávacích podmínek případně jiných dokumentů vztahujících se k zadávacímu řízení odpovídá příkazník.</w:t>
      </w:r>
    </w:p>
    <w:p w14:paraId="7CBC8ADE" w14:textId="77777777" w:rsidR="0099517F" w:rsidRPr="005E07BE" w:rsidRDefault="0099517F" w:rsidP="005E07BE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68284E92" w14:textId="77777777" w:rsidR="0099517F" w:rsidRPr="005E07BE" w:rsidRDefault="0099517F" w:rsidP="005E07BE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E07BE">
        <w:rPr>
          <w:rFonts w:ascii="Calibri" w:hAnsi="Calibri" w:cs="Calibri"/>
          <w:sz w:val="22"/>
          <w:szCs w:val="22"/>
        </w:rPr>
        <w:t>Příkazník je povinen zachovávat mlčenlivost o všech záležitostech, o nichž se dozvěděl v souvislosti s plněním příkazu dle této smlouvy. Příkazník použije všechny dokumenty a informace, které od příkazce obdrží, výhradně k plnění příkazu. Po ukončení plnění je příkazník povinen vrátit příkazci veškeré materiály, které od příkazce v souvislosti s plněním převzal.</w:t>
      </w:r>
    </w:p>
    <w:p w14:paraId="6D5B34D7" w14:textId="77777777" w:rsidR="0099517F" w:rsidRPr="005E07BE" w:rsidRDefault="0099517F" w:rsidP="00241F6D">
      <w:pPr>
        <w:spacing w:after="0"/>
        <w:jc w:val="both"/>
      </w:pPr>
    </w:p>
    <w:p w14:paraId="5F071B55" w14:textId="77777777" w:rsidR="0099517F" w:rsidRPr="005E07BE" w:rsidRDefault="0099517F" w:rsidP="005E07BE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E07BE">
        <w:rPr>
          <w:rFonts w:ascii="Calibri" w:hAnsi="Calibri" w:cs="Calibri"/>
          <w:sz w:val="22"/>
          <w:szCs w:val="22"/>
        </w:rPr>
        <w:t xml:space="preserve">Příkazník je povinen po celou dobu trvání této smlouvy mít uzavřenu pojistnou smlouvu, jejímž předmětem je pojištění odpovědnosti za škodu způsobenou třetí osobě s pojistným plněním alespoň </w:t>
      </w:r>
      <w:r>
        <w:rPr>
          <w:rFonts w:ascii="Calibri" w:hAnsi="Calibri" w:cs="Calibri"/>
          <w:sz w:val="22"/>
          <w:szCs w:val="22"/>
        </w:rPr>
        <w:t>3</w:t>
      </w:r>
      <w:r w:rsidRPr="005E07BE">
        <w:rPr>
          <w:rFonts w:ascii="Calibri" w:hAnsi="Calibri" w:cs="Calibri"/>
          <w:sz w:val="22"/>
          <w:szCs w:val="22"/>
        </w:rPr>
        <w:t>0 milionů Kč</w:t>
      </w:r>
      <w:r>
        <w:rPr>
          <w:rFonts w:ascii="Calibri" w:hAnsi="Calibri" w:cs="Calibri"/>
          <w:sz w:val="22"/>
          <w:szCs w:val="22"/>
        </w:rPr>
        <w:t xml:space="preserve"> a maximální spoluúčastí 5%</w:t>
      </w:r>
      <w:r w:rsidRPr="005E07BE">
        <w:rPr>
          <w:rFonts w:ascii="Calibri" w:hAnsi="Calibri" w:cs="Calibri"/>
          <w:sz w:val="22"/>
          <w:szCs w:val="22"/>
        </w:rPr>
        <w:t>. Příkazník je povinen předložit kopii této smlouvy příkazci, a to na jeho žádost. Neučiní-li tak příkazník, je příkazce oprávněn od této smlouvy odstoupit.</w:t>
      </w:r>
    </w:p>
    <w:p w14:paraId="2EB07634" w14:textId="77777777" w:rsidR="0099517F" w:rsidRPr="005E07BE" w:rsidRDefault="0099517F" w:rsidP="00241F6D">
      <w:pPr>
        <w:spacing w:after="0"/>
        <w:jc w:val="both"/>
      </w:pPr>
    </w:p>
    <w:p w14:paraId="42B37910" w14:textId="77777777" w:rsidR="0099517F" w:rsidRPr="005E07BE" w:rsidRDefault="0099517F" w:rsidP="005E07BE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E07BE">
        <w:rPr>
          <w:rFonts w:ascii="Calibri" w:hAnsi="Calibri" w:cs="Calibri"/>
          <w:sz w:val="22"/>
          <w:szCs w:val="22"/>
        </w:rPr>
        <w:t>Příkazník je povinen veškerá jednání komisí organizovat a konat v místě sídla příkazce. V případě nutnosti osobní konzultace se příkazník dostaví do sídla příkazce.</w:t>
      </w:r>
    </w:p>
    <w:p w14:paraId="7A384249" w14:textId="77777777" w:rsidR="0099517F" w:rsidRDefault="0099517F" w:rsidP="00241F6D">
      <w:pPr>
        <w:spacing w:after="0"/>
        <w:jc w:val="both"/>
      </w:pPr>
    </w:p>
    <w:p w14:paraId="5B53E4CD" w14:textId="77777777" w:rsidR="0099517F" w:rsidRPr="00935912" w:rsidRDefault="0099517F" w:rsidP="00935912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935912">
        <w:rPr>
          <w:rFonts w:ascii="Calibri" w:hAnsi="Calibri" w:cs="Calibri"/>
          <w:sz w:val="22"/>
          <w:szCs w:val="22"/>
        </w:rPr>
        <w:t>Příkazník v rámci předmětu plnění smlouvy bude k zajišťování celého průběhu zadávacího řízení využívat elektronický nástroj pro správu a administrování veřejných zakázek E-ZAK, kterým příkazce disponuje. Veřejná zakázka bude administrována vždy pod evidenčním číslem, které bude příkazníkovi příkazcem sděleno. Příkazník bere na vědomí, že E-ZAK slouží jako profil zadavatele a zavazuje se uveřejňovat na profilu zadavatele všechny příslušné dokumenty v souladu se zákonem. Dále se příkazník zavazuje do části E-ZAKu, která neslouží jako profil zadavatele a je neveřejná, vkládat v elektronické obrazové podobě všechny dokumenty vztahující se k veřejné zakázce, jež jsou nebo mají být vedeny ve spisu veřejné zakázky (např. protokoly z jednání komisí apod.). Za účelem plnění povinností dle tohoto článku, bude příkazníkovi příkazcem zřízen přístup do systému E-ZAK, a to vždy ke konkrétní veřejné zakázce.</w:t>
      </w:r>
    </w:p>
    <w:p w14:paraId="3C7D7719" w14:textId="77777777" w:rsidR="0099517F" w:rsidRPr="005E07BE" w:rsidRDefault="0099517F" w:rsidP="00241F6D">
      <w:pPr>
        <w:spacing w:after="0"/>
        <w:jc w:val="both"/>
      </w:pPr>
    </w:p>
    <w:p w14:paraId="344EBFC4" w14:textId="77777777" w:rsidR="0099517F" w:rsidRPr="005E07BE" w:rsidRDefault="0099517F" w:rsidP="00935912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E07BE">
        <w:rPr>
          <w:rFonts w:ascii="Calibri" w:hAnsi="Calibri" w:cs="Calibri"/>
          <w:sz w:val="22"/>
          <w:szCs w:val="22"/>
        </w:rPr>
        <w:t>Příkazník je povinen příkazci předat veškerou dokumentaci vztahující se k zadávacím řízením, v případě, že tato nebude v originální  elektronické podobě v systému E-ZAK.</w:t>
      </w:r>
    </w:p>
    <w:p w14:paraId="4C1F9932" w14:textId="77777777" w:rsidR="0099517F" w:rsidRPr="005E07BE" w:rsidRDefault="0099517F" w:rsidP="005E07BE"/>
    <w:p w14:paraId="7344E894" w14:textId="77777777" w:rsidR="0099517F" w:rsidRPr="005E07BE" w:rsidRDefault="0099517F" w:rsidP="005E07BE">
      <w:pPr>
        <w:spacing w:after="0"/>
        <w:jc w:val="center"/>
        <w:rPr>
          <w:b/>
          <w:bCs/>
        </w:rPr>
      </w:pPr>
      <w:r w:rsidRPr="005E07BE">
        <w:rPr>
          <w:b/>
          <w:bCs/>
        </w:rPr>
        <w:t>VI.</w:t>
      </w:r>
    </w:p>
    <w:p w14:paraId="359B78AB" w14:textId="77777777" w:rsidR="0099517F" w:rsidRDefault="0099517F" w:rsidP="005E07BE">
      <w:pPr>
        <w:spacing w:after="0"/>
        <w:jc w:val="center"/>
        <w:rPr>
          <w:b/>
          <w:bCs/>
        </w:rPr>
      </w:pPr>
      <w:r w:rsidRPr="005E07BE">
        <w:rPr>
          <w:b/>
          <w:bCs/>
        </w:rPr>
        <w:t>Povinnosti příkazce</w:t>
      </w:r>
    </w:p>
    <w:p w14:paraId="2870F830" w14:textId="77777777" w:rsidR="0099517F" w:rsidRPr="005E07BE" w:rsidRDefault="0099517F" w:rsidP="005E07BE">
      <w:pPr>
        <w:spacing w:after="0"/>
        <w:jc w:val="center"/>
        <w:rPr>
          <w:b/>
          <w:bCs/>
        </w:rPr>
      </w:pPr>
    </w:p>
    <w:p w14:paraId="10EE0888" w14:textId="77777777" w:rsidR="0099517F" w:rsidRDefault="0099517F" w:rsidP="005E07BE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5E07BE">
        <w:rPr>
          <w:rFonts w:ascii="Calibri" w:hAnsi="Calibri" w:cs="Calibri"/>
          <w:sz w:val="22"/>
          <w:szCs w:val="22"/>
        </w:rPr>
        <w:t>Příkazce je povinen předat příkazníkovi informace a podklady potřebné k  plnění příkazu, které má u sebe, nebo které vznikly z jeho činnosti.</w:t>
      </w:r>
    </w:p>
    <w:p w14:paraId="16C9FAA3" w14:textId="77777777" w:rsidR="0099517F" w:rsidRPr="005E07BE" w:rsidRDefault="0099517F" w:rsidP="005E07BE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5DA0FFA7" w14:textId="77777777" w:rsidR="0099517F" w:rsidRDefault="0099517F" w:rsidP="005E07BE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5E07BE">
        <w:rPr>
          <w:rFonts w:ascii="Calibri" w:hAnsi="Calibri" w:cs="Calibri"/>
          <w:sz w:val="22"/>
          <w:szCs w:val="22"/>
        </w:rPr>
        <w:t>Příkazce předá příkazníkovi technické podklady nezbytné pro vypracování zadávací dokumentace. Pokud v p</w:t>
      </w:r>
      <w:r>
        <w:rPr>
          <w:rFonts w:ascii="Calibri" w:hAnsi="Calibri" w:cs="Calibri"/>
          <w:sz w:val="22"/>
          <w:szCs w:val="22"/>
        </w:rPr>
        <w:t>růběhu zadávacího řízení budou účastníci zadávacího řízení</w:t>
      </w:r>
      <w:r w:rsidRPr="005E07BE">
        <w:rPr>
          <w:rFonts w:ascii="Calibri" w:hAnsi="Calibri" w:cs="Calibri"/>
          <w:sz w:val="22"/>
          <w:szCs w:val="22"/>
        </w:rPr>
        <w:t xml:space="preserve"> vyžadovat doplnění nebo upřesnění týkající se technických podmínek zadávací dokumentace, je příkazce povinen zajistit součinnost zaměstnance příkazce tak, aby odpovědi na dotazy byly předány příkazníkovi nejpozději 2 pracovní dny ode dne doručení žádosti o dodatečné informace. Příkazník je pak povinen zajistit předání upřesňujících</w:t>
      </w:r>
      <w:r>
        <w:rPr>
          <w:rFonts w:ascii="Calibri" w:hAnsi="Calibri" w:cs="Calibri"/>
          <w:sz w:val="22"/>
          <w:szCs w:val="22"/>
        </w:rPr>
        <w:t xml:space="preserve"> či doplňujících podkladů všem účastníkům zadávacího řízení</w:t>
      </w:r>
      <w:r w:rsidRPr="005E07BE">
        <w:rPr>
          <w:rFonts w:ascii="Calibri" w:hAnsi="Calibri" w:cs="Calibri"/>
          <w:sz w:val="22"/>
          <w:szCs w:val="22"/>
        </w:rPr>
        <w:t xml:space="preserve"> a zájemcům o veřejnou zakázku. </w:t>
      </w:r>
    </w:p>
    <w:p w14:paraId="047C8B9A" w14:textId="77777777" w:rsidR="0099517F" w:rsidRPr="005E07BE" w:rsidRDefault="0099517F" w:rsidP="005E07BE">
      <w:pPr>
        <w:pStyle w:val="Odstavecseseznamem"/>
        <w:rPr>
          <w:rFonts w:ascii="Calibri" w:hAnsi="Calibri" w:cs="Calibri"/>
          <w:sz w:val="22"/>
          <w:szCs w:val="22"/>
        </w:rPr>
      </w:pPr>
    </w:p>
    <w:p w14:paraId="390455EF" w14:textId="77777777" w:rsidR="0099517F" w:rsidRDefault="0099517F" w:rsidP="005E07BE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5E07BE">
        <w:rPr>
          <w:rFonts w:ascii="Calibri" w:hAnsi="Calibri" w:cs="Calibri"/>
          <w:sz w:val="22"/>
          <w:szCs w:val="22"/>
        </w:rPr>
        <w:t>Pokud z podmínek zadávacího či výběrového řízení vyplyne potřeba prohlídky místa budoucího plnění je příkazce povinen organizačně zajistit prohlídku místa budoucího plnění v termínu stanoveném zadávací dokumentací. Prohlídek místa budoucího plnění je příkazník povinen se účastnit pokud toto bude příkazce vyžadovat. Účast na prohlídce místa budoucího plnění, jakož i náklady s účastí spojené jsou zahrnuty v odměně příkazníka.</w:t>
      </w:r>
    </w:p>
    <w:p w14:paraId="76617422" w14:textId="77777777" w:rsidR="0099517F" w:rsidRPr="005E07BE" w:rsidRDefault="0099517F" w:rsidP="005E07BE">
      <w:pPr>
        <w:pStyle w:val="Odstavecseseznamem"/>
        <w:rPr>
          <w:rFonts w:ascii="Calibri" w:hAnsi="Calibri" w:cs="Calibri"/>
          <w:sz w:val="22"/>
          <w:szCs w:val="22"/>
        </w:rPr>
      </w:pPr>
    </w:p>
    <w:p w14:paraId="13B1330A" w14:textId="77777777" w:rsidR="0099517F" w:rsidRPr="005E07BE" w:rsidRDefault="0099517F" w:rsidP="005E07BE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5E07BE">
        <w:rPr>
          <w:rFonts w:ascii="Calibri" w:hAnsi="Calibri" w:cs="Calibri"/>
          <w:sz w:val="22"/>
          <w:szCs w:val="22"/>
        </w:rPr>
        <w:t xml:space="preserve">Obdrží-li příkazce jakýkoliv dokument vztahující se k zadání veřejné zakázky, je povinen jej nebo jeho kopii bezodkladně poskytnout příkazníkovi. </w:t>
      </w:r>
    </w:p>
    <w:p w14:paraId="0FFFD5AF" w14:textId="77777777" w:rsidR="0099517F" w:rsidRDefault="0099517F" w:rsidP="00C808C1"/>
    <w:p w14:paraId="64B56640" w14:textId="77777777" w:rsidR="0099517F" w:rsidRPr="00C808C1" w:rsidRDefault="0099517F" w:rsidP="00C808C1">
      <w:pPr>
        <w:spacing w:after="0"/>
        <w:jc w:val="center"/>
        <w:rPr>
          <w:b/>
          <w:bCs/>
        </w:rPr>
      </w:pPr>
      <w:r w:rsidRPr="00C808C1">
        <w:rPr>
          <w:b/>
          <w:bCs/>
        </w:rPr>
        <w:t>VII.</w:t>
      </w:r>
    </w:p>
    <w:p w14:paraId="1E2090A0" w14:textId="77777777" w:rsidR="0099517F" w:rsidRPr="00C808C1" w:rsidRDefault="0099517F" w:rsidP="00C808C1">
      <w:pPr>
        <w:spacing w:after="0"/>
        <w:jc w:val="center"/>
        <w:rPr>
          <w:b/>
          <w:bCs/>
        </w:rPr>
      </w:pPr>
      <w:r w:rsidRPr="00C808C1">
        <w:rPr>
          <w:b/>
          <w:bCs/>
        </w:rPr>
        <w:t>Odpovědnost za vady a sankce</w:t>
      </w:r>
    </w:p>
    <w:p w14:paraId="625908C3" w14:textId="77777777" w:rsidR="0099517F" w:rsidRPr="00C808C1" w:rsidRDefault="0099517F" w:rsidP="00C808C1">
      <w:pPr>
        <w:spacing w:after="0"/>
        <w:jc w:val="center"/>
        <w:rPr>
          <w:b/>
          <w:bCs/>
        </w:rPr>
      </w:pPr>
    </w:p>
    <w:p w14:paraId="0CB21B5A" w14:textId="77777777" w:rsidR="0099517F" w:rsidRPr="00C808C1" w:rsidRDefault="0099517F" w:rsidP="00021181">
      <w:pPr>
        <w:pStyle w:val="Odstavecseseznamem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C808C1">
        <w:rPr>
          <w:rFonts w:ascii="Calibri" w:hAnsi="Calibri" w:cs="Calibri"/>
          <w:sz w:val="22"/>
          <w:szCs w:val="22"/>
        </w:rPr>
        <w:t>Příkazník odpovídá za způsobenou škodu vzniklou při plnění příkazu příkazci, nebyla-li škoda způsobena jednáním příkazce.</w:t>
      </w:r>
    </w:p>
    <w:p w14:paraId="27CFFE80" w14:textId="77777777" w:rsidR="0099517F" w:rsidRPr="00C808C1" w:rsidRDefault="0099517F" w:rsidP="00021181">
      <w:pPr>
        <w:jc w:val="both"/>
      </w:pPr>
    </w:p>
    <w:p w14:paraId="71632DD1" w14:textId="77777777" w:rsidR="0099517F" w:rsidRPr="00C808C1" w:rsidRDefault="0099517F" w:rsidP="00021181">
      <w:pPr>
        <w:pStyle w:val="Odstavecseseznamem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C808C1">
        <w:rPr>
          <w:rFonts w:ascii="Calibri" w:hAnsi="Calibri" w:cs="Calibri"/>
          <w:sz w:val="22"/>
          <w:szCs w:val="22"/>
        </w:rPr>
        <w:t>Příkazník odpovídá za bezvadnost plnění příkazu, případné vady plnění je povinen bezplatně odstranit bez zbytečného odkladu.</w:t>
      </w:r>
    </w:p>
    <w:p w14:paraId="04E1A969" w14:textId="77777777" w:rsidR="0099517F" w:rsidRPr="00C808C1" w:rsidRDefault="0099517F" w:rsidP="00021181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602CC5A2" w14:textId="77777777" w:rsidR="0099517F" w:rsidRPr="00C808C1" w:rsidRDefault="0099517F" w:rsidP="00021181">
      <w:pPr>
        <w:pStyle w:val="Odstavecseseznamem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C808C1">
        <w:rPr>
          <w:rFonts w:ascii="Calibri" w:hAnsi="Calibri" w:cs="Calibri"/>
          <w:sz w:val="22"/>
          <w:szCs w:val="22"/>
        </w:rPr>
        <w:t>V případě udělení majetkové sankce Úřadem pro ochranu hospodářské soutěže nebo jiným orgánem, zejména poskytovatelem dotace, pokud byla uložena v souvislosti s činností příkazníka,</w:t>
      </w:r>
      <w:r>
        <w:rPr>
          <w:rFonts w:ascii="Calibri" w:hAnsi="Calibri" w:cs="Calibri"/>
          <w:sz w:val="22"/>
          <w:szCs w:val="22"/>
        </w:rPr>
        <w:t xml:space="preserve"> považuje se tato sankce za škodu a</w:t>
      </w:r>
      <w:r w:rsidRPr="00C808C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jde </w:t>
      </w:r>
      <w:r w:rsidRPr="00C808C1">
        <w:rPr>
          <w:rFonts w:ascii="Calibri" w:hAnsi="Calibri" w:cs="Calibri"/>
          <w:sz w:val="22"/>
          <w:szCs w:val="22"/>
        </w:rPr>
        <w:t>v plné výši k tíži příkazníka. Za sankci se považuje i krácení či korekce dotace v důsledku pochybení příkazníka.</w:t>
      </w:r>
    </w:p>
    <w:p w14:paraId="30A6C34D" w14:textId="77777777" w:rsidR="0099517F" w:rsidRPr="00C808C1" w:rsidRDefault="0099517F" w:rsidP="00021181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089F2696" w14:textId="77777777" w:rsidR="0099517F" w:rsidRPr="00C808C1" w:rsidRDefault="0099517F" w:rsidP="00021181">
      <w:pPr>
        <w:pStyle w:val="Odstavecseseznamem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C808C1">
        <w:rPr>
          <w:rFonts w:ascii="Calibri" w:hAnsi="Calibri" w:cs="Calibri"/>
          <w:sz w:val="22"/>
          <w:szCs w:val="22"/>
        </w:rPr>
        <w:t>Jestliže příkazník nedodrží termíny</w:t>
      </w:r>
      <w:r>
        <w:rPr>
          <w:rFonts w:ascii="Calibri" w:hAnsi="Calibri" w:cs="Calibri"/>
          <w:sz w:val="22"/>
          <w:szCs w:val="22"/>
        </w:rPr>
        <w:t xml:space="preserve"> stanovené příkazcem dle  čl. III</w:t>
      </w:r>
      <w:r w:rsidRPr="00C808C1">
        <w:rPr>
          <w:rFonts w:ascii="Calibri" w:hAnsi="Calibri" w:cs="Calibri"/>
          <w:sz w:val="22"/>
          <w:szCs w:val="22"/>
        </w:rPr>
        <w:t>. odst. 2 této smlouvy (odevzdání zadávacích podmínek a zahájení zadávacího řízení</w:t>
      </w:r>
      <w:r>
        <w:rPr>
          <w:rFonts w:ascii="Calibri" w:hAnsi="Calibri" w:cs="Calibri"/>
          <w:sz w:val="22"/>
          <w:szCs w:val="22"/>
        </w:rPr>
        <w:t>)</w:t>
      </w:r>
      <w:r w:rsidRPr="00C808C1">
        <w:rPr>
          <w:rFonts w:ascii="Calibri" w:hAnsi="Calibri" w:cs="Calibri"/>
          <w:sz w:val="22"/>
          <w:szCs w:val="22"/>
        </w:rPr>
        <w:t>, z důvodů ležících na straně příkazníka, je příkazník povinen příkazci zaplatit smluvní pokutu ve výši 500 Kč za každý i započatý den prodlení.</w:t>
      </w:r>
    </w:p>
    <w:p w14:paraId="5C97F227" w14:textId="77777777" w:rsidR="0099517F" w:rsidRPr="00C808C1" w:rsidRDefault="0099517F" w:rsidP="00021181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4C319BB5" w14:textId="0DCE8103" w:rsidR="0099517F" w:rsidRPr="00C808C1" w:rsidRDefault="0099517F" w:rsidP="00021181">
      <w:pPr>
        <w:pStyle w:val="Odstavecseseznamem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C808C1">
        <w:rPr>
          <w:rFonts w:ascii="Calibri" w:hAnsi="Calibri" w:cs="Calibri"/>
          <w:sz w:val="22"/>
          <w:szCs w:val="22"/>
        </w:rPr>
        <w:t xml:space="preserve">Jestliže příkazník poruší povinnost stanovenou mu v čl. V. odst. 7 této smlouvy, je povinen příkazci zaplatit smluvní pokutu ve výši </w:t>
      </w:r>
      <w:r w:rsidR="002946F1">
        <w:rPr>
          <w:rFonts w:ascii="Calibri" w:hAnsi="Calibri" w:cs="Calibri"/>
          <w:sz w:val="22"/>
          <w:szCs w:val="22"/>
        </w:rPr>
        <w:t>20</w:t>
      </w:r>
      <w:r w:rsidRPr="00C808C1">
        <w:rPr>
          <w:rFonts w:ascii="Calibri" w:hAnsi="Calibri" w:cs="Calibri"/>
          <w:sz w:val="22"/>
          <w:szCs w:val="22"/>
        </w:rPr>
        <w:t>.000 Kč za každý případ zjištěného porušení takovéto povinnosti.</w:t>
      </w:r>
    </w:p>
    <w:p w14:paraId="262F4AEB" w14:textId="77777777" w:rsidR="0099517F" w:rsidRPr="00C808C1" w:rsidRDefault="0099517F" w:rsidP="00021181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7F59DCE1" w14:textId="46380224" w:rsidR="0099517F" w:rsidRPr="00C808C1" w:rsidRDefault="0099517F" w:rsidP="00021181">
      <w:pPr>
        <w:pStyle w:val="Odstavecseseznamem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C808C1">
        <w:rPr>
          <w:rFonts w:ascii="Calibri" w:hAnsi="Calibri" w:cs="Calibri"/>
          <w:sz w:val="22"/>
          <w:szCs w:val="22"/>
        </w:rPr>
        <w:t xml:space="preserve">Jestliže příkazník poruší povinnost stanovenou mu v čl. V. odst. 9 této smlouvy, je povinen příkazci zaplatit smluvní pokutu ve výši </w:t>
      </w:r>
      <w:r w:rsidR="002946F1">
        <w:rPr>
          <w:rFonts w:ascii="Calibri" w:hAnsi="Calibri" w:cs="Calibri"/>
          <w:sz w:val="22"/>
          <w:szCs w:val="22"/>
        </w:rPr>
        <w:t>20</w:t>
      </w:r>
      <w:r w:rsidRPr="00C808C1">
        <w:rPr>
          <w:rFonts w:ascii="Calibri" w:hAnsi="Calibri" w:cs="Calibri"/>
          <w:sz w:val="22"/>
          <w:szCs w:val="22"/>
        </w:rPr>
        <w:t>.000 Kč za každý případ zjištěného porušení takovéto povinnosti.</w:t>
      </w:r>
    </w:p>
    <w:p w14:paraId="357B96D4" w14:textId="77777777" w:rsidR="0099517F" w:rsidRPr="00C808C1" w:rsidRDefault="0099517F" w:rsidP="00021181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61561CDA" w14:textId="77777777" w:rsidR="0099517F" w:rsidRPr="00C808C1" w:rsidRDefault="0099517F" w:rsidP="00021181">
      <w:pPr>
        <w:pStyle w:val="Odstavecseseznamem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C808C1">
        <w:rPr>
          <w:rFonts w:ascii="Calibri" w:hAnsi="Calibri" w:cs="Calibri"/>
          <w:sz w:val="22"/>
          <w:szCs w:val="22"/>
        </w:rPr>
        <w:t>Uplatněním smluvní pokuty není dotčeno právo na náhradu škody. Náhrada škody je vymahatelná v plném rozsahu vedle smluvní pokuty.</w:t>
      </w:r>
    </w:p>
    <w:p w14:paraId="3F9DCF3B" w14:textId="77777777" w:rsidR="0099517F" w:rsidRPr="00C808C1" w:rsidRDefault="0099517F" w:rsidP="00C808C1"/>
    <w:p w14:paraId="2423E3D3" w14:textId="77777777" w:rsidR="0099517F" w:rsidRPr="00C808C1" w:rsidRDefault="0099517F" w:rsidP="00C808C1">
      <w:pPr>
        <w:spacing w:after="0"/>
        <w:jc w:val="center"/>
        <w:rPr>
          <w:b/>
          <w:bCs/>
        </w:rPr>
      </w:pPr>
      <w:r w:rsidRPr="00C808C1">
        <w:rPr>
          <w:b/>
          <w:bCs/>
        </w:rPr>
        <w:t>VIII.</w:t>
      </w:r>
    </w:p>
    <w:p w14:paraId="0FE7E3E1" w14:textId="77777777" w:rsidR="0099517F" w:rsidRDefault="0099517F" w:rsidP="00C808C1">
      <w:pPr>
        <w:spacing w:after="0"/>
        <w:jc w:val="center"/>
        <w:rPr>
          <w:b/>
          <w:bCs/>
        </w:rPr>
      </w:pPr>
      <w:r w:rsidRPr="00C808C1">
        <w:rPr>
          <w:b/>
          <w:bCs/>
        </w:rPr>
        <w:t>Ukončení smluvního vztahu</w:t>
      </w:r>
    </w:p>
    <w:p w14:paraId="4E1DFA7E" w14:textId="77777777" w:rsidR="0099517F" w:rsidRPr="00C808C1" w:rsidRDefault="0099517F" w:rsidP="00C808C1">
      <w:pPr>
        <w:spacing w:after="0"/>
        <w:jc w:val="center"/>
        <w:rPr>
          <w:b/>
          <w:bCs/>
        </w:rPr>
      </w:pPr>
    </w:p>
    <w:p w14:paraId="6F1F7FC0" w14:textId="77777777" w:rsidR="0099517F" w:rsidRPr="00C808C1" w:rsidRDefault="0099517F" w:rsidP="00021181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C808C1">
        <w:rPr>
          <w:rFonts w:ascii="Calibri" w:hAnsi="Calibri" w:cs="Calibri"/>
          <w:sz w:val="22"/>
          <w:szCs w:val="22"/>
        </w:rPr>
        <w:t xml:space="preserve">Tento smluvní vztah může být ukončen v těchto případech: </w:t>
      </w:r>
    </w:p>
    <w:p w14:paraId="2674C9A2" w14:textId="77777777" w:rsidR="0099517F" w:rsidRDefault="0099517F" w:rsidP="00F6043A">
      <w:pPr>
        <w:pStyle w:val="Odstavecseseznamem"/>
        <w:numPr>
          <w:ilvl w:val="1"/>
          <w:numId w:val="26"/>
        </w:numPr>
        <w:ind w:left="1276"/>
        <w:jc w:val="both"/>
        <w:rPr>
          <w:rFonts w:ascii="Calibri" w:hAnsi="Calibri" w:cs="Calibri"/>
          <w:sz w:val="22"/>
          <w:szCs w:val="22"/>
        </w:rPr>
      </w:pPr>
      <w:r w:rsidRPr="00C808C1">
        <w:rPr>
          <w:rFonts w:ascii="Calibri" w:hAnsi="Calibri" w:cs="Calibri"/>
          <w:sz w:val="22"/>
          <w:szCs w:val="22"/>
        </w:rPr>
        <w:t>oboustrannou písemnou dohodou ke dni uvedenému v této dohodě,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9682072" w14:textId="77777777" w:rsidR="0099517F" w:rsidRPr="00F6043A" w:rsidRDefault="0099517F" w:rsidP="00F6043A">
      <w:pPr>
        <w:pStyle w:val="Odstavecseseznamem"/>
        <w:numPr>
          <w:ilvl w:val="1"/>
          <w:numId w:val="26"/>
        </w:numPr>
        <w:ind w:left="1276"/>
        <w:jc w:val="both"/>
        <w:rPr>
          <w:rFonts w:ascii="Calibri" w:hAnsi="Calibri" w:cs="Calibri"/>
          <w:sz w:val="22"/>
          <w:szCs w:val="22"/>
        </w:rPr>
      </w:pPr>
      <w:r w:rsidRPr="00F6043A">
        <w:rPr>
          <w:rFonts w:ascii="Calibri" w:hAnsi="Calibri" w:cs="Calibri"/>
          <w:sz w:val="22"/>
          <w:szCs w:val="22"/>
        </w:rPr>
        <w:t>písemnou výpovědí příkazce nebo příkazníka, smluvní strany mohou smlouvu vypovědět i bez udání důvodu. Výpovědní doba činí 3 měsíce a započne běžet prvního dne měsíce následujícího po měsíci, v němž byla výpověď druhé smluvní straně doručena.</w:t>
      </w:r>
    </w:p>
    <w:p w14:paraId="5AB19206" w14:textId="77777777" w:rsidR="0099517F" w:rsidRPr="00C808C1" w:rsidRDefault="0099517F" w:rsidP="00F6043A">
      <w:pPr>
        <w:pStyle w:val="Odstavecseseznamem"/>
        <w:ind w:left="1440"/>
        <w:jc w:val="both"/>
        <w:rPr>
          <w:rFonts w:ascii="Calibri" w:hAnsi="Calibri" w:cs="Calibri"/>
          <w:sz w:val="22"/>
          <w:szCs w:val="22"/>
        </w:rPr>
      </w:pPr>
    </w:p>
    <w:p w14:paraId="693BDD7F" w14:textId="77777777" w:rsidR="0099517F" w:rsidRDefault="0099517F" w:rsidP="00B27F9F">
      <w:pPr>
        <w:pStyle w:val="Odstavecseseznamem"/>
        <w:numPr>
          <w:ilvl w:val="1"/>
          <w:numId w:val="26"/>
        </w:numPr>
        <w:ind w:left="1260"/>
        <w:jc w:val="both"/>
        <w:rPr>
          <w:rFonts w:ascii="Calibri" w:hAnsi="Calibri" w:cs="Calibri"/>
          <w:sz w:val="22"/>
          <w:szCs w:val="22"/>
        </w:rPr>
      </w:pPr>
      <w:r w:rsidRPr="00C808C1">
        <w:rPr>
          <w:rFonts w:ascii="Calibri" w:hAnsi="Calibri" w:cs="Calibri"/>
          <w:sz w:val="22"/>
          <w:szCs w:val="22"/>
        </w:rPr>
        <w:lastRenderedPageBreak/>
        <w:t>odstoupením od smlouvy, a to v případech stanovených zákonem nebo touto smlouvou,</w:t>
      </w:r>
    </w:p>
    <w:p w14:paraId="31CC8A6B" w14:textId="77777777" w:rsidR="0099517F" w:rsidRPr="00C808C1" w:rsidRDefault="0099517F" w:rsidP="00021181">
      <w:pPr>
        <w:jc w:val="both"/>
      </w:pPr>
    </w:p>
    <w:p w14:paraId="0EE6FBB9" w14:textId="77777777" w:rsidR="0099517F" w:rsidRPr="00C808C1" w:rsidRDefault="0099517F" w:rsidP="00021181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C808C1">
        <w:rPr>
          <w:rFonts w:ascii="Calibri" w:hAnsi="Calibri" w:cs="Calibri"/>
          <w:sz w:val="22"/>
          <w:szCs w:val="22"/>
        </w:rPr>
        <w:t>Při ukončení smluvního vztahu je příkazník povinen zařídit vše, co nesnese odkladu, pokud příkazce neprojeví jinou vůli.</w:t>
      </w:r>
    </w:p>
    <w:p w14:paraId="4E539B4F" w14:textId="77777777" w:rsidR="0099517F" w:rsidRPr="00C808C1" w:rsidRDefault="0099517F" w:rsidP="00021181">
      <w:pPr>
        <w:jc w:val="both"/>
      </w:pPr>
    </w:p>
    <w:p w14:paraId="7879FAE4" w14:textId="77777777" w:rsidR="0099517F" w:rsidRPr="00C808C1" w:rsidRDefault="0099517F" w:rsidP="00C808C1">
      <w:pPr>
        <w:spacing w:after="0"/>
        <w:jc w:val="center"/>
        <w:rPr>
          <w:b/>
          <w:bCs/>
        </w:rPr>
      </w:pPr>
      <w:r w:rsidRPr="00C808C1">
        <w:rPr>
          <w:b/>
          <w:bCs/>
        </w:rPr>
        <w:t>IX.</w:t>
      </w:r>
    </w:p>
    <w:p w14:paraId="7A9AEAD2" w14:textId="77777777" w:rsidR="0099517F" w:rsidRPr="00C808C1" w:rsidRDefault="0099517F" w:rsidP="00C808C1">
      <w:pPr>
        <w:spacing w:after="0"/>
        <w:jc w:val="center"/>
        <w:rPr>
          <w:b/>
          <w:bCs/>
        </w:rPr>
      </w:pPr>
      <w:r w:rsidRPr="00C808C1">
        <w:rPr>
          <w:b/>
          <w:bCs/>
        </w:rPr>
        <w:t>Závěrečná ustanovení</w:t>
      </w:r>
    </w:p>
    <w:p w14:paraId="242F6D02" w14:textId="77777777" w:rsidR="0099517F" w:rsidRPr="00C808C1" w:rsidRDefault="0099517F" w:rsidP="00021181">
      <w:pPr>
        <w:jc w:val="both"/>
      </w:pPr>
    </w:p>
    <w:p w14:paraId="4A759CCC" w14:textId="77777777" w:rsidR="0099517F" w:rsidRPr="00C808C1" w:rsidRDefault="0099517F" w:rsidP="00021181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C808C1">
        <w:rPr>
          <w:rFonts w:ascii="Calibri" w:hAnsi="Calibri" w:cs="Calibri"/>
          <w:sz w:val="22"/>
          <w:szCs w:val="22"/>
        </w:rPr>
        <w:t>Smluvní strany prohlašují, že tato smlouva byla sepsána na základě jejich pravé a svobodné vůle, nikoliv v tísni ani za jinak nápadně nevýhodných podmínek.</w:t>
      </w:r>
    </w:p>
    <w:p w14:paraId="1D0D2B5B" w14:textId="77777777" w:rsidR="0099517F" w:rsidRPr="00C808C1" w:rsidRDefault="0099517F" w:rsidP="00021181">
      <w:pPr>
        <w:spacing w:after="0"/>
        <w:jc w:val="both"/>
      </w:pPr>
    </w:p>
    <w:p w14:paraId="1D451575" w14:textId="77777777" w:rsidR="0099517F" w:rsidRPr="00241F6D" w:rsidRDefault="0099517F" w:rsidP="00021181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241F6D">
        <w:rPr>
          <w:rFonts w:ascii="Calibri" w:hAnsi="Calibri" w:cs="Calibri"/>
          <w:sz w:val="22"/>
          <w:szCs w:val="22"/>
        </w:rPr>
        <w:t>Vztahy neupravené touto smlouvou se řídí příslušnými ustanoveními zákona č. 89/2012 Sb., občanského zákoníku.</w:t>
      </w:r>
    </w:p>
    <w:p w14:paraId="7E54E358" w14:textId="77777777" w:rsidR="0099517F" w:rsidRPr="00C808C1" w:rsidRDefault="0099517F" w:rsidP="00021181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9A2AFDE" w14:textId="77777777" w:rsidR="0099517F" w:rsidRDefault="0099517F" w:rsidP="00021181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C808C1">
        <w:rPr>
          <w:rFonts w:ascii="Calibri" w:hAnsi="Calibri" w:cs="Calibri"/>
          <w:sz w:val="22"/>
          <w:szCs w:val="22"/>
        </w:rPr>
        <w:t>Tato smlouva je vyhotovena ve čtyřech vyhotoveních, z nichž každá strana obdrží dvě vyhotovení.</w:t>
      </w:r>
    </w:p>
    <w:p w14:paraId="114185BC" w14:textId="77777777" w:rsidR="0099517F" w:rsidRPr="00C808C1" w:rsidRDefault="0099517F" w:rsidP="00021181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9B4259C" w14:textId="77777777" w:rsidR="0099517F" w:rsidRDefault="0099517F" w:rsidP="00021181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C808C1">
        <w:rPr>
          <w:rFonts w:ascii="Calibri" w:hAnsi="Calibri" w:cs="Calibri"/>
          <w:sz w:val="22"/>
          <w:szCs w:val="22"/>
        </w:rPr>
        <w:t xml:space="preserve">Smlouva může být měněna pouze písemným číslovaným dodatkem, vypracovaným na základě dohody smluvních stran. </w:t>
      </w:r>
    </w:p>
    <w:p w14:paraId="2F13A0DF" w14:textId="77777777" w:rsidR="0099517F" w:rsidRPr="00C808C1" w:rsidRDefault="0099517F" w:rsidP="00021181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F0F64A1" w14:textId="77777777" w:rsidR="0099517F" w:rsidRDefault="0099517F" w:rsidP="00021181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C808C1">
        <w:rPr>
          <w:rFonts w:ascii="Calibri" w:hAnsi="Calibri" w:cs="Calibri"/>
          <w:sz w:val="22"/>
          <w:szCs w:val="22"/>
        </w:rPr>
        <w:t>Tato smlouva nabývá platnosti dnem podpisu obou smluvních stran a účinnosti dnem uveřejnění v registru smluv dle zákona č. 340/2015 Sb., smlouvu zašle správci registru smluv k uveřejnění příkazce.</w:t>
      </w:r>
    </w:p>
    <w:p w14:paraId="2C943142" w14:textId="77777777" w:rsidR="0099517F" w:rsidRPr="00081FDA" w:rsidRDefault="0099517F" w:rsidP="00021181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4C32705E" w14:textId="048E22C9" w:rsidR="0099517F" w:rsidRPr="00C808C1" w:rsidRDefault="0099517F" w:rsidP="00021181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Tuto smlouvu schválila Rada města Kopřivnice na svém jednání dne</w:t>
      </w:r>
      <w:r w:rsidR="000C6904">
        <w:rPr>
          <w:rFonts w:ascii="Calibri" w:hAnsi="Calibri" w:cs="Calibri"/>
          <w:sz w:val="22"/>
          <w:szCs w:val="22"/>
        </w:rPr>
        <w:t xml:space="preserve"> 12.2.2019 </w:t>
      </w:r>
      <w:r w:rsidR="00534AAD">
        <w:rPr>
          <w:rFonts w:ascii="Calibri" w:hAnsi="Calibri" w:cs="Calibri"/>
          <w:sz w:val="22"/>
          <w:szCs w:val="22"/>
        </w:rPr>
        <w:t>usnesením č. 229.</w:t>
      </w:r>
    </w:p>
    <w:p w14:paraId="460D9340" w14:textId="77777777" w:rsidR="0099517F" w:rsidRPr="00C808C1" w:rsidRDefault="0099517F" w:rsidP="00C808C1"/>
    <w:p w14:paraId="11D6D492" w14:textId="77777777" w:rsidR="0099517F" w:rsidRDefault="0099517F" w:rsidP="00C808C1"/>
    <w:p w14:paraId="79A5A21A" w14:textId="6EDDFC37" w:rsidR="0099517F" w:rsidRPr="00C808C1" w:rsidRDefault="000C6904" w:rsidP="00C808C1">
      <w:r>
        <w:t>V Kopřivnici  dne 19.2.2019</w:t>
      </w:r>
      <w:r>
        <w:tab/>
      </w:r>
      <w:r>
        <w:tab/>
      </w:r>
      <w:r w:rsidR="0099517F" w:rsidRPr="00C808C1">
        <w:tab/>
        <w:t xml:space="preserve">     </w:t>
      </w:r>
      <w:r w:rsidR="00534AAD">
        <w:tab/>
      </w:r>
      <w:r>
        <w:t>V Kopřivnici</w:t>
      </w:r>
      <w:r w:rsidR="0099517F" w:rsidRPr="00C808C1">
        <w:t xml:space="preserve"> dne</w:t>
      </w:r>
      <w:r>
        <w:t xml:space="preserve"> 19.2.2019</w:t>
      </w:r>
    </w:p>
    <w:p w14:paraId="6248C112" w14:textId="77777777" w:rsidR="0099517F" w:rsidRPr="00C808C1" w:rsidRDefault="0099517F" w:rsidP="00C808C1"/>
    <w:p w14:paraId="1C23B2AC" w14:textId="3ED2000D" w:rsidR="0099517F" w:rsidRPr="00C808C1" w:rsidRDefault="0099517F" w:rsidP="00C808C1">
      <w:r w:rsidRPr="00C808C1">
        <w:t>...........................................................</w:t>
      </w:r>
      <w:r w:rsidR="00534AAD">
        <w:tab/>
      </w:r>
      <w:r w:rsidR="00534AAD">
        <w:tab/>
        <w:t xml:space="preserve">    </w:t>
      </w:r>
      <w:r w:rsidR="00534AAD">
        <w:tab/>
      </w:r>
      <w:r w:rsidRPr="00C808C1">
        <w:t>...........................................................</w:t>
      </w:r>
    </w:p>
    <w:p w14:paraId="208A2FE0" w14:textId="1958BFAD" w:rsidR="0099517F" w:rsidRPr="00C808C1" w:rsidRDefault="00534AAD" w:rsidP="00534AAD">
      <w:pPr>
        <w:spacing w:after="0"/>
      </w:pPr>
      <w:r>
        <w:t>za příkazce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 w:rsidR="0099517F" w:rsidRPr="00C808C1">
        <w:t>za příkazníka</w:t>
      </w:r>
    </w:p>
    <w:p w14:paraId="705B7179" w14:textId="5823D79C" w:rsidR="0099517F" w:rsidRDefault="0099517F" w:rsidP="00534AAD">
      <w:pPr>
        <w:spacing w:after="0"/>
        <w:jc w:val="both"/>
      </w:pPr>
      <w:r>
        <w:t>In</w:t>
      </w:r>
      <w:r w:rsidR="00534AAD">
        <w:t>g. Miroslav Kopečný</w:t>
      </w:r>
      <w:r w:rsidR="00534AAD">
        <w:tab/>
      </w:r>
      <w:r w:rsidR="00534AAD">
        <w:tab/>
      </w:r>
      <w:r w:rsidR="00534AAD">
        <w:tab/>
      </w:r>
      <w:r w:rsidR="00534AAD">
        <w:tab/>
        <w:t xml:space="preserve">    </w:t>
      </w:r>
      <w:r w:rsidR="00534AAD">
        <w:tab/>
        <w:t>JUDr. Michal Šilhánek</w:t>
      </w:r>
    </w:p>
    <w:p w14:paraId="7F1D2BA2" w14:textId="23B454BF" w:rsidR="0099517F" w:rsidRPr="00C808C1" w:rsidRDefault="00534AAD" w:rsidP="00534AAD">
      <w:pPr>
        <w:spacing w:after="0"/>
        <w:jc w:val="both"/>
      </w:pPr>
      <w:r>
        <w:t>starosta města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jednatel</w:t>
      </w:r>
    </w:p>
    <w:sectPr w:rsidR="0099517F" w:rsidRPr="00C808C1" w:rsidSect="00DF35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35C29" w14:textId="77777777" w:rsidR="0099517F" w:rsidRDefault="0099517F" w:rsidP="00D50138">
      <w:pPr>
        <w:spacing w:after="0" w:line="240" w:lineRule="auto"/>
      </w:pPr>
      <w:r>
        <w:separator/>
      </w:r>
    </w:p>
  </w:endnote>
  <w:endnote w:type="continuationSeparator" w:id="0">
    <w:p w14:paraId="72560193" w14:textId="77777777" w:rsidR="0099517F" w:rsidRDefault="0099517F" w:rsidP="00D5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2D0EC" w14:textId="77777777" w:rsidR="0099517F" w:rsidRDefault="002E5F98">
    <w:pPr>
      <w:pStyle w:val="Zpat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A159A">
      <w:rPr>
        <w:noProof/>
      </w:rPr>
      <w:t>1</w:t>
    </w:r>
    <w:r>
      <w:rPr>
        <w:noProof/>
      </w:rPr>
      <w:fldChar w:fldCharType="end"/>
    </w:r>
  </w:p>
  <w:p w14:paraId="0605C9E6" w14:textId="77777777" w:rsidR="0099517F" w:rsidRDefault="009951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C814E" w14:textId="77777777" w:rsidR="0099517F" w:rsidRDefault="0099517F" w:rsidP="00D50138">
      <w:pPr>
        <w:spacing w:after="0" w:line="240" w:lineRule="auto"/>
      </w:pPr>
      <w:r>
        <w:separator/>
      </w:r>
    </w:p>
  </w:footnote>
  <w:footnote w:type="continuationSeparator" w:id="0">
    <w:p w14:paraId="7580D6B1" w14:textId="77777777" w:rsidR="0099517F" w:rsidRDefault="0099517F" w:rsidP="00D50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2CD"/>
    <w:multiLevelType w:val="hybridMultilevel"/>
    <w:tmpl w:val="23BAE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76E4"/>
    <w:multiLevelType w:val="hybridMultilevel"/>
    <w:tmpl w:val="8C90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361B"/>
    <w:multiLevelType w:val="hybridMultilevel"/>
    <w:tmpl w:val="F7984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2721"/>
    <w:multiLevelType w:val="hybridMultilevel"/>
    <w:tmpl w:val="2ABA7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E07DC"/>
    <w:multiLevelType w:val="hybridMultilevel"/>
    <w:tmpl w:val="B89A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F2051"/>
    <w:multiLevelType w:val="hybridMultilevel"/>
    <w:tmpl w:val="BBFEA4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E4E02"/>
    <w:multiLevelType w:val="hybridMultilevel"/>
    <w:tmpl w:val="2E5C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4164"/>
    <w:multiLevelType w:val="hybridMultilevel"/>
    <w:tmpl w:val="9C5057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5430A"/>
    <w:multiLevelType w:val="hybridMultilevel"/>
    <w:tmpl w:val="59E61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682E34"/>
    <w:multiLevelType w:val="hybridMultilevel"/>
    <w:tmpl w:val="B5D65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962F53"/>
    <w:multiLevelType w:val="hybridMultilevel"/>
    <w:tmpl w:val="98CC2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07BF0"/>
    <w:multiLevelType w:val="hybridMultilevel"/>
    <w:tmpl w:val="E68AF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C42E6"/>
    <w:multiLevelType w:val="hybridMultilevel"/>
    <w:tmpl w:val="173E2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6071A"/>
    <w:multiLevelType w:val="hybridMultilevel"/>
    <w:tmpl w:val="85185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D563B"/>
    <w:multiLevelType w:val="hybridMultilevel"/>
    <w:tmpl w:val="41A602FE"/>
    <w:lvl w:ilvl="0" w:tplc="31EEE9A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736D5"/>
    <w:multiLevelType w:val="hybridMultilevel"/>
    <w:tmpl w:val="68142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E4159"/>
    <w:multiLevelType w:val="hybridMultilevel"/>
    <w:tmpl w:val="09962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82ACC"/>
    <w:multiLevelType w:val="hybridMultilevel"/>
    <w:tmpl w:val="E49CBCD0"/>
    <w:lvl w:ilvl="0" w:tplc="0CB4D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9134D"/>
    <w:multiLevelType w:val="hybridMultilevel"/>
    <w:tmpl w:val="333E1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5C05A7"/>
    <w:multiLevelType w:val="hybridMultilevel"/>
    <w:tmpl w:val="97EA8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F4F1C"/>
    <w:multiLevelType w:val="hybridMultilevel"/>
    <w:tmpl w:val="52F2A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E4BF7"/>
    <w:multiLevelType w:val="hybridMultilevel"/>
    <w:tmpl w:val="92CE62E2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14684"/>
    <w:multiLevelType w:val="hybridMultilevel"/>
    <w:tmpl w:val="9A263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7100B8"/>
    <w:multiLevelType w:val="hybridMultilevel"/>
    <w:tmpl w:val="D9087FE6"/>
    <w:lvl w:ilvl="0" w:tplc="2FF6802E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8977820"/>
    <w:multiLevelType w:val="hybridMultilevel"/>
    <w:tmpl w:val="2FAA1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337AC"/>
    <w:multiLevelType w:val="hybridMultilevel"/>
    <w:tmpl w:val="A286992A"/>
    <w:lvl w:ilvl="0" w:tplc="040ED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971D0E"/>
    <w:multiLevelType w:val="hybridMultilevel"/>
    <w:tmpl w:val="D1228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8"/>
  </w:num>
  <w:num w:numId="5">
    <w:abstractNumId w:val="8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5"/>
  </w:num>
  <w:num w:numId="11">
    <w:abstractNumId w:val="20"/>
  </w:num>
  <w:num w:numId="12">
    <w:abstractNumId w:val="21"/>
  </w:num>
  <w:num w:numId="13">
    <w:abstractNumId w:val="24"/>
  </w:num>
  <w:num w:numId="14">
    <w:abstractNumId w:val="16"/>
  </w:num>
  <w:num w:numId="15">
    <w:abstractNumId w:val="17"/>
  </w:num>
  <w:num w:numId="16">
    <w:abstractNumId w:val="0"/>
  </w:num>
  <w:num w:numId="17">
    <w:abstractNumId w:val="4"/>
  </w:num>
  <w:num w:numId="18">
    <w:abstractNumId w:val="1"/>
  </w:num>
  <w:num w:numId="19">
    <w:abstractNumId w:val="11"/>
  </w:num>
  <w:num w:numId="20">
    <w:abstractNumId w:val="3"/>
  </w:num>
  <w:num w:numId="21">
    <w:abstractNumId w:val="14"/>
  </w:num>
  <w:num w:numId="22">
    <w:abstractNumId w:val="23"/>
  </w:num>
  <w:num w:numId="23">
    <w:abstractNumId w:val="19"/>
  </w:num>
  <w:num w:numId="24">
    <w:abstractNumId w:val="12"/>
  </w:num>
  <w:num w:numId="25">
    <w:abstractNumId w:val="2"/>
  </w:num>
  <w:num w:numId="26">
    <w:abstractNumId w:val="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C3"/>
    <w:rsid w:val="00021181"/>
    <w:rsid w:val="00030BFD"/>
    <w:rsid w:val="00047DD6"/>
    <w:rsid w:val="000520DD"/>
    <w:rsid w:val="00053580"/>
    <w:rsid w:val="00081FDA"/>
    <w:rsid w:val="000858A1"/>
    <w:rsid w:val="000C6904"/>
    <w:rsid w:val="00167E48"/>
    <w:rsid w:val="001863FF"/>
    <w:rsid w:val="00231E0B"/>
    <w:rsid w:val="00241F6D"/>
    <w:rsid w:val="002946F1"/>
    <w:rsid w:val="002B04CC"/>
    <w:rsid w:val="002E5F98"/>
    <w:rsid w:val="00375CE1"/>
    <w:rsid w:val="00397172"/>
    <w:rsid w:val="003C59C3"/>
    <w:rsid w:val="00430664"/>
    <w:rsid w:val="00532EAF"/>
    <w:rsid w:val="00534AAD"/>
    <w:rsid w:val="005B416A"/>
    <w:rsid w:val="005E07BE"/>
    <w:rsid w:val="00674ADC"/>
    <w:rsid w:val="006A159A"/>
    <w:rsid w:val="007158EE"/>
    <w:rsid w:val="00737F96"/>
    <w:rsid w:val="00753935"/>
    <w:rsid w:val="00764805"/>
    <w:rsid w:val="007A7979"/>
    <w:rsid w:val="00825EEC"/>
    <w:rsid w:val="009155F7"/>
    <w:rsid w:val="0092229C"/>
    <w:rsid w:val="00935912"/>
    <w:rsid w:val="009446E3"/>
    <w:rsid w:val="0099517F"/>
    <w:rsid w:val="009D451C"/>
    <w:rsid w:val="00A64FC9"/>
    <w:rsid w:val="00AB261B"/>
    <w:rsid w:val="00AF6A9D"/>
    <w:rsid w:val="00B01EF8"/>
    <w:rsid w:val="00B07EF7"/>
    <w:rsid w:val="00B27F9F"/>
    <w:rsid w:val="00BB14FB"/>
    <w:rsid w:val="00C1359F"/>
    <w:rsid w:val="00C808C1"/>
    <w:rsid w:val="00D34CE1"/>
    <w:rsid w:val="00D50138"/>
    <w:rsid w:val="00D71957"/>
    <w:rsid w:val="00D9543F"/>
    <w:rsid w:val="00DA1775"/>
    <w:rsid w:val="00DE24DE"/>
    <w:rsid w:val="00DF35E8"/>
    <w:rsid w:val="00E817FD"/>
    <w:rsid w:val="00F27C0A"/>
    <w:rsid w:val="00F6043A"/>
    <w:rsid w:val="00F6608B"/>
    <w:rsid w:val="00F85D85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3A448"/>
  <w15:docId w15:val="{5868B9A5-FB7C-4F90-920F-F1E270EB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35E8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C59C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D5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0138"/>
  </w:style>
  <w:style w:type="paragraph" w:styleId="Zpat">
    <w:name w:val="footer"/>
    <w:basedOn w:val="Normln"/>
    <w:link w:val="ZpatChar"/>
    <w:uiPriority w:val="99"/>
    <w:rsid w:val="00D5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50138"/>
  </w:style>
  <w:style w:type="paragraph" w:styleId="Textbubliny">
    <w:name w:val="Balloon Text"/>
    <w:basedOn w:val="Normln"/>
    <w:link w:val="TextbublinyChar"/>
    <w:uiPriority w:val="99"/>
    <w:semiHidden/>
    <w:rsid w:val="0043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066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D7195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030B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30B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6910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30B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910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3050</Words>
  <Characters>18359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příkazní smlouva</vt:lpstr>
    </vt:vector>
  </TitlesOfParts>
  <Company/>
  <LinksUpToDate>false</LinksUpToDate>
  <CharactersWithSpaces>21367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příkazní smlouva</dc:title>
  <dc:subject/>
  <dc:creator>Veronika Alexova</dc:creator>
  <cp:keywords/>
  <dc:description/>
  <cp:lastModifiedBy>Veronika Alexova</cp:lastModifiedBy>
  <cp:revision>2</cp:revision>
  <cp:lastPrinted>2019-01-08T09:02:00Z</cp:lastPrinted>
  <dcterms:created xsi:type="dcterms:W3CDTF">2019-02-19T12:11:00Z</dcterms:created>
  <dcterms:modified xsi:type="dcterms:W3CDTF">2019-02-19T12:11:00Z</dcterms:modified>
</cp:coreProperties>
</file>