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4930BD">
        <w:rPr>
          <w:sz w:val="22"/>
          <w:szCs w:val="22"/>
        </w:rPr>
        <w:t>3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10714A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4930BD">
        <w:rPr>
          <w:sz w:val="22"/>
          <w:szCs w:val="22"/>
        </w:rPr>
        <w:t>18</w:t>
      </w:r>
      <w:r w:rsidR="00FE4343"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4930BD">
        <w:rPr>
          <w:rFonts w:cs="Arial"/>
          <w:sz w:val="22"/>
          <w:szCs w:val="22"/>
        </w:rPr>
        <w:t>TECHNICKÉ SLUŽBY VRBNO s.r.o.</w: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proofErr w:type="gramStart"/>
      <w:r w:rsidR="004930BD">
        <w:rPr>
          <w:rFonts w:cs="Arial"/>
          <w:sz w:val="22"/>
          <w:szCs w:val="22"/>
        </w:rPr>
        <w:t>Zdeněk  Valenta</w:t>
      </w:r>
      <w:proofErr w:type="gramEnd"/>
      <w:r w:rsidR="004930BD">
        <w:rPr>
          <w:rFonts w:cs="Arial"/>
          <w:sz w:val="22"/>
          <w:szCs w:val="22"/>
        </w:rPr>
        <w:t>, jednatel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4930BD">
        <w:rPr>
          <w:rFonts w:cs="Arial"/>
          <w:sz w:val="22"/>
          <w:szCs w:val="22"/>
        </w:rPr>
        <w:t xml:space="preserve">Jesenická </w:t>
      </w:r>
      <w:proofErr w:type="gramStart"/>
      <w:r w:rsidR="003B576E">
        <w:rPr>
          <w:rFonts w:cs="Arial"/>
          <w:sz w:val="22"/>
          <w:szCs w:val="22"/>
        </w:rPr>
        <w:t>č.p.</w:t>
      </w:r>
      <w:proofErr w:type="gramEnd"/>
      <w:r w:rsidR="003B576E">
        <w:rPr>
          <w:rFonts w:cs="Arial"/>
          <w:sz w:val="22"/>
          <w:szCs w:val="22"/>
        </w:rPr>
        <w:t xml:space="preserve"> 205/24, 793 26  Vrbno pod Pradědem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3B576E">
        <w:rPr>
          <w:rFonts w:cs="Arial"/>
          <w:sz w:val="22"/>
          <w:szCs w:val="22"/>
        </w:rPr>
        <w:t>25386344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DA2229" w:rsidRDefault="00DA2229" w:rsidP="00DA2229">
      <w:pPr>
        <w:pStyle w:val="lnek"/>
        <w:spacing w:before="0" w:after="0"/>
        <w:jc w:val="both"/>
      </w:pPr>
      <w:r>
        <w:t>Ujednání výše uvedené dohody se mění takto:</w:t>
      </w: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bodu </w:t>
      </w:r>
      <w:proofErr w:type="gramStart"/>
      <w:r>
        <w:rPr>
          <w:sz w:val="22"/>
          <w:szCs w:val="22"/>
        </w:rPr>
        <w:t>1.1. zní</w:t>
      </w:r>
      <w:proofErr w:type="gramEnd"/>
      <w:r>
        <w:rPr>
          <w:sz w:val="22"/>
          <w:szCs w:val="22"/>
        </w:rPr>
        <w:t xml:space="preserve">: </w:t>
      </w:r>
    </w:p>
    <w:p w:rsidR="00DA2229" w:rsidRPr="00D54CA1" w:rsidRDefault="00DA2229" w:rsidP="00DA2229">
      <w:pPr>
        <w:pStyle w:val="Daltextbodudohody"/>
      </w:pPr>
    </w:p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1.1.a) na dobu ode dne </w:t>
      </w:r>
      <w:proofErr w:type="gramStart"/>
      <w:r>
        <w:rPr>
          <w:sz w:val="22"/>
          <w:szCs w:val="22"/>
        </w:rPr>
        <w:t>3.4.2018</w:t>
      </w:r>
      <w:proofErr w:type="gramEnd"/>
      <w:r>
        <w:rPr>
          <w:sz w:val="22"/>
          <w:szCs w:val="22"/>
        </w:rPr>
        <w:t xml:space="preserve"> do dne 28.2.2019.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DA2229" w:rsidTr="00582EFA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A2229" w:rsidRDefault="00DA2229" w:rsidP="00582EFA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DA2229" w:rsidTr="00582EFA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Pr="004E25AB" w:rsidRDefault="00DA2229" w:rsidP="00582EF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1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</w:tr>
      <w:tr w:rsidR="00DA2229" w:rsidTr="00582EFA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DA2229" w:rsidRPr="009A3F79" w:rsidRDefault="00DA2229" w:rsidP="00582EFA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</w:p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1.1.b) na dobu ode dne 3.4.2018 do dne 31.3.2019.“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DA2229" w:rsidTr="00582EFA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A2229" w:rsidRDefault="00DA2229" w:rsidP="00582EFA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DA2229" w:rsidTr="00582EFA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Pr="004E25AB" w:rsidRDefault="00DA2229" w:rsidP="00582EF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4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</w:tr>
      <w:tr w:rsidR="00DA2229" w:rsidTr="00582EFA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DA2229" w:rsidRPr="009A3F79" w:rsidRDefault="00DA2229" w:rsidP="00582EFA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DA2229" w:rsidRPr="000C4380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Pr="000C4380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>
        <w:rPr>
          <w:sz w:val="22"/>
          <w:szCs w:val="22"/>
        </w:rPr>
        <w:t>28.2.2019</w:t>
      </w:r>
      <w:proofErr w:type="gramEnd"/>
      <w:r>
        <w:rPr>
          <w:sz w:val="22"/>
          <w:szCs w:val="22"/>
        </w:rPr>
        <w:t xml:space="preserve"> podle bodu 1.1.a) nebo nejdéle do 31.3.2019 podle bodu 1.1.b)</w:t>
      </w:r>
      <w:r w:rsidRPr="00166AD4">
        <w:rPr>
          <w:sz w:val="22"/>
          <w:szCs w:val="22"/>
        </w:rPr>
        <w:t xml:space="preserve"> </w:t>
      </w:r>
      <w:r>
        <w:rPr>
          <w:sz w:val="22"/>
          <w:szCs w:val="22"/>
        </w:rPr>
        <w:t>.“</w:t>
      </w: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Poslední věta zní: </w:t>
      </w:r>
    </w:p>
    <w:p w:rsidR="00DA2229" w:rsidRDefault="00DA2229" w:rsidP="00DA2229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>„Součet poskytnutých měsíčních příspěvků nepřekročí částku 880 000 Kč.“</w:t>
      </w:r>
    </w:p>
    <w:p w:rsidR="00DA2229" w:rsidRPr="00266D67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DA2229" w:rsidRPr="00FE4343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DA2229" w:rsidP="00DA222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Bruntále</w:t>
      </w:r>
      <w:r>
        <w:rPr>
          <w:rFonts w:cs="Arial"/>
          <w:sz w:val="22"/>
          <w:szCs w:val="22"/>
        </w:rPr>
        <w:t xml:space="preserve"> dne</w:t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967EC" w:rsidRDefault="003B576E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Zdeněk Valenta</w:t>
      </w:r>
    </w:p>
    <w:p w:rsidR="00F40627" w:rsidRDefault="003B576E">
      <w:pPr>
        <w:keepNext/>
        <w:keepLines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jednatel</w:t>
      </w:r>
      <w:r w:rsidR="00134E15">
        <w:rPr>
          <w:rFonts w:cs="Arial"/>
          <w:sz w:val="22"/>
          <w:szCs w:val="22"/>
        </w:rPr>
        <w:t xml:space="preserve"> </w:t>
      </w:r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215EB2">
        <w:rPr>
          <w:rFonts w:cs="Arial"/>
          <w:sz w:val="22"/>
          <w:szCs w:val="22"/>
        </w:rPr>
        <w:t>XXXX</w:t>
      </w:r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15EB2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83" w:rsidRDefault="00EA3F83">
      <w:r>
        <w:separator/>
      </w:r>
    </w:p>
  </w:endnote>
  <w:endnote w:type="continuationSeparator" w:id="0">
    <w:p w:rsidR="00EA3F83" w:rsidRDefault="00E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5EB2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5EB2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83" w:rsidRDefault="00EA3F83">
      <w:r>
        <w:separator/>
      </w:r>
    </w:p>
  </w:footnote>
  <w:footnote w:type="continuationSeparator" w:id="0">
    <w:p w:rsidR="00EA3F83" w:rsidRDefault="00E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35443"/>
    <w:rsid w:val="00067920"/>
    <w:rsid w:val="0009398B"/>
    <w:rsid w:val="000C4380"/>
    <w:rsid w:val="0010714A"/>
    <w:rsid w:val="001227A8"/>
    <w:rsid w:val="00134E15"/>
    <w:rsid w:val="00185816"/>
    <w:rsid w:val="00200679"/>
    <w:rsid w:val="00215EB2"/>
    <w:rsid w:val="00266D67"/>
    <w:rsid w:val="002B6245"/>
    <w:rsid w:val="002F5F8F"/>
    <w:rsid w:val="00371CEF"/>
    <w:rsid w:val="003B576E"/>
    <w:rsid w:val="00412EE0"/>
    <w:rsid w:val="0041590E"/>
    <w:rsid w:val="004930BD"/>
    <w:rsid w:val="004C4737"/>
    <w:rsid w:val="004E25AB"/>
    <w:rsid w:val="005504D6"/>
    <w:rsid w:val="005A6492"/>
    <w:rsid w:val="00610930"/>
    <w:rsid w:val="00614557"/>
    <w:rsid w:val="007509B7"/>
    <w:rsid w:val="007D675F"/>
    <w:rsid w:val="00805189"/>
    <w:rsid w:val="00894156"/>
    <w:rsid w:val="009845EA"/>
    <w:rsid w:val="009A3F79"/>
    <w:rsid w:val="009E1CA1"/>
    <w:rsid w:val="00A307CB"/>
    <w:rsid w:val="00AC1CC8"/>
    <w:rsid w:val="00BF07F9"/>
    <w:rsid w:val="00C75409"/>
    <w:rsid w:val="00C76842"/>
    <w:rsid w:val="00C96A79"/>
    <w:rsid w:val="00D519E4"/>
    <w:rsid w:val="00D54CA1"/>
    <w:rsid w:val="00DA2229"/>
    <w:rsid w:val="00DE625C"/>
    <w:rsid w:val="00E10BFB"/>
    <w:rsid w:val="00E51922"/>
    <w:rsid w:val="00E57907"/>
    <w:rsid w:val="00EA3F83"/>
    <w:rsid w:val="00EA64F1"/>
    <w:rsid w:val="00F40627"/>
    <w:rsid w:val="00F42387"/>
    <w:rsid w:val="00F967EC"/>
    <w:rsid w:val="00FC0A93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5</cp:revision>
  <cp:lastPrinted>2019-02-13T06:41:00Z</cp:lastPrinted>
  <dcterms:created xsi:type="dcterms:W3CDTF">2019-02-01T13:26:00Z</dcterms:created>
  <dcterms:modified xsi:type="dcterms:W3CDTF">2019-02-19T07:41:00Z</dcterms:modified>
</cp:coreProperties>
</file>