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2A" w:rsidRPr="00FF0ABA" w:rsidRDefault="008B6F2A" w:rsidP="00E16A44">
      <w:pPr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Dodatek č. 2</w:t>
      </w:r>
      <w:r w:rsidRPr="00FB0FD3">
        <w:rPr>
          <w:rFonts w:ascii="Calibri" w:hAnsi="Calibri" w:cs="Calibri"/>
          <w:b/>
          <w:bCs/>
          <w:cap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aps/>
          <w:sz w:val="28"/>
          <w:szCs w:val="28"/>
        </w:rPr>
        <w:t xml:space="preserve">ke smlouvě </w:t>
      </w:r>
      <w:r w:rsidRPr="00FF0ABA">
        <w:rPr>
          <w:rFonts w:ascii="Calibri" w:hAnsi="Calibri" w:cs="Calibri"/>
          <w:b/>
          <w:bCs/>
          <w:caps/>
          <w:sz w:val="28"/>
          <w:szCs w:val="28"/>
        </w:rPr>
        <w:t>O POSKYTOVÁNÍ SLUŽEB</w:t>
      </w:r>
    </w:p>
    <w:p w:rsidR="008B6F2A" w:rsidRPr="00FF0ABA" w:rsidRDefault="008B6F2A" w:rsidP="00B41C4C">
      <w:pPr>
        <w:jc w:val="center"/>
        <w:rPr>
          <w:rFonts w:ascii="Calibri" w:hAnsi="Calibri" w:cs="Calibri"/>
          <w:sz w:val="22"/>
          <w:szCs w:val="22"/>
        </w:rPr>
      </w:pPr>
      <w:r w:rsidRPr="00FF0ABA">
        <w:rPr>
          <w:rFonts w:ascii="Calibri" w:hAnsi="Calibri" w:cs="Calibri"/>
          <w:sz w:val="22"/>
          <w:szCs w:val="22"/>
        </w:rPr>
        <w:t>na realizaci zakázky</w:t>
      </w:r>
    </w:p>
    <w:p w:rsidR="008B6F2A" w:rsidRPr="00FF0ABA" w:rsidRDefault="008B6F2A" w:rsidP="00B41C4C">
      <w:pPr>
        <w:jc w:val="center"/>
        <w:rPr>
          <w:rFonts w:ascii="Calibri" w:hAnsi="Calibri" w:cs="Calibri"/>
          <w:sz w:val="22"/>
          <w:szCs w:val="22"/>
        </w:rPr>
      </w:pPr>
      <w:r w:rsidRPr="00FF0ABA">
        <w:rPr>
          <w:rFonts w:ascii="Calibri" w:hAnsi="Calibri" w:cs="Calibri"/>
          <w:sz w:val="22"/>
          <w:szCs w:val="22"/>
        </w:rPr>
        <w:t>„Rekonstrukce a výstavba chodníků na okružní křižovatce I/14 a II/309 Dobruška – projektová dokumentace“</w:t>
      </w:r>
    </w:p>
    <w:p w:rsidR="008B6F2A" w:rsidRPr="00FB0FD3" w:rsidRDefault="008B6F2A" w:rsidP="00B41C4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FB0FD3">
        <w:rPr>
          <w:rFonts w:ascii="Calibri" w:hAnsi="Calibri" w:cs="Calibri"/>
          <w:b/>
          <w:bCs/>
          <w:sz w:val="22"/>
          <w:szCs w:val="22"/>
        </w:rPr>
        <w:t>Smluvní strany</w:t>
      </w:r>
    </w:p>
    <w:p w:rsidR="008B6F2A" w:rsidRPr="00FB0FD3" w:rsidRDefault="008B6F2A" w:rsidP="00E16A44">
      <w:pPr>
        <w:outlineLvl w:val="0"/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b/>
          <w:bCs/>
          <w:sz w:val="22"/>
          <w:szCs w:val="22"/>
        </w:rPr>
        <w:t>Objednatel:</w:t>
      </w: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b/>
          <w:bCs/>
          <w:sz w:val="22"/>
          <w:szCs w:val="22"/>
        </w:rPr>
        <w:t>Město Dobruška</w:t>
      </w:r>
    </w:p>
    <w:p w:rsidR="008B6F2A" w:rsidRPr="00FB0FD3" w:rsidRDefault="008B6F2A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se sídlem nám. F. L. Věka 11, 518 01  Dobruška</w:t>
      </w:r>
    </w:p>
    <w:p w:rsidR="008B6F2A" w:rsidRPr="00FB0FD3" w:rsidRDefault="008B6F2A" w:rsidP="00E16A44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IČ: 00274879</w:t>
      </w:r>
    </w:p>
    <w:p w:rsidR="008B6F2A" w:rsidRPr="00FB0FD3" w:rsidRDefault="008B6F2A" w:rsidP="00E16A44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DIČ: CZ00274879</w:t>
      </w:r>
    </w:p>
    <w:p w:rsidR="008B6F2A" w:rsidRPr="00FB0FD3" w:rsidRDefault="008B6F2A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zastoupené Ing. Petrem Lžíčařem, starostou</w:t>
      </w:r>
    </w:p>
    <w:p w:rsidR="008B6F2A" w:rsidRPr="00FB0FD3" w:rsidRDefault="008B6F2A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  <w:t>bankovní spojení: 1721571/0100, Komerční banka a.s.</w:t>
      </w:r>
    </w:p>
    <w:p w:rsidR="008B6F2A" w:rsidRPr="00FB0FD3" w:rsidRDefault="008B6F2A">
      <w:pPr>
        <w:rPr>
          <w:rFonts w:ascii="Calibri" w:hAnsi="Calibri" w:cs="Calibri"/>
          <w:sz w:val="22"/>
          <w:szCs w:val="22"/>
        </w:rPr>
      </w:pPr>
    </w:p>
    <w:p w:rsidR="008B6F2A" w:rsidRPr="00FB0FD3" w:rsidRDefault="008B6F2A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>a</w:t>
      </w:r>
    </w:p>
    <w:p w:rsidR="008B6F2A" w:rsidRPr="00FB0FD3" w:rsidRDefault="008B6F2A">
      <w:pPr>
        <w:rPr>
          <w:rFonts w:ascii="Calibri" w:hAnsi="Calibri" w:cs="Calibri"/>
          <w:sz w:val="22"/>
          <w:szCs w:val="22"/>
        </w:rPr>
      </w:pPr>
    </w:p>
    <w:p w:rsidR="008B6F2A" w:rsidRPr="00FF0ABA" w:rsidRDefault="008B6F2A" w:rsidP="00E16A44">
      <w:pPr>
        <w:outlineLvl w:val="0"/>
        <w:rPr>
          <w:rFonts w:ascii="Calibri" w:hAnsi="Calibri" w:cs="Calibri"/>
          <w:b/>
          <w:bCs/>
          <w:sz w:val="22"/>
          <w:szCs w:val="22"/>
        </w:rPr>
      </w:pPr>
      <w:r w:rsidRPr="00552AF2">
        <w:rPr>
          <w:rFonts w:ascii="Calibri" w:hAnsi="Calibri" w:cs="Calibri"/>
          <w:b/>
          <w:bCs/>
          <w:sz w:val="22"/>
          <w:szCs w:val="22"/>
        </w:rPr>
        <w:t>Poskytovatel</w:t>
      </w:r>
      <w:r w:rsidRPr="00FB0FD3">
        <w:rPr>
          <w:rFonts w:ascii="Calibri" w:hAnsi="Calibri" w:cs="Calibri"/>
          <w:b/>
          <w:bCs/>
          <w:sz w:val="22"/>
          <w:szCs w:val="22"/>
        </w:rPr>
        <w:t>:</w:t>
      </w:r>
      <w:r w:rsidRPr="00FB0FD3">
        <w:rPr>
          <w:rFonts w:ascii="Calibri" w:hAnsi="Calibri" w:cs="Calibri"/>
          <w:b/>
          <w:bCs/>
          <w:sz w:val="22"/>
          <w:szCs w:val="22"/>
        </w:rPr>
        <w:tab/>
      </w:r>
      <w:r w:rsidRPr="00FF0ABA">
        <w:rPr>
          <w:rFonts w:ascii="Calibri" w:hAnsi="Calibri" w:cs="Calibri"/>
          <w:b/>
          <w:bCs/>
          <w:sz w:val="22"/>
          <w:szCs w:val="22"/>
        </w:rPr>
        <w:t>FORVIA CZ s.r.o.</w:t>
      </w:r>
    </w:p>
    <w:p w:rsidR="008B6F2A" w:rsidRDefault="008B6F2A">
      <w:pPr>
        <w:rPr>
          <w:rFonts w:ascii="Calibri" w:hAnsi="Calibri" w:cs="Calibri"/>
          <w:sz w:val="22"/>
          <w:szCs w:val="22"/>
        </w:rPr>
      </w:pPr>
      <w:r w:rsidRPr="00FB0FD3">
        <w:rPr>
          <w:rFonts w:ascii="Calibri" w:hAnsi="Calibri" w:cs="Calibri"/>
          <w:sz w:val="22"/>
          <w:szCs w:val="22"/>
        </w:rPr>
        <w:tab/>
      </w:r>
      <w:r w:rsidRPr="00FB0FD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se sídlem: </w:t>
      </w:r>
      <w:r w:rsidRPr="00C4093A">
        <w:rPr>
          <w:rFonts w:ascii="Calibri" w:hAnsi="Calibri" w:cs="Calibri"/>
          <w:sz w:val="22"/>
          <w:szCs w:val="22"/>
        </w:rPr>
        <w:t>Kolínská 1</w:t>
      </w:r>
      <w:r>
        <w:rPr>
          <w:rFonts w:ascii="Calibri" w:hAnsi="Calibri" w:cs="Calibri"/>
          <w:sz w:val="22"/>
          <w:szCs w:val="22"/>
        </w:rPr>
        <w:t xml:space="preserve">, </w:t>
      </w:r>
      <w:r w:rsidRPr="00C4093A">
        <w:rPr>
          <w:rFonts w:ascii="Calibri" w:hAnsi="Calibri" w:cs="Calibri"/>
          <w:sz w:val="22"/>
          <w:szCs w:val="22"/>
        </w:rPr>
        <w:t>290</w:t>
      </w:r>
      <w:r>
        <w:rPr>
          <w:rFonts w:ascii="Calibri" w:hAnsi="Calibri" w:cs="Calibri"/>
          <w:sz w:val="22"/>
          <w:szCs w:val="22"/>
        </w:rPr>
        <w:t> </w:t>
      </w:r>
      <w:r w:rsidRPr="00C4093A">
        <w:rPr>
          <w:rFonts w:ascii="Calibri" w:hAnsi="Calibri" w:cs="Calibri"/>
          <w:sz w:val="22"/>
          <w:szCs w:val="22"/>
        </w:rPr>
        <w:t>01</w:t>
      </w:r>
      <w:r>
        <w:rPr>
          <w:rFonts w:ascii="Calibri" w:hAnsi="Calibri" w:cs="Calibri"/>
          <w:sz w:val="22"/>
          <w:szCs w:val="22"/>
        </w:rPr>
        <w:t xml:space="preserve"> </w:t>
      </w:r>
      <w:r w:rsidRPr="00C4093A">
        <w:rPr>
          <w:rFonts w:ascii="Calibri" w:hAnsi="Calibri" w:cs="Calibri"/>
          <w:sz w:val="22"/>
          <w:szCs w:val="22"/>
        </w:rPr>
        <w:t xml:space="preserve"> Poděbrady</w:t>
      </w:r>
      <w:r>
        <w:rPr>
          <w:rFonts w:ascii="Calibri" w:hAnsi="Calibri" w:cs="Calibri"/>
          <w:sz w:val="22"/>
          <w:szCs w:val="22"/>
        </w:rPr>
        <w:t xml:space="preserve"> - Kluk</w:t>
      </w:r>
    </w:p>
    <w:p w:rsidR="008B6F2A" w:rsidRPr="00C4093A" w:rsidRDefault="008B6F2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83B2E">
        <w:rPr>
          <w:rFonts w:ascii="Calibri" w:hAnsi="Calibri" w:cs="Calibri"/>
          <w:sz w:val="22"/>
          <w:szCs w:val="22"/>
        </w:rPr>
        <w:t xml:space="preserve">IČ: </w:t>
      </w:r>
      <w:r w:rsidRPr="00C4093A">
        <w:rPr>
          <w:rFonts w:ascii="Calibri" w:hAnsi="Calibri" w:cs="Calibri"/>
          <w:sz w:val="22"/>
          <w:szCs w:val="22"/>
        </w:rPr>
        <w:t>02992485</w:t>
      </w:r>
    </w:p>
    <w:p w:rsidR="008B6F2A" w:rsidRPr="00C4093A" w:rsidRDefault="008B6F2A">
      <w:pPr>
        <w:rPr>
          <w:rFonts w:ascii="Calibri" w:hAnsi="Calibri" w:cs="Calibri"/>
          <w:sz w:val="22"/>
          <w:szCs w:val="22"/>
        </w:rPr>
      </w:pPr>
      <w:r w:rsidRPr="00883B2E">
        <w:rPr>
          <w:rFonts w:ascii="Calibri" w:hAnsi="Calibri" w:cs="Calibri"/>
          <w:sz w:val="22"/>
          <w:szCs w:val="22"/>
        </w:rPr>
        <w:tab/>
      </w:r>
      <w:r w:rsidRPr="00883B2E">
        <w:rPr>
          <w:rFonts w:ascii="Calibri" w:hAnsi="Calibri" w:cs="Calibri"/>
          <w:sz w:val="22"/>
          <w:szCs w:val="22"/>
        </w:rPr>
        <w:tab/>
        <w:t xml:space="preserve">DIČ: </w:t>
      </w:r>
      <w:r w:rsidRPr="00C4093A">
        <w:rPr>
          <w:rFonts w:ascii="Calibri" w:hAnsi="Calibri" w:cs="Calibri"/>
          <w:sz w:val="22"/>
          <w:szCs w:val="22"/>
        </w:rPr>
        <w:t>CZ02992485</w:t>
      </w:r>
    </w:p>
    <w:p w:rsidR="008B6F2A" w:rsidRPr="00C4093A" w:rsidRDefault="008B6F2A">
      <w:pPr>
        <w:rPr>
          <w:rFonts w:ascii="Calibri" w:hAnsi="Calibri" w:cs="Calibri"/>
          <w:sz w:val="22"/>
          <w:szCs w:val="22"/>
        </w:rPr>
      </w:pPr>
      <w:r w:rsidRPr="00883B2E">
        <w:rPr>
          <w:rFonts w:ascii="Calibri" w:hAnsi="Calibri" w:cs="Calibri"/>
          <w:sz w:val="22"/>
          <w:szCs w:val="22"/>
        </w:rPr>
        <w:tab/>
      </w:r>
      <w:r w:rsidRPr="00883B2E">
        <w:rPr>
          <w:rFonts w:ascii="Calibri" w:hAnsi="Calibri" w:cs="Calibri"/>
          <w:sz w:val="22"/>
          <w:szCs w:val="22"/>
        </w:rPr>
        <w:tab/>
        <w:t>zastoupený</w:t>
      </w:r>
      <w:r>
        <w:rPr>
          <w:rFonts w:ascii="Calibri" w:hAnsi="Calibri" w:cs="Calibri"/>
          <w:sz w:val="22"/>
          <w:szCs w:val="22"/>
        </w:rPr>
        <w:t xml:space="preserve">: </w:t>
      </w:r>
      <w:r w:rsidRPr="00C4093A">
        <w:rPr>
          <w:rFonts w:ascii="Calibri" w:hAnsi="Calibri" w:cs="Calibri"/>
          <w:sz w:val="22"/>
          <w:szCs w:val="22"/>
        </w:rPr>
        <w:t>Ing. Jiřím Volkem, jednatelem</w:t>
      </w:r>
    </w:p>
    <w:p w:rsidR="008B6F2A" w:rsidRPr="00883B2E" w:rsidRDefault="008B6F2A">
      <w:pPr>
        <w:rPr>
          <w:rFonts w:ascii="Calibri" w:hAnsi="Calibri" w:cs="Calibri"/>
          <w:sz w:val="22"/>
          <w:szCs w:val="22"/>
        </w:rPr>
      </w:pPr>
      <w:r w:rsidRPr="00883B2E">
        <w:rPr>
          <w:rFonts w:ascii="Calibri" w:hAnsi="Calibri" w:cs="Calibri"/>
          <w:sz w:val="22"/>
          <w:szCs w:val="22"/>
        </w:rPr>
        <w:tab/>
      </w:r>
      <w:r w:rsidRPr="00883B2E">
        <w:rPr>
          <w:rFonts w:ascii="Calibri" w:hAnsi="Calibri" w:cs="Calibri"/>
          <w:sz w:val="22"/>
          <w:szCs w:val="22"/>
        </w:rPr>
        <w:tab/>
        <w:t>bankovní spojení</w:t>
      </w:r>
      <w:r w:rsidRPr="00DB7678">
        <w:rPr>
          <w:rFonts w:ascii="Calibri" w:hAnsi="Calibri" w:cs="Calibri"/>
          <w:sz w:val="22"/>
          <w:szCs w:val="22"/>
        </w:rPr>
        <w:t>: 264847328/0300, ČSOB</w:t>
      </w:r>
      <w:r>
        <w:rPr>
          <w:rFonts w:ascii="Calibri" w:hAnsi="Calibri" w:cs="Calibri"/>
          <w:sz w:val="22"/>
          <w:szCs w:val="22"/>
        </w:rPr>
        <w:t xml:space="preserve"> a.s.</w:t>
      </w:r>
    </w:p>
    <w:p w:rsidR="008B6F2A" w:rsidRPr="00C4093A" w:rsidRDefault="008B6F2A" w:rsidP="002421E3">
      <w:pPr>
        <w:ind w:left="1440" w:hanging="1440"/>
        <w:rPr>
          <w:rFonts w:ascii="Calibri" w:hAnsi="Calibri" w:cs="Calibri"/>
          <w:sz w:val="22"/>
          <w:szCs w:val="22"/>
        </w:rPr>
      </w:pPr>
      <w:r w:rsidRPr="00883B2E">
        <w:rPr>
          <w:rFonts w:ascii="Calibri" w:hAnsi="Calibri" w:cs="Calibri"/>
          <w:sz w:val="22"/>
          <w:szCs w:val="22"/>
        </w:rPr>
        <w:tab/>
        <w:t xml:space="preserve">zapsaný v OR vedeném </w:t>
      </w:r>
      <w:r>
        <w:rPr>
          <w:rFonts w:ascii="Calibri" w:hAnsi="Calibri" w:cs="Calibri"/>
          <w:sz w:val="22"/>
          <w:szCs w:val="22"/>
        </w:rPr>
        <w:t xml:space="preserve">Městským </w:t>
      </w:r>
      <w:r w:rsidRPr="00883B2E">
        <w:rPr>
          <w:rFonts w:ascii="Calibri" w:hAnsi="Calibri" w:cs="Calibri"/>
          <w:sz w:val="22"/>
          <w:szCs w:val="22"/>
        </w:rPr>
        <w:t>soudem v</w:t>
      </w:r>
      <w:r>
        <w:rPr>
          <w:rFonts w:ascii="Calibri" w:hAnsi="Calibri" w:cs="Calibri"/>
          <w:sz w:val="22"/>
          <w:szCs w:val="22"/>
        </w:rPr>
        <w:t> Praze</w:t>
      </w:r>
      <w:r w:rsidRPr="00883B2E">
        <w:rPr>
          <w:rFonts w:ascii="Calibri" w:hAnsi="Calibri" w:cs="Calibri"/>
          <w:sz w:val="22"/>
          <w:szCs w:val="22"/>
        </w:rPr>
        <w:t xml:space="preserve">, oddíl </w:t>
      </w:r>
      <w:r>
        <w:rPr>
          <w:rFonts w:ascii="Calibri" w:hAnsi="Calibri" w:cs="Calibri"/>
          <w:sz w:val="22"/>
          <w:szCs w:val="22"/>
        </w:rPr>
        <w:t>C</w:t>
      </w:r>
      <w:r w:rsidRPr="00883B2E">
        <w:rPr>
          <w:rFonts w:ascii="Calibri" w:hAnsi="Calibri" w:cs="Calibri"/>
          <w:sz w:val="22"/>
          <w:szCs w:val="22"/>
        </w:rPr>
        <w:t xml:space="preserve">, vložka </w:t>
      </w:r>
      <w:r w:rsidRPr="00C4093A">
        <w:rPr>
          <w:rFonts w:ascii="Calibri" w:hAnsi="Calibri" w:cs="Calibri"/>
          <w:sz w:val="22"/>
          <w:szCs w:val="22"/>
        </w:rPr>
        <w:t>226198</w:t>
      </w:r>
    </w:p>
    <w:p w:rsidR="008B6F2A" w:rsidRPr="00FB0FD3" w:rsidRDefault="008B6F2A" w:rsidP="00FB0FD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Předmět dodatku</w:t>
      </w:r>
    </w:p>
    <w:p w:rsidR="008B6F2A" w:rsidRDefault="008B6F2A" w:rsidP="00AF0EA7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8B67BC">
        <w:rPr>
          <w:rFonts w:ascii="Calibri" w:hAnsi="Calibri" w:cs="Calibri"/>
          <w:sz w:val="22"/>
          <w:szCs w:val="22"/>
        </w:rPr>
        <w:t xml:space="preserve">Výše uvedené smluvní strany konstatují, že dne </w:t>
      </w:r>
      <w:r>
        <w:rPr>
          <w:rFonts w:ascii="Calibri" w:hAnsi="Calibri" w:cs="Calibri"/>
          <w:sz w:val="22"/>
          <w:szCs w:val="22"/>
        </w:rPr>
        <w:t xml:space="preserve">30.11.2016 </w:t>
      </w:r>
      <w:r w:rsidRPr="008B67BC">
        <w:rPr>
          <w:rFonts w:ascii="Calibri" w:hAnsi="Calibri" w:cs="Calibri"/>
          <w:sz w:val="22"/>
          <w:szCs w:val="22"/>
        </w:rPr>
        <w:t xml:space="preserve">spolu uzavřely Smlouvu </w:t>
      </w:r>
      <w:r>
        <w:rPr>
          <w:rFonts w:ascii="Calibri" w:hAnsi="Calibri" w:cs="Calibri"/>
          <w:sz w:val="22"/>
          <w:szCs w:val="22"/>
        </w:rPr>
        <w:t>o poskytování služeb</w:t>
      </w:r>
      <w:r w:rsidRPr="008B67BC">
        <w:rPr>
          <w:rFonts w:ascii="Calibri" w:hAnsi="Calibri" w:cs="Calibri"/>
          <w:sz w:val="22"/>
          <w:szCs w:val="22"/>
        </w:rPr>
        <w:t xml:space="preserve"> </w:t>
      </w:r>
      <w:r w:rsidRPr="00AF0EA7">
        <w:rPr>
          <w:rFonts w:ascii="Calibri" w:hAnsi="Calibri" w:cs="Calibri"/>
          <w:sz w:val="22"/>
          <w:szCs w:val="22"/>
        </w:rPr>
        <w:t>na realizaci zakázky</w:t>
      </w:r>
      <w:r>
        <w:rPr>
          <w:rFonts w:ascii="Calibri" w:hAnsi="Calibri" w:cs="Calibri"/>
          <w:sz w:val="22"/>
          <w:szCs w:val="22"/>
        </w:rPr>
        <w:t xml:space="preserve"> </w:t>
      </w:r>
      <w:r w:rsidRPr="00AF0EA7">
        <w:rPr>
          <w:rFonts w:ascii="Calibri" w:hAnsi="Calibri" w:cs="Calibri"/>
          <w:sz w:val="22"/>
          <w:szCs w:val="22"/>
        </w:rPr>
        <w:t>„Rekonstrukce a výstavba chodníků na okružní křižovatce I/14 a II/309 Dobruška – projektová dokumentace“</w:t>
      </w:r>
      <w:r>
        <w:rPr>
          <w:rFonts w:ascii="Calibri" w:hAnsi="Calibri" w:cs="Calibri"/>
          <w:sz w:val="22"/>
          <w:szCs w:val="22"/>
        </w:rPr>
        <w:t xml:space="preserve">, </w:t>
      </w:r>
      <w:r w:rsidRPr="002A2AAA">
        <w:rPr>
          <w:rFonts w:ascii="Calibri" w:hAnsi="Calibri" w:cs="Calibri"/>
          <w:sz w:val="22"/>
          <w:szCs w:val="22"/>
        </w:rPr>
        <w:t xml:space="preserve">k níž následně dne </w:t>
      </w:r>
      <w:r>
        <w:rPr>
          <w:rFonts w:ascii="Calibri" w:hAnsi="Calibri" w:cs="Calibri"/>
          <w:sz w:val="22"/>
          <w:szCs w:val="22"/>
        </w:rPr>
        <w:t>17</w:t>
      </w:r>
      <w:r w:rsidRPr="002A2AAA">
        <w:rPr>
          <w:rFonts w:ascii="Calibri" w:hAnsi="Calibri" w:cs="Calibri"/>
          <w:sz w:val="22"/>
          <w:szCs w:val="22"/>
        </w:rPr>
        <w:t>.04.2018 uzavřely dodatek č. 1.</w:t>
      </w:r>
      <w:r w:rsidRPr="008B67BC">
        <w:rPr>
          <w:rFonts w:ascii="Calibri" w:hAnsi="Calibri" w:cs="Calibri"/>
          <w:sz w:val="22"/>
          <w:szCs w:val="22"/>
        </w:rPr>
        <w:t xml:space="preserve"> (dále jen „Smlouva“).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B6F2A" w:rsidRPr="00F60022" w:rsidRDefault="008B6F2A" w:rsidP="00DD27D2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8B67BC">
        <w:rPr>
          <w:rFonts w:ascii="Calibri" w:hAnsi="Calibri" w:cs="Calibri"/>
          <w:sz w:val="22"/>
          <w:szCs w:val="22"/>
        </w:rPr>
        <w:t xml:space="preserve">Smluvní strany tímto dodatkem mění obsah jimi uzavřené Smlouvy, a to v rozsahu uvedeném </w:t>
      </w:r>
      <w:r w:rsidRPr="00FF275B">
        <w:rPr>
          <w:rFonts w:ascii="Calibri" w:hAnsi="Calibri" w:cs="Calibri"/>
          <w:sz w:val="22"/>
          <w:szCs w:val="22"/>
        </w:rPr>
        <w:t>v čl</w:t>
      </w:r>
      <w:r w:rsidRPr="00F60022">
        <w:rPr>
          <w:rFonts w:ascii="Calibri" w:hAnsi="Calibri" w:cs="Calibri"/>
          <w:sz w:val="22"/>
          <w:szCs w:val="22"/>
        </w:rPr>
        <w:t>. 3. - 4.</w:t>
      </w:r>
    </w:p>
    <w:p w:rsidR="008B6F2A" w:rsidRPr="00014868" w:rsidRDefault="008B6F2A" w:rsidP="0001486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Změny předmětu plnění</w:t>
      </w:r>
    </w:p>
    <w:p w:rsidR="008B6F2A" w:rsidRDefault="008B6F2A" w:rsidP="00023E2A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95798B">
        <w:rPr>
          <w:rFonts w:ascii="Calibri" w:hAnsi="Calibri" w:cs="Calibri"/>
          <w:sz w:val="22"/>
          <w:szCs w:val="22"/>
        </w:rPr>
        <w:t xml:space="preserve">Smluvní strany se dohodly, že stávající </w:t>
      </w:r>
      <w:r>
        <w:rPr>
          <w:rFonts w:ascii="Calibri" w:hAnsi="Calibri" w:cs="Calibri"/>
          <w:sz w:val="22"/>
          <w:szCs w:val="22"/>
        </w:rPr>
        <w:t xml:space="preserve">oceněný Soupis služeb (výkaz výměr) ve </w:t>
      </w:r>
      <w:r w:rsidRPr="0095798B">
        <w:rPr>
          <w:rFonts w:ascii="Calibri" w:hAnsi="Calibri" w:cs="Calibri"/>
          <w:sz w:val="22"/>
          <w:szCs w:val="22"/>
        </w:rPr>
        <w:t xml:space="preserve">znění </w:t>
      </w:r>
      <w:r>
        <w:rPr>
          <w:rFonts w:ascii="Calibri" w:hAnsi="Calibri" w:cs="Calibri"/>
          <w:sz w:val="22"/>
          <w:szCs w:val="22"/>
        </w:rPr>
        <w:t>přílohy č. 1 ze dne 06.10.2016 ke Smlouvě se tímto nahrazuje novým zněním ze dne 17.01.2019, které je zároveň přílohou č. 1 tohoto dodatku.</w:t>
      </w:r>
    </w:p>
    <w:p w:rsidR="008B6F2A" w:rsidRDefault="008B6F2A" w:rsidP="002A2EF7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 dále dohodly, že za stávající odstavec 6.2, čl. VI Smlouvy se tímto přidávají nové odstavce 6.3 a 6.4 v následujícím znění:</w:t>
      </w:r>
    </w:p>
    <w:p w:rsidR="008B6F2A" w:rsidRPr="002A2EF7" w:rsidRDefault="008B6F2A" w:rsidP="009452F8">
      <w:pPr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2A2EF7">
        <w:rPr>
          <w:rFonts w:ascii="Calibri" w:hAnsi="Calibri" w:cs="Calibri"/>
          <w:i/>
          <w:iCs/>
          <w:sz w:val="22"/>
          <w:szCs w:val="22"/>
        </w:rPr>
        <w:t>6.3</w:t>
      </w:r>
      <w:r w:rsidRPr="002A2EF7">
        <w:rPr>
          <w:rFonts w:ascii="Calibri" w:hAnsi="Calibri" w:cs="Calibri"/>
          <w:i/>
          <w:iCs/>
          <w:sz w:val="22"/>
          <w:szCs w:val="22"/>
        </w:rPr>
        <w:tab/>
        <w:t>Cena za jednu hodinu výkonu autorského dozoru zhotovitelem byla stanovena dohodou smluvních stran podle zák. č. 526/1990 Sb., o cenách, v platném znění, jako cena pevná takto:</w:t>
      </w:r>
    </w:p>
    <w:p w:rsidR="008B6F2A" w:rsidRPr="002A2EF7" w:rsidRDefault="008B6F2A" w:rsidP="009452F8">
      <w:pPr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828" w:type="dxa"/>
        <w:tblBorders>
          <w:bottom w:val="single" w:sz="4" w:space="0" w:color="auto"/>
        </w:tblBorders>
        <w:tblLook w:val="01E0"/>
      </w:tblPr>
      <w:tblGrid>
        <w:gridCol w:w="3240"/>
        <w:gridCol w:w="1800"/>
        <w:gridCol w:w="1620"/>
        <w:gridCol w:w="1724"/>
      </w:tblGrid>
      <w:tr w:rsidR="008B6F2A" w:rsidRPr="002A2EF7">
        <w:tc>
          <w:tcPr>
            <w:tcW w:w="3240" w:type="dxa"/>
          </w:tcPr>
          <w:p w:rsidR="008B6F2A" w:rsidRPr="004A7896" w:rsidRDefault="008B6F2A" w:rsidP="009452F8">
            <w:pPr>
              <w:ind w:left="360"/>
              <w:jc w:val="both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1800" w:type="dxa"/>
          </w:tcPr>
          <w:p w:rsidR="008B6F2A" w:rsidRPr="004A7896" w:rsidRDefault="008B6F2A" w:rsidP="009452F8">
            <w:pPr>
              <w:ind w:left="360"/>
              <w:jc w:val="center"/>
              <w:rPr>
                <w:rFonts w:ascii="Calibri" w:hAnsi="Calibri" w:cs="Calibri"/>
                <w:i/>
                <w:iCs/>
              </w:rPr>
            </w:pPr>
            <w:r w:rsidRPr="004A7896">
              <w:rPr>
                <w:rFonts w:ascii="Calibri" w:hAnsi="Calibri" w:cs="Calibri"/>
                <w:i/>
                <w:iCs/>
                <w:sz w:val="22"/>
                <w:szCs w:val="22"/>
              </w:rPr>
              <w:t>Cena bez DPH</w:t>
            </w:r>
          </w:p>
        </w:tc>
        <w:tc>
          <w:tcPr>
            <w:tcW w:w="1620" w:type="dxa"/>
          </w:tcPr>
          <w:p w:rsidR="008B6F2A" w:rsidRPr="004A7896" w:rsidRDefault="008B6F2A" w:rsidP="009452F8">
            <w:pPr>
              <w:ind w:left="360"/>
              <w:jc w:val="center"/>
              <w:rPr>
                <w:rFonts w:ascii="Calibri" w:hAnsi="Calibri" w:cs="Calibri"/>
                <w:i/>
                <w:iCs/>
              </w:rPr>
            </w:pPr>
            <w:r w:rsidRPr="004A7896">
              <w:rPr>
                <w:rFonts w:ascii="Calibri" w:hAnsi="Calibri" w:cs="Calibri"/>
                <w:i/>
                <w:iCs/>
                <w:sz w:val="22"/>
                <w:szCs w:val="22"/>
              </w:rPr>
              <w:t>DPH 21%</w:t>
            </w:r>
          </w:p>
        </w:tc>
        <w:tc>
          <w:tcPr>
            <w:tcW w:w="1724" w:type="dxa"/>
          </w:tcPr>
          <w:p w:rsidR="008B6F2A" w:rsidRPr="004A7896" w:rsidRDefault="008B6F2A" w:rsidP="009452F8">
            <w:pPr>
              <w:ind w:left="360"/>
              <w:jc w:val="center"/>
              <w:rPr>
                <w:rFonts w:ascii="Calibri" w:hAnsi="Calibri" w:cs="Calibri"/>
                <w:i/>
                <w:iCs/>
              </w:rPr>
            </w:pPr>
            <w:r w:rsidRPr="004A7896">
              <w:rPr>
                <w:rFonts w:ascii="Calibri" w:hAnsi="Calibri" w:cs="Calibri"/>
                <w:i/>
                <w:iCs/>
                <w:sz w:val="22"/>
                <w:szCs w:val="22"/>
              </w:rPr>
              <w:t>Cena s DPH</w:t>
            </w:r>
          </w:p>
        </w:tc>
      </w:tr>
      <w:tr w:rsidR="008B6F2A" w:rsidRPr="002A2EF7">
        <w:tc>
          <w:tcPr>
            <w:tcW w:w="3240" w:type="dxa"/>
            <w:tcBorders>
              <w:bottom w:val="single" w:sz="4" w:space="0" w:color="auto"/>
            </w:tcBorders>
          </w:tcPr>
          <w:p w:rsidR="008B6F2A" w:rsidRPr="004A7896" w:rsidRDefault="008B6F2A" w:rsidP="009452F8">
            <w:pPr>
              <w:ind w:left="360"/>
              <w:jc w:val="both"/>
              <w:rPr>
                <w:rFonts w:ascii="Calibri" w:hAnsi="Calibri" w:cs="Calibri"/>
                <w:i/>
                <w:iCs/>
              </w:rPr>
            </w:pPr>
            <w:r w:rsidRPr="004A7896">
              <w:rPr>
                <w:rFonts w:ascii="Calibri" w:hAnsi="Calibri" w:cs="Calibri"/>
                <w:i/>
                <w:iCs/>
                <w:sz w:val="22"/>
                <w:szCs w:val="22"/>
              </w:rPr>
              <w:t>Cena za jednu hodinu výkonu autorského dozoru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B6F2A" w:rsidRPr="004A7896" w:rsidRDefault="008B6F2A" w:rsidP="009452F8">
            <w:pPr>
              <w:ind w:left="360"/>
              <w:jc w:val="center"/>
              <w:rPr>
                <w:rFonts w:ascii="Calibri" w:hAnsi="Calibri" w:cs="Calibri"/>
                <w:i/>
                <w:iCs/>
              </w:rPr>
            </w:pPr>
            <w:r w:rsidRPr="004A7896">
              <w:rPr>
                <w:rFonts w:ascii="Calibri" w:hAnsi="Calibri" w:cs="Calibri"/>
                <w:i/>
                <w:iCs/>
                <w:sz w:val="22"/>
                <w:szCs w:val="22"/>
              </w:rPr>
              <w:t>450,00 Kč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B6F2A" w:rsidRPr="004A7896" w:rsidRDefault="008B6F2A" w:rsidP="009452F8">
            <w:pPr>
              <w:ind w:left="360"/>
              <w:jc w:val="center"/>
              <w:rPr>
                <w:rFonts w:ascii="Calibri" w:hAnsi="Calibri" w:cs="Calibri"/>
                <w:i/>
                <w:iCs/>
              </w:rPr>
            </w:pPr>
            <w:r w:rsidRPr="004A7896">
              <w:rPr>
                <w:rFonts w:ascii="Calibri" w:hAnsi="Calibri" w:cs="Calibri"/>
                <w:i/>
                <w:iCs/>
                <w:sz w:val="22"/>
                <w:szCs w:val="22"/>
              </w:rPr>
              <w:t>94,50 Kč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8B6F2A" w:rsidRPr="004A7896" w:rsidRDefault="008B6F2A" w:rsidP="009452F8">
            <w:pPr>
              <w:ind w:left="360"/>
              <w:jc w:val="center"/>
              <w:rPr>
                <w:rFonts w:ascii="Calibri" w:hAnsi="Calibri" w:cs="Calibri"/>
                <w:i/>
                <w:iCs/>
              </w:rPr>
            </w:pPr>
            <w:r w:rsidRPr="004A7896">
              <w:rPr>
                <w:rFonts w:ascii="Calibri" w:hAnsi="Calibri" w:cs="Calibri"/>
                <w:i/>
                <w:iCs/>
                <w:sz w:val="22"/>
                <w:szCs w:val="22"/>
              </w:rPr>
              <w:t>544,50 Kč</w:t>
            </w:r>
          </w:p>
        </w:tc>
      </w:tr>
    </w:tbl>
    <w:p w:rsidR="008B6F2A" w:rsidRPr="002A2EF7" w:rsidRDefault="008B6F2A" w:rsidP="009452F8">
      <w:pPr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8B6F2A" w:rsidRPr="002A2EF7" w:rsidRDefault="008B6F2A" w:rsidP="009452F8">
      <w:pPr>
        <w:ind w:left="360"/>
        <w:jc w:val="both"/>
        <w:rPr>
          <w:rFonts w:ascii="Calibri" w:hAnsi="Calibri" w:cs="Calibri"/>
          <w:i/>
          <w:iCs/>
          <w:sz w:val="22"/>
          <w:szCs w:val="22"/>
        </w:rPr>
      </w:pPr>
      <w:r w:rsidRPr="002A2EF7">
        <w:rPr>
          <w:rFonts w:ascii="Calibri" w:hAnsi="Calibri" w:cs="Calibri"/>
          <w:i/>
          <w:iCs/>
          <w:sz w:val="22"/>
          <w:szCs w:val="22"/>
        </w:rPr>
        <w:t>O rozsahu výkonu autorského dozoru bude objednatelem vedena písemná evidence, v níž bude vždy po provedení příslušného úkonu autorského dozoru oběma zástupci obou smluvních stran odsouhlasen jeho časový rozsah</w:t>
      </w:r>
      <w:r>
        <w:rPr>
          <w:rFonts w:ascii="Calibri" w:hAnsi="Calibri" w:cs="Calibri"/>
          <w:i/>
          <w:iCs/>
          <w:sz w:val="22"/>
          <w:szCs w:val="22"/>
        </w:rPr>
        <w:t>, přičemž minimální celkový rozsah autorského dozoru činí 40 hodin.</w:t>
      </w:r>
      <w:r w:rsidRPr="002A2EF7">
        <w:rPr>
          <w:rFonts w:ascii="Calibri" w:hAnsi="Calibri" w:cs="Calibri"/>
          <w:i/>
          <w:iCs/>
          <w:sz w:val="22"/>
          <w:szCs w:val="22"/>
        </w:rPr>
        <w:t xml:space="preserve"> Tato evidence bude podkladem pro fakturaci ceny za výkon autorského dozoru.</w:t>
      </w:r>
    </w:p>
    <w:p w:rsidR="008B6F2A" w:rsidRDefault="008B6F2A" w:rsidP="009452F8">
      <w:pPr>
        <w:pStyle w:val="BodyText2"/>
        <w:ind w:left="360"/>
        <w:rPr>
          <w:rFonts w:ascii="Calibri" w:hAnsi="Calibri" w:cs="Calibri"/>
          <w:i/>
          <w:iCs/>
          <w:sz w:val="22"/>
          <w:szCs w:val="22"/>
        </w:rPr>
      </w:pPr>
    </w:p>
    <w:p w:rsidR="008B6F2A" w:rsidRPr="002A2EF7" w:rsidRDefault="008B6F2A" w:rsidP="009452F8">
      <w:pPr>
        <w:pStyle w:val="BodyText2"/>
        <w:ind w:left="360"/>
        <w:rPr>
          <w:rFonts w:ascii="Calibri" w:hAnsi="Calibri" w:cs="Calibri"/>
          <w:i/>
          <w:iCs/>
          <w:sz w:val="22"/>
          <w:szCs w:val="22"/>
        </w:rPr>
      </w:pPr>
      <w:r w:rsidRPr="002A2EF7">
        <w:rPr>
          <w:rFonts w:ascii="Calibri" w:hAnsi="Calibri" w:cs="Calibri"/>
          <w:i/>
          <w:iCs/>
          <w:sz w:val="22"/>
          <w:szCs w:val="22"/>
        </w:rPr>
        <w:t xml:space="preserve">6.4 </w:t>
      </w:r>
      <w:r w:rsidRPr="002A2EF7">
        <w:rPr>
          <w:rFonts w:ascii="Calibri" w:hAnsi="Calibri" w:cs="Calibri"/>
          <w:i/>
          <w:iCs/>
          <w:sz w:val="22"/>
          <w:szCs w:val="22"/>
        </w:rPr>
        <w:tab/>
        <w:t xml:space="preserve">Ve výše sjednané ceně za výkon autorského dozoru jsou zahrnuty veškeré náklady zhotovitele a přiměřený zisk.  </w:t>
      </w:r>
    </w:p>
    <w:p w:rsidR="008B6F2A" w:rsidRPr="00E8275B" w:rsidRDefault="008B6F2A" w:rsidP="00393DB5">
      <w:pPr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Cena za dílo</w:t>
      </w:r>
    </w:p>
    <w:p w:rsidR="008B6F2A" w:rsidRPr="00393DB5" w:rsidRDefault="008B6F2A" w:rsidP="00212621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393DB5">
        <w:rPr>
          <w:rFonts w:ascii="Calibri" w:hAnsi="Calibri" w:cs="Calibri"/>
          <w:sz w:val="22"/>
          <w:szCs w:val="22"/>
        </w:rPr>
        <w:t xml:space="preserve">Celková cena díla, sjednaná v odst. 6.1. čl. VI. Smlouvy se zvyšuje o částku </w:t>
      </w:r>
      <w:r>
        <w:rPr>
          <w:rFonts w:ascii="Calibri" w:hAnsi="Calibri" w:cs="Calibri"/>
          <w:sz w:val="22"/>
          <w:szCs w:val="22"/>
        </w:rPr>
        <w:t>18</w:t>
      </w:r>
      <w:r w:rsidRPr="00393DB5">
        <w:rPr>
          <w:rFonts w:ascii="Calibri" w:hAnsi="Calibri" w:cs="Calibri"/>
          <w:sz w:val="22"/>
          <w:szCs w:val="22"/>
        </w:rPr>
        <w:t xml:space="preserve">.000 Kč bez DPH a činí tak po tomto zvýšení  </w:t>
      </w:r>
      <w:r>
        <w:rPr>
          <w:rFonts w:ascii="Calibri" w:hAnsi="Calibri" w:cs="Calibri"/>
          <w:sz w:val="22"/>
          <w:szCs w:val="22"/>
        </w:rPr>
        <w:t>181</w:t>
      </w:r>
      <w:r w:rsidRPr="00393DB5">
        <w:rPr>
          <w:rFonts w:ascii="Calibri" w:hAnsi="Calibri" w:cs="Calibri"/>
          <w:sz w:val="22"/>
          <w:szCs w:val="22"/>
        </w:rPr>
        <w:t>.500 Kč bez DPH,</w:t>
      </w:r>
      <w:r>
        <w:rPr>
          <w:rFonts w:ascii="Calibri" w:hAnsi="Calibri" w:cs="Calibri"/>
          <w:sz w:val="22"/>
          <w:szCs w:val="22"/>
        </w:rPr>
        <w:t xml:space="preserve"> tj. 219</w:t>
      </w:r>
      <w:r w:rsidRPr="00393DB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615</w:t>
      </w:r>
      <w:r w:rsidRPr="00393DB5">
        <w:rPr>
          <w:rFonts w:ascii="Calibri" w:hAnsi="Calibri" w:cs="Calibri"/>
          <w:sz w:val="22"/>
          <w:szCs w:val="22"/>
        </w:rPr>
        <w:t xml:space="preserve"> Kč vč. DPH.</w:t>
      </w:r>
    </w:p>
    <w:p w:rsidR="008B6F2A" w:rsidRPr="002F035B" w:rsidRDefault="008B6F2A" w:rsidP="002F03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357" w:hanging="3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Závěrečná ujednání</w:t>
      </w:r>
    </w:p>
    <w:p w:rsidR="008B6F2A" w:rsidRPr="00865242" w:rsidRDefault="008B6F2A" w:rsidP="001B4714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8C2FE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Poskytovatel</w:t>
      </w:r>
      <w:r w:rsidRPr="00865242">
        <w:rPr>
          <w:rFonts w:ascii="Calibri" w:hAnsi="Calibri" w:cs="Calibri"/>
          <w:sz w:val="22"/>
          <w:szCs w:val="22"/>
        </w:rPr>
        <w:t xml:space="preserve"> podpisem tohoto dodatku č. </w:t>
      </w:r>
      <w:r>
        <w:rPr>
          <w:rFonts w:ascii="Calibri" w:hAnsi="Calibri" w:cs="Calibri"/>
          <w:sz w:val="22"/>
          <w:szCs w:val="22"/>
        </w:rPr>
        <w:t>2</w:t>
      </w:r>
      <w:r w:rsidRPr="00865242">
        <w:rPr>
          <w:rFonts w:ascii="Calibri" w:hAnsi="Calibri" w:cs="Calibri"/>
          <w:sz w:val="22"/>
          <w:szCs w:val="22"/>
        </w:rPr>
        <w:t xml:space="preserve"> ke Smlouvě souhlasí bez výhrad se zveřejněním tohoto dodatku včetně všech následujících uzavřených dodatků ke Smlouvě v registru smluv dle zákona č. 340/2015 Sb., o zvláštních podmínkách, účinnosti některých smluv, uveřejňování těchto smluv a o registru smluv (zákon o registru smluv).</w:t>
      </w:r>
    </w:p>
    <w:p w:rsidR="008B6F2A" w:rsidRDefault="008B6F2A" w:rsidP="00865242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865242">
        <w:rPr>
          <w:rFonts w:ascii="Calibri" w:hAnsi="Calibri" w:cs="Calibri"/>
          <w:sz w:val="22"/>
          <w:szCs w:val="22"/>
        </w:rPr>
        <w:t>V ostatních ujednáních se smlouva nemění.</w:t>
      </w:r>
    </w:p>
    <w:p w:rsidR="008B6F2A" w:rsidRDefault="008B6F2A" w:rsidP="00F63D31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6B1272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ento dodatek ke </w:t>
      </w:r>
      <w:r w:rsidRPr="006B1272">
        <w:rPr>
          <w:rFonts w:ascii="Calibri" w:hAnsi="Calibri" w:cs="Calibri"/>
          <w:sz w:val="22"/>
          <w:szCs w:val="22"/>
        </w:rPr>
        <w:t>Smlouv</w:t>
      </w:r>
      <w:r>
        <w:rPr>
          <w:rFonts w:ascii="Calibri" w:hAnsi="Calibri" w:cs="Calibri"/>
          <w:sz w:val="22"/>
          <w:szCs w:val="22"/>
        </w:rPr>
        <w:t>ě</w:t>
      </w:r>
      <w:r w:rsidRPr="006B1272">
        <w:rPr>
          <w:rFonts w:ascii="Calibri" w:hAnsi="Calibri" w:cs="Calibri"/>
          <w:sz w:val="22"/>
          <w:szCs w:val="22"/>
        </w:rPr>
        <w:t xml:space="preserve"> se vyhotovuje ve čtyřech stejnopisech, z nichž obě Smluvní strany obdrží po dvou stejnopisech</w:t>
      </w:r>
      <w:r w:rsidRPr="00865242">
        <w:rPr>
          <w:rFonts w:ascii="Calibri" w:hAnsi="Calibri" w:cs="Calibri"/>
          <w:sz w:val="22"/>
          <w:szCs w:val="22"/>
        </w:rPr>
        <w:t>.</w:t>
      </w:r>
    </w:p>
    <w:p w:rsidR="008B6F2A" w:rsidRPr="00750E11" w:rsidRDefault="008B6F2A" w:rsidP="00EC554B">
      <w:pPr>
        <w:numPr>
          <w:ilvl w:val="1"/>
          <w:numId w:val="1"/>
        </w:numPr>
        <w:spacing w:after="120"/>
        <w:ind w:left="794" w:hanging="794"/>
        <w:jc w:val="both"/>
        <w:rPr>
          <w:rFonts w:ascii="Calibri" w:hAnsi="Calibri" w:cs="Calibri"/>
          <w:sz w:val="22"/>
          <w:szCs w:val="22"/>
        </w:rPr>
      </w:pPr>
      <w:r w:rsidRPr="00EC554B">
        <w:rPr>
          <w:rFonts w:ascii="Calibri" w:hAnsi="Calibri" w:cs="Calibri"/>
          <w:color w:val="FF0000"/>
          <w:sz w:val="22"/>
          <w:szCs w:val="22"/>
        </w:rPr>
        <w:tab/>
      </w:r>
      <w:r w:rsidRPr="00750E11">
        <w:rPr>
          <w:rFonts w:ascii="Calibri" w:hAnsi="Calibri" w:cs="Calibri"/>
          <w:sz w:val="22"/>
          <w:szCs w:val="22"/>
        </w:rPr>
        <w:t xml:space="preserve">Uzavření </w:t>
      </w:r>
      <w:r>
        <w:rPr>
          <w:rFonts w:ascii="Calibri" w:hAnsi="Calibri" w:cs="Calibri"/>
          <w:sz w:val="22"/>
          <w:szCs w:val="22"/>
        </w:rPr>
        <w:t>tohoto</w:t>
      </w:r>
      <w:r w:rsidRPr="00750E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dodatku</w:t>
      </w:r>
      <w:r w:rsidRPr="00750E11">
        <w:rPr>
          <w:rFonts w:ascii="Calibri" w:hAnsi="Calibri" w:cs="Calibri"/>
          <w:sz w:val="22"/>
          <w:szCs w:val="22"/>
        </w:rPr>
        <w:t xml:space="preserve"> schválila Rada města Dobrušky na své schůzi konané dne </w:t>
      </w:r>
      <w:r>
        <w:rPr>
          <w:rFonts w:ascii="Calibri" w:hAnsi="Calibri" w:cs="Calibri"/>
          <w:sz w:val="22"/>
          <w:szCs w:val="22"/>
        </w:rPr>
        <w:t>04.02.2019.</w:t>
      </w:r>
    </w:p>
    <w:p w:rsidR="008B6F2A" w:rsidRPr="002D6730" w:rsidRDefault="008B6F2A" w:rsidP="00750E1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50E11">
        <w:rPr>
          <w:rFonts w:ascii="Calibri" w:hAnsi="Calibri" w:cs="Calibri"/>
          <w:sz w:val="22"/>
          <w:szCs w:val="22"/>
        </w:rPr>
        <w:tab/>
      </w:r>
    </w:p>
    <w:p w:rsidR="008B6F2A" w:rsidRPr="00750E11" w:rsidRDefault="008B6F2A" w:rsidP="00750E11">
      <w:pPr>
        <w:spacing w:after="120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V Dobrušce dne 05.02.2019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 Praze 13.02.2019</w:t>
      </w:r>
    </w:p>
    <w:p w:rsidR="008B6F2A" w:rsidRDefault="008B6F2A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8B6F2A" w:rsidRDefault="008B6F2A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Objednatel: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Poskytovatel:</w:t>
      </w:r>
    </w:p>
    <w:p w:rsidR="008B6F2A" w:rsidRDefault="008B6F2A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8B6F2A" w:rsidRDefault="008B6F2A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8B6F2A" w:rsidRDefault="008B6F2A" w:rsidP="00A02F27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8B6F2A" w:rsidRDefault="008B6F2A" w:rsidP="00DB66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7458">
        <w:rPr>
          <w:rFonts w:ascii="Calibri" w:hAnsi="Calibri" w:cs="Calibri"/>
          <w:sz w:val="22"/>
          <w:szCs w:val="22"/>
        </w:rPr>
        <w:t>……………………………</w:t>
      </w:r>
    </w:p>
    <w:p w:rsidR="008B6F2A" w:rsidRPr="00803BF8" w:rsidRDefault="008B6F2A" w:rsidP="00DB66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Město Dobruška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13113">
        <w:rPr>
          <w:rFonts w:ascii="Calibri" w:hAnsi="Calibri" w:cs="Calibri"/>
          <w:sz w:val="22"/>
          <w:szCs w:val="22"/>
        </w:rPr>
        <w:t>FORVIA CZ s.r.o.</w:t>
      </w:r>
      <w:r w:rsidRPr="00803BF8">
        <w:rPr>
          <w:rFonts w:ascii="Calibri" w:hAnsi="Calibri" w:cs="Calibri"/>
          <w:sz w:val="22"/>
          <w:szCs w:val="22"/>
        </w:rPr>
        <w:t xml:space="preserve"> </w:t>
      </w:r>
    </w:p>
    <w:p w:rsidR="008B6F2A" w:rsidRPr="00913113" w:rsidRDefault="008B6F2A" w:rsidP="00DB66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Ing. Petr Lžíčař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13113">
        <w:rPr>
          <w:rFonts w:ascii="Calibri" w:hAnsi="Calibri" w:cs="Calibri"/>
          <w:sz w:val="22"/>
          <w:szCs w:val="22"/>
        </w:rPr>
        <w:t>Ing. Jiří Volek</w:t>
      </w:r>
    </w:p>
    <w:p w:rsidR="008B6F2A" w:rsidRPr="00913113" w:rsidRDefault="008B6F2A" w:rsidP="00DB66C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starosta města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13113">
        <w:rPr>
          <w:rFonts w:ascii="Calibri" w:hAnsi="Calibri" w:cs="Calibri"/>
          <w:sz w:val="22"/>
          <w:szCs w:val="22"/>
        </w:rPr>
        <w:t>jednatel společnosti</w:t>
      </w:r>
    </w:p>
    <w:sectPr w:rsidR="008B6F2A" w:rsidRPr="00913113" w:rsidSect="0090705F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2A" w:rsidRDefault="008B6F2A">
      <w:r>
        <w:separator/>
      </w:r>
    </w:p>
  </w:endnote>
  <w:endnote w:type="continuationSeparator" w:id="0">
    <w:p w:rsidR="008B6F2A" w:rsidRDefault="008B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F2A" w:rsidRPr="00FD6D17" w:rsidRDefault="008B6F2A" w:rsidP="004540C4">
    <w:pPr>
      <w:pStyle w:val="Footer"/>
      <w:jc w:val="center"/>
      <w:rPr>
        <w:rFonts w:ascii="Calibri" w:hAnsi="Calibri" w:cs="Calibri"/>
        <w:sz w:val="20"/>
        <w:szCs w:val="20"/>
      </w:rPr>
    </w:pPr>
    <w:r w:rsidRPr="00FD6D17">
      <w:rPr>
        <w:rFonts w:ascii="Calibri" w:hAnsi="Calibri" w:cs="Calibri"/>
        <w:sz w:val="20"/>
        <w:szCs w:val="20"/>
      </w:rPr>
      <w:t>-</w:t>
    </w:r>
    <w:r w:rsidRPr="00FD6D17">
      <w:rPr>
        <w:rStyle w:val="PageNumber"/>
        <w:rFonts w:ascii="Calibri" w:hAnsi="Calibri" w:cs="Calibri"/>
        <w:sz w:val="20"/>
        <w:szCs w:val="20"/>
      </w:rPr>
      <w:fldChar w:fldCharType="begin"/>
    </w:r>
    <w:r w:rsidRPr="00FD6D17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FD6D17">
      <w:rPr>
        <w:rStyle w:val="PageNumber"/>
        <w:rFonts w:ascii="Calibri" w:hAnsi="Calibri" w:cs="Calibri"/>
        <w:sz w:val="20"/>
        <w:szCs w:val="20"/>
      </w:rPr>
      <w:fldChar w:fldCharType="separate"/>
    </w:r>
    <w:r>
      <w:rPr>
        <w:rStyle w:val="PageNumber"/>
        <w:rFonts w:ascii="Calibri" w:hAnsi="Calibri" w:cs="Calibri"/>
        <w:noProof/>
        <w:sz w:val="20"/>
        <w:szCs w:val="20"/>
      </w:rPr>
      <w:t>2</w:t>
    </w:r>
    <w:r w:rsidRPr="00FD6D17">
      <w:rPr>
        <w:rStyle w:val="PageNumber"/>
        <w:rFonts w:ascii="Calibri" w:hAnsi="Calibri" w:cs="Calibri"/>
        <w:sz w:val="20"/>
        <w:szCs w:val="20"/>
      </w:rPr>
      <w:fldChar w:fldCharType="end"/>
    </w:r>
    <w:r w:rsidRPr="00FD6D17">
      <w:rPr>
        <w:rStyle w:val="PageNumber"/>
        <w:rFonts w:ascii="Calibri" w:hAnsi="Calibri" w:cs="Calibri"/>
        <w:sz w:val="20"/>
        <w:szCs w:val="20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2A" w:rsidRDefault="008B6F2A">
      <w:r>
        <w:separator/>
      </w:r>
    </w:p>
  </w:footnote>
  <w:footnote w:type="continuationSeparator" w:id="0">
    <w:p w:rsidR="008B6F2A" w:rsidRDefault="008B6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568A7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5321CA"/>
    <w:multiLevelType w:val="multilevel"/>
    <w:tmpl w:val="A2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F06BF"/>
    <w:multiLevelType w:val="hybridMultilevel"/>
    <w:tmpl w:val="E96A44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832A02"/>
    <w:multiLevelType w:val="multilevel"/>
    <w:tmpl w:val="25E2BA48"/>
    <w:lvl w:ilvl="0">
      <w:start w:val="7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 w:val="0"/>
        <w:iCs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4">
    <w:nsid w:val="0FB017F3"/>
    <w:multiLevelType w:val="hybridMultilevel"/>
    <w:tmpl w:val="F2A8BCDC"/>
    <w:lvl w:ilvl="0" w:tplc="FBA81776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114F7"/>
    <w:multiLevelType w:val="hybridMultilevel"/>
    <w:tmpl w:val="1CB837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134F6C"/>
    <w:multiLevelType w:val="hybridMultilevel"/>
    <w:tmpl w:val="4880D5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E2813FA"/>
    <w:multiLevelType w:val="hybridMultilevel"/>
    <w:tmpl w:val="2A5C57F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25F7401D"/>
    <w:multiLevelType w:val="hybridMultilevel"/>
    <w:tmpl w:val="AC7A4370"/>
    <w:lvl w:ilvl="0" w:tplc="B262F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4E15E2"/>
    <w:multiLevelType w:val="hybridMultilevel"/>
    <w:tmpl w:val="89561A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51130F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74220FD1"/>
    <w:multiLevelType w:val="hybridMultilevel"/>
    <w:tmpl w:val="0A500E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7124CC4"/>
    <w:multiLevelType w:val="hybridMultilevel"/>
    <w:tmpl w:val="74160FB0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7A6138FC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bCs/>
        <w:i w:val="0"/>
        <w:iCs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13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888"/>
    <w:rsid w:val="00006508"/>
    <w:rsid w:val="00014868"/>
    <w:rsid w:val="00021C43"/>
    <w:rsid w:val="00023E2A"/>
    <w:rsid w:val="00033A29"/>
    <w:rsid w:val="000449E8"/>
    <w:rsid w:val="000538CE"/>
    <w:rsid w:val="000A2AB9"/>
    <w:rsid w:val="000A4806"/>
    <w:rsid w:val="000C068C"/>
    <w:rsid w:val="000C65E4"/>
    <w:rsid w:val="000C7011"/>
    <w:rsid w:val="000D3CBB"/>
    <w:rsid w:val="000F2A94"/>
    <w:rsid w:val="000F3B94"/>
    <w:rsid w:val="001010FF"/>
    <w:rsid w:val="00102712"/>
    <w:rsid w:val="0010296D"/>
    <w:rsid w:val="001273E6"/>
    <w:rsid w:val="00132677"/>
    <w:rsid w:val="00132BB7"/>
    <w:rsid w:val="00135E6D"/>
    <w:rsid w:val="00140060"/>
    <w:rsid w:val="00142E1A"/>
    <w:rsid w:val="0015658D"/>
    <w:rsid w:val="00160092"/>
    <w:rsid w:val="001644BE"/>
    <w:rsid w:val="00187792"/>
    <w:rsid w:val="001A68D0"/>
    <w:rsid w:val="001B1515"/>
    <w:rsid w:val="001B4714"/>
    <w:rsid w:val="001C0C40"/>
    <w:rsid w:val="001C7506"/>
    <w:rsid w:val="001D025F"/>
    <w:rsid w:val="001E031D"/>
    <w:rsid w:val="001F04E1"/>
    <w:rsid w:val="001F26FC"/>
    <w:rsid w:val="001F2AB3"/>
    <w:rsid w:val="00200F41"/>
    <w:rsid w:val="00210A54"/>
    <w:rsid w:val="00212621"/>
    <w:rsid w:val="00214371"/>
    <w:rsid w:val="00226823"/>
    <w:rsid w:val="002421E3"/>
    <w:rsid w:val="0028182F"/>
    <w:rsid w:val="002924C9"/>
    <w:rsid w:val="002A2AAA"/>
    <w:rsid w:val="002A2EF7"/>
    <w:rsid w:val="002B7FA3"/>
    <w:rsid w:val="002D6730"/>
    <w:rsid w:val="002E46F0"/>
    <w:rsid w:val="002F035B"/>
    <w:rsid w:val="00303E73"/>
    <w:rsid w:val="00306BDC"/>
    <w:rsid w:val="00307526"/>
    <w:rsid w:val="00315FCC"/>
    <w:rsid w:val="00331134"/>
    <w:rsid w:val="00332716"/>
    <w:rsid w:val="0033278B"/>
    <w:rsid w:val="00353377"/>
    <w:rsid w:val="00362916"/>
    <w:rsid w:val="00391F22"/>
    <w:rsid w:val="00392B8E"/>
    <w:rsid w:val="00393DB5"/>
    <w:rsid w:val="003A5D5A"/>
    <w:rsid w:val="003C0819"/>
    <w:rsid w:val="003E78C0"/>
    <w:rsid w:val="003F5BD8"/>
    <w:rsid w:val="00404B85"/>
    <w:rsid w:val="00410C6A"/>
    <w:rsid w:val="00420AB6"/>
    <w:rsid w:val="00422EFD"/>
    <w:rsid w:val="004540C4"/>
    <w:rsid w:val="00454D27"/>
    <w:rsid w:val="00464663"/>
    <w:rsid w:val="00466A1F"/>
    <w:rsid w:val="004706F6"/>
    <w:rsid w:val="004716EB"/>
    <w:rsid w:val="004743A0"/>
    <w:rsid w:val="00476096"/>
    <w:rsid w:val="004947D4"/>
    <w:rsid w:val="004A42E1"/>
    <w:rsid w:val="004A69C7"/>
    <w:rsid w:val="004A7896"/>
    <w:rsid w:val="004B1B67"/>
    <w:rsid w:val="004B33E4"/>
    <w:rsid w:val="004C560D"/>
    <w:rsid w:val="004D0531"/>
    <w:rsid w:val="00502364"/>
    <w:rsid w:val="005045B2"/>
    <w:rsid w:val="005265E0"/>
    <w:rsid w:val="00543505"/>
    <w:rsid w:val="00552AF2"/>
    <w:rsid w:val="00554828"/>
    <w:rsid w:val="005660CB"/>
    <w:rsid w:val="00576D92"/>
    <w:rsid w:val="005A28C1"/>
    <w:rsid w:val="005A55D5"/>
    <w:rsid w:val="005C4392"/>
    <w:rsid w:val="005D37C6"/>
    <w:rsid w:val="00616702"/>
    <w:rsid w:val="0062434D"/>
    <w:rsid w:val="006407CF"/>
    <w:rsid w:val="00647188"/>
    <w:rsid w:val="00647624"/>
    <w:rsid w:val="00647AC1"/>
    <w:rsid w:val="00654AD7"/>
    <w:rsid w:val="00662738"/>
    <w:rsid w:val="00663FCF"/>
    <w:rsid w:val="006778D1"/>
    <w:rsid w:val="00681888"/>
    <w:rsid w:val="006925A6"/>
    <w:rsid w:val="00696CB0"/>
    <w:rsid w:val="006A6F78"/>
    <w:rsid w:val="006B1272"/>
    <w:rsid w:val="006B3DD3"/>
    <w:rsid w:val="006C0A5A"/>
    <w:rsid w:val="006D6AE2"/>
    <w:rsid w:val="007122BE"/>
    <w:rsid w:val="0071722A"/>
    <w:rsid w:val="007267C0"/>
    <w:rsid w:val="007356BB"/>
    <w:rsid w:val="00737B4A"/>
    <w:rsid w:val="00750E11"/>
    <w:rsid w:val="0075197F"/>
    <w:rsid w:val="00792BE8"/>
    <w:rsid w:val="00797E7A"/>
    <w:rsid w:val="007C3E0D"/>
    <w:rsid w:val="007C7B69"/>
    <w:rsid w:val="007D431C"/>
    <w:rsid w:val="007E6DD9"/>
    <w:rsid w:val="007E72BF"/>
    <w:rsid w:val="007F2C88"/>
    <w:rsid w:val="00803206"/>
    <w:rsid w:val="00803BF8"/>
    <w:rsid w:val="00804958"/>
    <w:rsid w:val="0081430D"/>
    <w:rsid w:val="00844155"/>
    <w:rsid w:val="00853419"/>
    <w:rsid w:val="00853906"/>
    <w:rsid w:val="00860D75"/>
    <w:rsid w:val="00865242"/>
    <w:rsid w:val="008803CE"/>
    <w:rsid w:val="00883B2E"/>
    <w:rsid w:val="00887D2A"/>
    <w:rsid w:val="008966A8"/>
    <w:rsid w:val="008A63E4"/>
    <w:rsid w:val="008B67BC"/>
    <w:rsid w:val="008B6F2A"/>
    <w:rsid w:val="008C2FED"/>
    <w:rsid w:val="008E227F"/>
    <w:rsid w:val="008F0FF5"/>
    <w:rsid w:val="0090705F"/>
    <w:rsid w:val="00911391"/>
    <w:rsid w:val="00911CC1"/>
    <w:rsid w:val="00913113"/>
    <w:rsid w:val="00915E04"/>
    <w:rsid w:val="00925560"/>
    <w:rsid w:val="009358D4"/>
    <w:rsid w:val="009452F8"/>
    <w:rsid w:val="00956926"/>
    <w:rsid w:val="0095798B"/>
    <w:rsid w:val="009616A8"/>
    <w:rsid w:val="0097678B"/>
    <w:rsid w:val="0099313B"/>
    <w:rsid w:val="009D4176"/>
    <w:rsid w:val="009E2345"/>
    <w:rsid w:val="009F38E6"/>
    <w:rsid w:val="009F74E6"/>
    <w:rsid w:val="00A00939"/>
    <w:rsid w:val="00A02F27"/>
    <w:rsid w:val="00A0676E"/>
    <w:rsid w:val="00A07355"/>
    <w:rsid w:val="00A45286"/>
    <w:rsid w:val="00A45939"/>
    <w:rsid w:val="00A51719"/>
    <w:rsid w:val="00A71C36"/>
    <w:rsid w:val="00A93F1B"/>
    <w:rsid w:val="00A94F3D"/>
    <w:rsid w:val="00AA637B"/>
    <w:rsid w:val="00AB6D69"/>
    <w:rsid w:val="00AC3CE8"/>
    <w:rsid w:val="00AC7458"/>
    <w:rsid w:val="00AE11BE"/>
    <w:rsid w:val="00AF061D"/>
    <w:rsid w:val="00AF07D9"/>
    <w:rsid w:val="00AF0EA7"/>
    <w:rsid w:val="00AF146E"/>
    <w:rsid w:val="00AF171C"/>
    <w:rsid w:val="00B12329"/>
    <w:rsid w:val="00B15B2B"/>
    <w:rsid w:val="00B20996"/>
    <w:rsid w:val="00B24FA8"/>
    <w:rsid w:val="00B26DAB"/>
    <w:rsid w:val="00B3278A"/>
    <w:rsid w:val="00B374BA"/>
    <w:rsid w:val="00B41C4C"/>
    <w:rsid w:val="00B47E50"/>
    <w:rsid w:val="00B52180"/>
    <w:rsid w:val="00B758BA"/>
    <w:rsid w:val="00B86FA6"/>
    <w:rsid w:val="00B90E99"/>
    <w:rsid w:val="00B93F65"/>
    <w:rsid w:val="00BA2886"/>
    <w:rsid w:val="00BA37B3"/>
    <w:rsid w:val="00BB33B7"/>
    <w:rsid w:val="00BB5D3F"/>
    <w:rsid w:val="00BC5098"/>
    <w:rsid w:val="00BF1B5D"/>
    <w:rsid w:val="00C01F94"/>
    <w:rsid w:val="00C03DFE"/>
    <w:rsid w:val="00C05078"/>
    <w:rsid w:val="00C341C0"/>
    <w:rsid w:val="00C4093A"/>
    <w:rsid w:val="00C70537"/>
    <w:rsid w:val="00C821AB"/>
    <w:rsid w:val="00C8294F"/>
    <w:rsid w:val="00C85EDA"/>
    <w:rsid w:val="00CA55EB"/>
    <w:rsid w:val="00CB0E5D"/>
    <w:rsid w:val="00CB75B5"/>
    <w:rsid w:val="00CC551A"/>
    <w:rsid w:val="00CE09E7"/>
    <w:rsid w:val="00CE2E95"/>
    <w:rsid w:val="00CF5929"/>
    <w:rsid w:val="00D00100"/>
    <w:rsid w:val="00D15303"/>
    <w:rsid w:val="00D30AC7"/>
    <w:rsid w:val="00D43C00"/>
    <w:rsid w:val="00D45B56"/>
    <w:rsid w:val="00D5224B"/>
    <w:rsid w:val="00D7613C"/>
    <w:rsid w:val="00D81A92"/>
    <w:rsid w:val="00D84B09"/>
    <w:rsid w:val="00D86ECF"/>
    <w:rsid w:val="00D9100B"/>
    <w:rsid w:val="00D92096"/>
    <w:rsid w:val="00DB05ED"/>
    <w:rsid w:val="00DB097B"/>
    <w:rsid w:val="00DB66C4"/>
    <w:rsid w:val="00DB7678"/>
    <w:rsid w:val="00DC5F0E"/>
    <w:rsid w:val="00DD27D2"/>
    <w:rsid w:val="00DD7D84"/>
    <w:rsid w:val="00E16A44"/>
    <w:rsid w:val="00E226B4"/>
    <w:rsid w:val="00E27EDF"/>
    <w:rsid w:val="00E36A6D"/>
    <w:rsid w:val="00E40051"/>
    <w:rsid w:val="00E4334F"/>
    <w:rsid w:val="00E4745E"/>
    <w:rsid w:val="00E61AD1"/>
    <w:rsid w:val="00E62BB7"/>
    <w:rsid w:val="00E804E7"/>
    <w:rsid w:val="00E8275B"/>
    <w:rsid w:val="00E8297B"/>
    <w:rsid w:val="00E83C84"/>
    <w:rsid w:val="00E84647"/>
    <w:rsid w:val="00E85C4E"/>
    <w:rsid w:val="00E91629"/>
    <w:rsid w:val="00EA1054"/>
    <w:rsid w:val="00EB2D05"/>
    <w:rsid w:val="00EB33DE"/>
    <w:rsid w:val="00EC554B"/>
    <w:rsid w:val="00ED4F34"/>
    <w:rsid w:val="00F11BC4"/>
    <w:rsid w:val="00F224DE"/>
    <w:rsid w:val="00F2594E"/>
    <w:rsid w:val="00F35B9E"/>
    <w:rsid w:val="00F444AA"/>
    <w:rsid w:val="00F45E7E"/>
    <w:rsid w:val="00F52D79"/>
    <w:rsid w:val="00F60022"/>
    <w:rsid w:val="00F61214"/>
    <w:rsid w:val="00F63D31"/>
    <w:rsid w:val="00F718C9"/>
    <w:rsid w:val="00F80BE8"/>
    <w:rsid w:val="00FA34CC"/>
    <w:rsid w:val="00FA5F16"/>
    <w:rsid w:val="00FB0FD3"/>
    <w:rsid w:val="00FB5164"/>
    <w:rsid w:val="00FD699A"/>
    <w:rsid w:val="00FD6D17"/>
    <w:rsid w:val="00FF0ABA"/>
    <w:rsid w:val="00FF0F5F"/>
    <w:rsid w:val="00FF2219"/>
    <w:rsid w:val="00FF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6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E16A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7011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540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701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40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701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A55EB"/>
  </w:style>
  <w:style w:type="paragraph" w:customStyle="1" w:styleId="Default">
    <w:name w:val="Default"/>
    <w:uiPriority w:val="99"/>
    <w:rsid w:val="002E46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Calibri11bTunPed12bZa6bPolejednod">
    <w:name w:val="Styl Calibri 11 b. Tučné Před:  12 b. Za:  6 b. Pole: (jednod..."/>
    <w:basedOn w:val="Normal"/>
    <w:uiPriority w:val="99"/>
    <w:rsid w:val="00E8275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120"/>
    </w:pPr>
    <w:rPr>
      <w:rFonts w:ascii="Calibri" w:hAnsi="Calibri" w:cs="Calibr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B86F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86FA6"/>
    <w:rPr>
      <w:color w:val="800080"/>
      <w:u w:val="single"/>
    </w:rPr>
  </w:style>
  <w:style w:type="paragraph" w:customStyle="1" w:styleId="CharChar1">
    <w:name w:val="Char Char1"/>
    <w:basedOn w:val="Normal"/>
    <w:uiPriority w:val="99"/>
    <w:rsid w:val="00D84B0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5">
    <w:name w:val="Char Char5"/>
    <w:basedOn w:val="Normal"/>
    <w:uiPriority w:val="99"/>
    <w:rsid w:val="00331134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uiPriority w:val="99"/>
    <w:rsid w:val="00AC3C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06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11"/>
    <w:rPr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654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4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0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4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011"/>
    <w:rPr>
      <w:b/>
      <w:bCs/>
    </w:rPr>
  </w:style>
  <w:style w:type="character" w:customStyle="1" w:styleId="data1">
    <w:name w:val="data1"/>
    <w:basedOn w:val="DefaultParagraphFont"/>
    <w:uiPriority w:val="99"/>
    <w:rsid w:val="00DB7678"/>
    <w:rPr>
      <w:rFonts w:ascii="Arial" w:hAnsi="Arial" w:cs="Arial"/>
      <w:b/>
      <w:bCs/>
      <w:sz w:val="20"/>
      <w:szCs w:val="20"/>
      <w:shd w:val="clear" w:color="auto" w:fill="EEEEEE"/>
    </w:rPr>
  </w:style>
  <w:style w:type="paragraph" w:customStyle="1" w:styleId="Char1CharCharChar">
    <w:name w:val="Char1 Char Char Char"/>
    <w:basedOn w:val="Normal"/>
    <w:uiPriority w:val="99"/>
    <w:rsid w:val="0095798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leading3L2">
    <w:name w:val="Pleading3_L2"/>
    <w:basedOn w:val="Normal"/>
    <w:next w:val="BodyText"/>
    <w:uiPriority w:val="99"/>
    <w:rsid w:val="007E72BF"/>
    <w:pPr>
      <w:widowControl w:val="0"/>
      <w:numPr>
        <w:ilvl w:val="1"/>
        <w:numId w:val="11"/>
      </w:numPr>
      <w:spacing w:before="240"/>
      <w:jc w:val="both"/>
      <w:outlineLvl w:val="1"/>
    </w:pPr>
    <w:rPr>
      <w:lang w:eastAsia="en-US"/>
    </w:rPr>
  </w:style>
  <w:style w:type="paragraph" w:styleId="BodyText">
    <w:name w:val="Body Text"/>
    <w:basedOn w:val="Normal"/>
    <w:link w:val="BodyTextChar"/>
    <w:uiPriority w:val="99"/>
    <w:rsid w:val="007E72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A28C1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A2EF7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09E7"/>
    <w:rPr>
      <w:sz w:val="24"/>
      <w:szCs w:val="24"/>
    </w:rPr>
  </w:style>
  <w:style w:type="table" w:styleId="TableGrid">
    <w:name w:val="Table Grid"/>
    <w:basedOn w:val="TableNormal"/>
    <w:uiPriority w:val="99"/>
    <w:rsid w:val="002A2E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473</Words>
  <Characters>2791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votroubekm</dc:creator>
  <cp:keywords/>
  <dc:description/>
  <cp:lastModifiedBy>votroubekm</cp:lastModifiedBy>
  <cp:revision>5</cp:revision>
  <cp:lastPrinted>2019-02-05T09:01:00Z</cp:lastPrinted>
  <dcterms:created xsi:type="dcterms:W3CDTF">2019-02-05T09:00:00Z</dcterms:created>
  <dcterms:modified xsi:type="dcterms:W3CDTF">2019-02-15T11:38:00Z</dcterms:modified>
</cp:coreProperties>
</file>