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AC" w:rsidRDefault="00C52C39">
      <w:pPr>
        <w:spacing w:after="452" w:line="300" w:lineRule="auto"/>
        <w:ind w:left="2735" w:right="2054" w:firstLine="0"/>
        <w:jc w:val="center"/>
      </w:pPr>
      <w:r>
        <w:rPr>
          <w:b/>
          <w:sz w:val="32"/>
        </w:rPr>
        <w:t>Smlouva o nájmu nebytových prostor podle zákona č. 89/2012 Sb., Občanský zákoník</w:t>
      </w:r>
    </w:p>
    <w:p w:rsidR="00BE5BAC" w:rsidRDefault="00C52C39">
      <w:pPr>
        <w:spacing w:after="318"/>
        <w:ind w:left="562"/>
      </w:pPr>
      <w:r>
        <w:t>uzavřená mezi smluvními stranami:</w:t>
      </w:r>
    </w:p>
    <w:p w:rsidR="00BE5BAC" w:rsidRDefault="00C52C39">
      <w:pPr>
        <w:spacing w:after="71" w:line="259" w:lineRule="auto"/>
        <w:ind w:left="562"/>
        <w:jc w:val="left"/>
      </w:pPr>
      <w:r>
        <w:rPr>
          <w:b/>
        </w:rPr>
        <w:t>Centrum experimentálního divadla, příspěvková organizace</w:t>
      </w:r>
    </w:p>
    <w:p w:rsidR="00BE5BAC" w:rsidRDefault="00C52C39">
      <w:pPr>
        <w:spacing w:after="71" w:line="259" w:lineRule="auto"/>
        <w:ind w:left="562"/>
        <w:jc w:val="left"/>
      </w:pPr>
      <w:r>
        <w:rPr>
          <w:b/>
        </w:rPr>
        <w:t>Středisko Divadlo Husa na provázku</w:t>
      </w:r>
    </w:p>
    <w:p w:rsidR="00BE5BAC" w:rsidRDefault="00C52C39">
      <w:pPr>
        <w:spacing w:after="106" w:line="259" w:lineRule="auto"/>
        <w:ind w:left="562"/>
        <w:jc w:val="left"/>
      </w:pPr>
      <w:r>
        <w:t xml:space="preserve">Se sídlem </w:t>
      </w:r>
      <w:r>
        <w:rPr>
          <w:b/>
        </w:rPr>
        <w:t>Zelný trh 294/9, Brno 60200</w:t>
      </w:r>
    </w:p>
    <w:p w:rsidR="00BE5BAC" w:rsidRDefault="00C52C39">
      <w:pPr>
        <w:tabs>
          <w:tab w:val="center" w:pos="1132"/>
          <w:tab w:val="center" w:pos="3345"/>
        </w:tabs>
        <w:spacing w:after="7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IČ: </w:t>
      </w:r>
      <w:r>
        <w:rPr>
          <w:b/>
        </w:rPr>
        <w:t>00400921</w:t>
      </w:r>
      <w:r>
        <w:rPr>
          <w:b/>
        </w:rPr>
        <w:tab/>
      </w:r>
      <w:r>
        <w:t xml:space="preserve">DIČ: </w:t>
      </w:r>
      <w:r>
        <w:rPr>
          <w:b/>
        </w:rPr>
        <w:t>CZ00400921</w:t>
      </w:r>
    </w:p>
    <w:p w:rsidR="00BE5BAC" w:rsidRDefault="00C52C39">
      <w:pPr>
        <w:spacing w:after="62"/>
        <w:ind w:left="562"/>
      </w:pPr>
      <w:r>
        <w:t xml:space="preserve">Spisová značka vedená u rejstříkového soudu v Brně </w:t>
      </w:r>
      <w:proofErr w:type="spellStart"/>
      <w:r>
        <w:t>Pr</w:t>
      </w:r>
      <w:proofErr w:type="spellEnd"/>
      <w:r>
        <w:t>. 29</w:t>
      </w:r>
    </w:p>
    <w:p w:rsidR="00BE5BAC" w:rsidRDefault="00C52C39">
      <w:pPr>
        <w:spacing w:after="340" w:line="327" w:lineRule="auto"/>
        <w:ind w:left="562" w:right="6056"/>
        <w:jc w:val="left"/>
      </w:pPr>
      <w:r>
        <w:t xml:space="preserve">Bankovní spojení: </w:t>
      </w:r>
      <w:r>
        <w:rPr>
          <w:b/>
        </w:rPr>
        <w:t xml:space="preserve">86532-621/0100 KB </w:t>
      </w:r>
      <w:proofErr w:type="gramStart"/>
      <w:r>
        <w:rPr>
          <w:b/>
        </w:rPr>
        <w:t>Brno - město</w:t>
      </w:r>
      <w:proofErr w:type="gramEnd"/>
      <w:r>
        <w:rPr>
          <w:b/>
        </w:rPr>
        <w:t xml:space="preserve"> </w:t>
      </w:r>
      <w:r>
        <w:t xml:space="preserve">Jednající: </w:t>
      </w:r>
      <w:r>
        <w:rPr>
          <w:b/>
        </w:rPr>
        <w:t xml:space="preserve">MgA. Miroslav Oščatka, ředitel </w:t>
      </w:r>
      <w:r>
        <w:t xml:space="preserve">dále jen </w:t>
      </w:r>
      <w:r>
        <w:rPr>
          <w:i/>
        </w:rPr>
        <w:t>pronajímatel</w:t>
      </w:r>
    </w:p>
    <w:p w:rsidR="00BE5BAC" w:rsidRDefault="00C52C39">
      <w:pPr>
        <w:spacing w:after="403"/>
        <w:ind w:left="562"/>
      </w:pPr>
      <w:r>
        <w:t>a</w:t>
      </w:r>
    </w:p>
    <w:p w:rsidR="00BE5BAC" w:rsidRDefault="00C52C39">
      <w:pPr>
        <w:spacing w:after="71" w:line="259" w:lineRule="auto"/>
        <w:ind w:left="562"/>
        <w:jc w:val="left"/>
      </w:pPr>
      <w:r>
        <w:rPr>
          <w:b/>
        </w:rPr>
        <w:t>JAZZFESTBRNO, o.p.s.</w:t>
      </w:r>
    </w:p>
    <w:p w:rsidR="00BE5BAC" w:rsidRDefault="00C52C39">
      <w:pPr>
        <w:spacing w:after="106" w:line="259" w:lineRule="auto"/>
        <w:ind w:left="562"/>
        <w:jc w:val="left"/>
      </w:pPr>
      <w:r>
        <w:t xml:space="preserve">Se sídlem </w:t>
      </w:r>
      <w:r>
        <w:rPr>
          <w:b/>
        </w:rPr>
        <w:t>Koláčkova 21, 621 00 Brno</w:t>
      </w:r>
    </w:p>
    <w:p w:rsidR="00BE5BAC" w:rsidRDefault="00C52C39">
      <w:pPr>
        <w:tabs>
          <w:tab w:val="center" w:pos="1132"/>
          <w:tab w:val="center" w:pos="2765"/>
        </w:tabs>
        <w:spacing w:after="40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IČ: </w:t>
      </w:r>
      <w:r>
        <w:rPr>
          <w:b/>
        </w:rPr>
        <w:t>27028194</w:t>
      </w:r>
      <w:r>
        <w:rPr>
          <w:b/>
        </w:rPr>
        <w:tab/>
      </w:r>
      <w:r>
        <w:t xml:space="preserve">DIČ: </w:t>
      </w:r>
    </w:p>
    <w:p w:rsidR="00BE5BAC" w:rsidRDefault="00C52C39">
      <w:pPr>
        <w:spacing w:after="0" w:line="327" w:lineRule="auto"/>
        <w:ind w:left="562" w:right="7221"/>
      </w:pPr>
      <w:r>
        <w:t xml:space="preserve">Jednající: </w:t>
      </w:r>
      <w:r>
        <w:rPr>
          <w:b/>
        </w:rPr>
        <w:t xml:space="preserve">MgA. Vilémem Spilkou </w:t>
      </w:r>
      <w:r>
        <w:t xml:space="preserve">Číslo účtu: </w:t>
      </w:r>
    </w:p>
    <w:p w:rsidR="00BE5BAC" w:rsidRDefault="00C52C39">
      <w:pPr>
        <w:spacing w:after="71" w:line="259" w:lineRule="auto"/>
        <w:ind w:left="562"/>
        <w:jc w:val="left"/>
      </w:pPr>
      <w:r>
        <w:rPr>
          <w:b/>
        </w:rPr>
        <w:t>Subjekt není plátcem DPH</w:t>
      </w:r>
    </w:p>
    <w:p w:rsidR="00BE5BAC" w:rsidRDefault="00C52C39">
      <w:pPr>
        <w:spacing w:after="1055"/>
        <w:ind w:left="562"/>
      </w:pPr>
      <w:r>
        <w:t xml:space="preserve">dále jen </w:t>
      </w:r>
      <w:r>
        <w:rPr>
          <w:i/>
        </w:rPr>
        <w:t>nájemce</w:t>
      </w:r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I.</w:t>
      </w:r>
    </w:p>
    <w:p w:rsidR="00BE5BAC" w:rsidRDefault="00C52C39">
      <w:pPr>
        <w:spacing w:after="571"/>
        <w:ind w:left="562"/>
      </w:pPr>
      <w:r>
        <w:t xml:space="preserve">Pronajímatel prohlašuje, že má na základě zřizovací listiny svěřenu do správy nemovitost v </w:t>
      </w:r>
      <w:proofErr w:type="spellStart"/>
      <w:r>
        <w:t>k.ú</w:t>
      </w:r>
      <w:proofErr w:type="spellEnd"/>
      <w:r>
        <w:t xml:space="preserve">. Město Brno (objekt občanské vybavenosti čís. Popisné 294 na ulici Zelný trh 9, Petrská 2, na pozemcích </w:t>
      </w:r>
      <w:proofErr w:type="spellStart"/>
      <w:r>
        <w:t>parc</w:t>
      </w:r>
      <w:proofErr w:type="spellEnd"/>
      <w:r>
        <w:t xml:space="preserve">. č. 385/1 a 384 </w:t>
      </w:r>
      <w:proofErr w:type="spellStart"/>
      <w:r>
        <w:t>k.ú</w:t>
      </w:r>
      <w:proofErr w:type="spellEnd"/>
      <w:r>
        <w:t xml:space="preserve">. Město Brno, obec Brno, zapsané v katastru nemovitostí u Katastrálního úřadu </w:t>
      </w:r>
      <w:proofErr w:type="gramStart"/>
      <w:r>
        <w:t>Brno - město</w:t>
      </w:r>
      <w:proofErr w:type="gramEnd"/>
      <w:r>
        <w:t xml:space="preserve"> – jedná se o objekt Domu pánů z </w:t>
      </w:r>
      <w:proofErr w:type="spellStart"/>
      <w:r>
        <w:t>Fanalu</w:t>
      </w:r>
      <w:proofErr w:type="spellEnd"/>
      <w:r>
        <w:t xml:space="preserve">, Novou a venkovní scénu) a na základě této zřizovací listiny má právo uzavírat nájemní smlouvy o krátkodobém nájmu tohoto majetku. </w:t>
      </w:r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II.</w:t>
      </w:r>
    </w:p>
    <w:p w:rsidR="00BE5BAC" w:rsidRDefault="00C52C39">
      <w:pPr>
        <w:spacing w:after="50" w:line="259" w:lineRule="auto"/>
        <w:ind w:left="690"/>
        <w:jc w:val="center"/>
      </w:pPr>
      <w:r>
        <w:rPr>
          <w:b/>
        </w:rPr>
        <w:t>Předmět nájmu</w:t>
      </w:r>
    </w:p>
    <w:p w:rsidR="00BE5BAC" w:rsidRDefault="00C52C39">
      <w:pPr>
        <w:numPr>
          <w:ilvl w:val="0"/>
          <w:numId w:val="1"/>
        </w:numPr>
        <w:spacing w:after="6"/>
        <w:ind w:hanging="435"/>
      </w:pPr>
      <w:r>
        <w:t>Předmětem nájmu jsou dále uvedené prostory:</w:t>
      </w:r>
    </w:p>
    <w:p w:rsidR="00BE5BAC" w:rsidRDefault="00C52C39">
      <w:pPr>
        <w:spacing w:after="44" w:line="259" w:lineRule="auto"/>
        <w:ind w:left="1031"/>
        <w:jc w:val="left"/>
      </w:pPr>
      <w:r>
        <w:rPr>
          <w:b/>
        </w:rPr>
        <w:t>Velký sál, foyer velkého sálu</w:t>
      </w:r>
    </w:p>
    <w:p w:rsidR="00BE5BAC" w:rsidRDefault="00C52C39">
      <w:pPr>
        <w:numPr>
          <w:ilvl w:val="0"/>
          <w:numId w:val="1"/>
        </w:numPr>
        <w:spacing w:after="568"/>
        <w:ind w:hanging="435"/>
      </w:pPr>
      <w:r>
        <w:t>Nájemce prohlašuje, že se s předmětem nájmu podle této smlouvy podrobně seznámil a prohlašuje, že předmět nájmu je způsobilý k účelu užívání.</w:t>
      </w:r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III.</w:t>
      </w:r>
    </w:p>
    <w:p w:rsidR="00BE5BAC" w:rsidRDefault="00C52C39">
      <w:pPr>
        <w:spacing w:after="4"/>
        <w:ind w:left="552" w:right="3457" w:firstLine="3983"/>
      </w:pPr>
      <w:r>
        <w:rPr>
          <w:b/>
        </w:rPr>
        <w:t xml:space="preserve">Účel užívání v průběhu nájmu </w:t>
      </w:r>
      <w:r>
        <w:t>Výše uvedený předmět nájmu bude využíván výlučně pro:</w:t>
      </w:r>
    </w:p>
    <w:p w:rsidR="00BE5BAC" w:rsidRDefault="00C52C39">
      <w:pPr>
        <w:spacing w:after="14" w:line="259" w:lineRule="auto"/>
        <w:ind w:left="562"/>
        <w:jc w:val="left"/>
      </w:pPr>
      <w:r>
        <w:rPr>
          <w:b/>
        </w:rPr>
        <w:t xml:space="preserve">Koncert vítězů </w:t>
      </w:r>
      <w:proofErr w:type="spellStart"/>
      <w:r>
        <w:rPr>
          <w:b/>
        </w:rPr>
        <w:t>Central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Jazz </w:t>
      </w:r>
      <w:proofErr w:type="spellStart"/>
      <w:r>
        <w:rPr>
          <w:b/>
        </w:rPr>
        <w:t>Competition</w:t>
      </w:r>
      <w:proofErr w:type="spellEnd"/>
      <w:r>
        <w:rPr>
          <w:b/>
        </w:rPr>
        <w:t xml:space="preserve"> v rámci projektu pod názvem CENTRAL EUROPEAN JAZZ</w:t>
      </w:r>
    </w:p>
    <w:p w:rsidR="00BE5BAC" w:rsidRDefault="00C52C39">
      <w:pPr>
        <w:spacing w:after="71" w:line="259" w:lineRule="auto"/>
        <w:ind w:left="562"/>
        <w:jc w:val="left"/>
      </w:pPr>
      <w:r>
        <w:rPr>
          <w:b/>
        </w:rPr>
        <w:t xml:space="preserve">COMPETITION, pod číslem projektu KPF - </w:t>
      </w:r>
      <w:proofErr w:type="gramStart"/>
      <w:r>
        <w:rPr>
          <w:b/>
        </w:rPr>
        <w:t>02 – 042</w:t>
      </w:r>
      <w:proofErr w:type="gramEnd"/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IV.</w:t>
      </w:r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lastRenderedPageBreak/>
        <w:t>Doba nájmu</w:t>
      </w:r>
    </w:p>
    <w:p w:rsidR="00BE5BAC" w:rsidRDefault="00C52C39">
      <w:pPr>
        <w:spacing w:after="6"/>
        <w:ind w:left="562"/>
      </w:pPr>
      <w:r>
        <w:t>Dobu nájmu dohodly smluvní strany v následujícím termínu:</w:t>
      </w:r>
    </w:p>
    <w:p w:rsidR="00BE5BAC" w:rsidRDefault="00C52C39">
      <w:pPr>
        <w:spacing w:after="289"/>
        <w:ind w:left="562"/>
      </w:pPr>
      <w:r>
        <w:t xml:space="preserve">Zahájení dne </w:t>
      </w:r>
      <w:r>
        <w:rPr>
          <w:b/>
        </w:rPr>
        <w:t>31. 3. 2019</w:t>
      </w:r>
      <w:r>
        <w:t xml:space="preserve"> od </w:t>
      </w:r>
      <w:r>
        <w:rPr>
          <w:b/>
        </w:rPr>
        <w:t>10:00</w:t>
      </w:r>
      <w:r>
        <w:t xml:space="preserve"> hod., ukončení dne </w:t>
      </w:r>
      <w:r>
        <w:rPr>
          <w:b/>
        </w:rPr>
        <w:t>31. 3. 2019</w:t>
      </w:r>
      <w:r>
        <w:t xml:space="preserve"> do </w:t>
      </w:r>
      <w:r>
        <w:rPr>
          <w:b/>
        </w:rPr>
        <w:t>23:30</w:t>
      </w:r>
      <w:r>
        <w:t xml:space="preserve"> hod.</w:t>
      </w:r>
    </w:p>
    <w:p w:rsidR="00BE5BAC" w:rsidRDefault="00C52C39">
      <w:pPr>
        <w:spacing w:after="571"/>
        <w:ind w:left="562" w:right="2744"/>
      </w:pPr>
      <w:r>
        <w:t xml:space="preserve">Předání pronajatých prostor proběhne po skončení akce: dne </w:t>
      </w:r>
      <w:r>
        <w:rPr>
          <w:b/>
        </w:rPr>
        <w:t>31. 3. 2019</w:t>
      </w:r>
      <w:r>
        <w:t xml:space="preserve"> ve </w:t>
      </w:r>
      <w:r>
        <w:rPr>
          <w:b/>
        </w:rPr>
        <w:t>0:00</w:t>
      </w:r>
      <w:r>
        <w:t xml:space="preserve"> hod. Prostor bude předán: </w:t>
      </w:r>
      <w:proofErr w:type="spellStart"/>
      <w:r w:rsidR="008424C4">
        <w:rPr>
          <w:b/>
        </w:rPr>
        <w:t>xxxx</w:t>
      </w:r>
      <w:proofErr w:type="spellEnd"/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V.</w:t>
      </w:r>
    </w:p>
    <w:p w:rsidR="00BE5BAC" w:rsidRDefault="00C52C39">
      <w:pPr>
        <w:spacing w:after="44" w:line="259" w:lineRule="auto"/>
        <w:ind w:left="690"/>
        <w:jc w:val="center"/>
      </w:pPr>
      <w:r>
        <w:rPr>
          <w:b/>
        </w:rPr>
        <w:t>Práva a povinnosti pronajímatele a nájemce</w:t>
      </w:r>
    </w:p>
    <w:p w:rsidR="00BE5BAC" w:rsidRDefault="00C52C39">
      <w:pPr>
        <w:numPr>
          <w:ilvl w:val="0"/>
          <w:numId w:val="2"/>
        </w:numPr>
        <w:ind w:hanging="435"/>
      </w:pPr>
      <w:r>
        <w:t xml:space="preserve">Nájemce se zavazuje užívat pronajaté prostory a zařízení běžným </w:t>
      </w:r>
      <w:proofErr w:type="gramStart"/>
      <w:r>
        <w:t>způsobem</w:t>
      </w:r>
      <w:proofErr w:type="gramEnd"/>
      <w:r>
        <w:t xml:space="preserve"> a to pouze ke smluvenému účelu používání a v rozsahu dohodnutém v této smlouvě.</w:t>
      </w:r>
    </w:p>
    <w:p w:rsidR="00BE5BAC" w:rsidRDefault="00C52C39">
      <w:pPr>
        <w:numPr>
          <w:ilvl w:val="0"/>
          <w:numId w:val="2"/>
        </w:numPr>
        <w:ind w:hanging="435"/>
      </w:pPr>
      <w:r>
        <w:t>Nájemce nemá právo přenechat předmět nájmu jinému subjektu ani sjednávat podnájem.</w:t>
      </w:r>
    </w:p>
    <w:p w:rsidR="00BE5BAC" w:rsidRDefault="00C52C39">
      <w:pPr>
        <w:numPr>
          <w:ilvl w:val="0"/>
          <w:numId w:val="2"/>
        </w:numPr>
        <w:ind w:hanging="435"/>
      </w:pPr>
      <w:r>
        <w:t>Převzetí a předání předmětu nájmu bude protokolováno v zápisu potvrzeném podpisy obou stran.</w:t>
      </w:r>
    </w:p>
    <w:p w:rsidR="00BE5BAC" w:rsidRDefault="00C52C39">
      <w:pPr>
        <w:numPr>
          <w:ilvl w:val="0"/>
          <w:numId w:val="2"/>
        </w:numPr>
        <w:ind w:hanging="435"/>
      </w:pPr>
      <w:r>
        <w:t>Součástí užívání, které zajistí pronajímatel je i:</w:t>
      </w:r>
    </w:p>
    <w:p w:rsidR="00BE5BAC" w:rsidRDefault="00C52C39">
      <w:pPr>
        <w:numPr>
          <w:ilvl w:val="1"/>
          <w:numId w:val="2"/>
        </w:numPr>
        <w:spacing w:after="6"/>
        <w:ind w:hanging="133"/>
      </w:pPr>
      <w:r>
        <w:t xml:space="preserve">připojení na elektrickou síť </w:t>
      </w:r>
      <w:proofErr w:type="gramStart"/>
      <w:r>
        <w:t>220V</w:t>
      </w:r>
      <w:proofErr w:type="gramEnd"/>
      <w:r>
        <w:t>, příp. 380V</w:t>
      </w:r>
    </w:p>
    <w:p w:rsidR="00BE5BAC" w:rsidRDefault="00C52C39">
      <w:pPr>
        <w:numPr>
          <w:ilvl w:val="1"/>
          <w:numId w:val="2"/>
        </w:numPr>
        <w:spacing w:after="577"/>
        <w:ind w:hanging="133"/>
      </w:pPr>
      <w:r>
        <w:t xml:space="preserve">následující vybavení a služby: </w:t>
      </w:r>
      <w:r>
        <w:rPr>
          <w:b/>
        </w:rPr>
        <w:t>Uvaděčská služba, Požární služba</w:t>
      </w:r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VI.</w:t>
      </w:r>
    </w:p>
    <w:p w:rsidR="00BE5BAC" w:rsidRDefault="00C52C39">
      <w:pPr>
        <w:spacing w:after="46" w:line="259" w:lineRule="auto"/>
        <w:ind w:left="690"/>
        <w:jc w:val="center"/>
      </w:pPr>
      <w:r>
        <w:rPr>
          <w:b/>
        </w:rPr>
        <w:t>Cena nájmu a způsob platby</w:t>
      </w:r>
    </w:p>
    <w:p w:rsidR="00BE5BAC" w:rsidRDefault="00C52C39">
      <w:pPr>
        <w:numPr>
          <w:ilvl w:val="0"/>
          <w:numId w:val="3"/>
        </w:numPr>
        <w:ind w:hanging="435"/>
      </w:pPr>
      <w:r>
        <w:t xml:space="preserve">Úhradu za nájem (nájemné) dohodly smluvní strany ve výši </w:t>
      </w:r>
      <w:r>
        <w:rPr>
          <w:b/>
        </w:rPr>
        <w:t>22 365,- Kč</w:t>
      </w:r>
      <w:r>
        <w:t xml:space="preserve">. Strany se dále dohodly na paušální částce úhrady služeb poskytovaných pronajímatelem v souvislosti s nájmem ve výši </w:t>
      </w:r>
      <w:r>
        <w:rPr>
          <w:b/>
        </w:rPr>
        <w:t>27 635,- Kč</w:t>
      </w:r>
      <w:r>
        <w:t xml:space="preserve">. </w:t>
      </w:r>
    </w:p>
    <w:p w:rsidR="00BE5BAC" w:rsidRDefault="00C52C39">
      <w:pPr>
        <w:numPr>
          <w:ilvl w:val="0"/>
          <w:numId w:val="3"/>
        </w:numPr>
        <w:ind w:hanging="435"/>
      </w:pPr>
      <w:r>
        <w:t xml:space="preserve">Dohodnutou částku za nájem a paušální částku, které v souhrnu tvoří částku </w:t>
      </w:r>
      <w:r>
        <w:rPr>
          <w:b/>
        </w:rPr>
        <w:t xml:space="preserve">50 000,- Kč </w:t>
      </w:r>
      <w:r>
        <w:t xml:space="preserve">bez DPH, </w:t>
      </w:r>
      <w:proofErr w:type="gramStart"/>
      <w:r>
        <w:t>t.j.</w:t>
      </w:r>
      <w:proofErr w:type="gramEnd"/>
      <w:r>
        <w:t xml:space="preserve"> </w:t>
      </w:r>
      <w:r>
        <w:rPr>
          <w:b/>
        </w:rPr>
        <w:t xml:space="preserve">60 500,00 Kč </w:t>
      </w:r>
      <w:r>
        <w:t xml:space="preserve">vč. DPH, je nájemce povinen uhradit v hotovosti na pokladně pronajímatele nebo převodem na jeho účet uvedený v záhlaví této smlouvy tak, že bude uhrazena na základě vystavené faktury (daňového dokladu) s dobou splatnosti </w:t>
      </w:r>
      <w:r>
        <w:rPr>
          <w:b/>
        </w:rPr>
        <w:t>14 dnů</w:t>
      </w:r>
      <w:r>
        <w:t>.</w:t>
      </w:r>
    </w:p>
    <w:p w:rsidR="00BE5BAC" w:rsidRDefault="00C52C39">
      <w:pPr>
        <w:numPr>
          <w:ilvl w:val="0"/>
          <w:numId w:val="3"/>
        </w:numPr>
        <w:spacing w:after="568"/>
        <w:ind w:hanging="435"/>
      </w:pPr>
      <w:r>
        <w:t xml:space="preserve">Pro případ prodlení nájemce s úhradou peněžního závazku, který mu vznikl na základě této smlouvy, se sjednává úrok z prodlení ve výši </w:t>
      </w:r>
      <w:proofErr w:type="gramStart"/>
      <w:r>
        <w:t>0,05%</w:t>
      </w:r>
      <w:proofErr w:type="gramEnd"/>
      <w:r>
        <w:t xml:space="preserve"> z dlužné částky za každý den prodlení. Nárok na náhradu škody podle zákona č. 89/2012 Sb., občanský zákoník, ve znění pozdějších předpisů, tím není dotčen.</w:t>
      </w:r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VII.</w:t>
      </w:r>
    </w:p>
    <w:p w:rsidR="00BE5BAC" w:rsidRDefault="00C52C39">
      <w:pPr>
        <w:spacing w:after="44" w:line="259" w:lineRule="auto"/>
        <w:ind w:left="690"/>
        <w:jc w:val="center"/>
      </w:pPr>
      <w:r>
        <w:rPr>
          <w:b/>
        </w:rPr>
        <w:t>Odpovědnost za škodu</w:t>
      </w:r>
    </w:p>
    <w:p w:rsidR="00BE5BAC" w:rsidRDefault="00C52C39">
      <w:pPr>
        <w:numPr>
          <w:ilvl w:val="0"/>
          <w:numId w:val="4"/>
        </w:numPr>
        <w:ind w:hanging="435"/>
      </w:pPr>
      <w:r>
        <w:t xml:space="preserve">Nájemce odpovídá za škodu způsobenou v prostorách, které užíval, jakož i na věcech, které v těchto prostorách byly umístěny, dále odpovídá i za škodu, kterou prokazatelně způsobí účastníci akce i v dalších prostorách pronajímatele, které nejsou předmětem tohoto nájmu. Pronajímatel má v takovém případě právo požadovat po nájemci buď uvedení věci do původního stavu, nebo požadovat náhradu škody v </w:t>
      </w:r>
      <w:proofErr w:type="gramStart"/>
      <w:r>
        <w:t>penězích</w:t>
      </w:r>
      <w:proofErr w:type="gramEnd"/>
      <w:r>
        <w:t xml:space="preserve"> a to podle výše nákladů, které na odstranění škody účelně a prokazatelně vynaložil.</w:t>
      </w:r>
    </w:p>
    <w:p w:rsidR="00BE5BAC" w:rsidRDefault="00C52C39">
      <w:pPr>
        <w:numPr>
          <w:ilvl w:val="0"/>
          <w:numId w:val="4"/>
        </w:numPr>
        <w:ind w:hanging="435"/>
      </w:pPr>
      <w:r>
        <w:t>Nájemce bere na vědomí, že pronajímatel neodpovídá jemu ani třetí osobě za ztrátu nebo poškození věcí, které jsou jejich majetkem a byly uloženy nebo volně ponechány v prostorách nájemci předaných k užívání podle této smlouvy.</w:t>
      </w:r>
    </w:p>
    <w:p w:rsidR="00BE5BAC" w:rsidRDefault="00C52C39">
      <w:pPr>
        <w:numPr>
          <w:ilvl w:val="0"/>
          <w:numId w:val="4"/>
        </w:numPr>
        <w:ind w:hanging="435"/>
      </w:pPr>
      <w:r>
        <w:t>Odpovědnost smluvních stran za škodu a jejich povinnost k náhradě této škody se dále řídí ustanovením § 2895 a násl. a dále ustanovením § 2913 odst. 1 a 2 zákona č. 89/2012 Sb., občanský zákoník, ve znění pozdějších předpisů.</w:t>
      </w:r>
    </w:p>
    <w:p w:rsidR="00BE5BAC" w:rsidRDefault="00C52C39">
      <w:pPr>
        <w:spacing w:after="14" w:line="259" w:lineRule="auto"/>
        <w:ind w:left="690"/>
        <w:jc w:val="center"/>
      </w:pPr>
      <w:r>
        <w:rPr>
          <w:b/>
        </w:rPr>
        <w:t>VIII.</w:t>
      </w:r>
    </w:p>
    <w:p w:rsidR="00BE5BAC" w:rsidRDefault="00C52C39">
      <w:pPr>
        <w:spacing w:after="44" w:line="259" w:lineRule="auto"/>
        <w:ind w:left="690"/>
        <w:jc w:val="center"/>
      </w:pPr>
      <w:r>
        <w:rPr>
          <w:b/>
        </w:rPr>
        <w:t>Ustanovení přechodná a závěrečná</w:t>
      </w:r>
    </w:p>
    <w:p w:rsidR="00BE5BAC" w:rsidRDefault="00C52C39">
      <w:pPr>
        <w:numPr>
          <w:ilvl w:val="1"/>
          <w:numId w:val="4"/>
        </w:numPr>
        <w:ind w:hanging="435"/>
      </w:pPr>
      <w:r>
        <w:t xml:space="preserve">Pověřeným zástupcem pro řešení technických a provozních otázek souvisejících s plněním této smlouvy je za pronajímatele </w:t>
      </w:r>
      <w:proofErr w:type="spellStart"/>
      <w:r w:rsidR="008424C4">
        <w:rPr>
          <w:b/>
        </w:rPr>
        <w:t>xxxx</w:t>
      </w:r>
      <w:proofErr w:type="spellEnd"/>
      <w:r>
        <w:t xml:space="preserve"> (tel. </w:t>
      </w:r>
      <w:proofErr w:type="spellStart"/>
      <w:r w:rsidR="008424C4">
        <w:rPr>
          <w:b/>
        </w:rPr>
        <w:t>xxxx</w:t>
      </w:r>
      <w:proofErr w:type="spellEnd"/>
      <w:r>
        <w:t xml:space="preserve">) a za nájemce </w:t>
      </w:r>
      <w:proofErr w:type="spellStart"/>
      <w:r w:rsidR="008424C4">
        <w:rPr>
          <w:b/>
        </w:rPr>
        <w:t>xxxx</w:t>
      </w:r>
      <w:proofErr w:type="spellEnd"/>
      <w:r>
        <w:t xml:space="preserve"> (tel. </w:t>
      </w:r>
      <w:proofErr w:type="spellStart"/>
      <w:r w:rsidR="008424C4">
        <w:rPr>
          <w:b/>
        </w:rPr>
        <w:t>xxx</w:t>
      </w:r>
      <w:proofErr w:type="spellEnd"/>
      <w:r>
        <w:t>).</w:t>
      </w:r>
    </w:p>
    <w:p w:rsidR="00BE5BAC" w:rsidRDefault="00C52C39">
      <w:pPr>
        <w:numPr>
          <w:ilvl w:val="1"/>
          <w:numId w:val="4"/>
        </w:numPr>
        <w:ind w:hanging="435"/>
      </w:pPr>
      <w:r>
        <w:t>Smluvní strany mají právo od této smlouvy odstoupit nejpozději týden před konáním akce. Pronajímatel má právo od smlouvy odstoupit rovněž v případě, že nájemce tuto smlouvu hrubým způsobem poruší, nebo pronajímatel prokazatelně zjistí, že nájemce není způsobilý akci zajistit tak, aby proběhla v klidu a nerušeně.</w:t>
      </w:r>
    </w:p>
    <w:p w:rsidR="00BE5BAC" w:rsidRDefault="00C52C39">
      <w:pPr>
        <w:numPr>
          <w:ilvl w:val="1"/>
          <w:numId w:val="4"/>
        </w:numPr>
        <w:ind w:hanging="435"/>
      </w:pPr>
      <w:r>
        <w:t>V případě, že některá ustanovení této smlouvy se stanou neúčinnými, zůstávají ostatní ustanovení této smlouvy účinnými. Strany se zavazují nahradit neúčinné ustanovení této smlouvy ustanovením jiným, účinným, které svým obsahem a smyslem bude nejlépe odpovídat obsahu a smyslu původního neúčinného ustanovení.</w:t>
      </w:r>
    </w:p>
    <w:p w:rsidR="00BE5BAC" w:rsidRDefault="00C52C39">
      <w:pPr>
        <w:numPr>
          <w:ilvl w:val="1"/>
          <w:numId w:val="4"/>
        </w:numPr>
        <w:ind w:hanging="435"/>
      </w:pPr>
      <w:r>
        <w:t>Tato smlouva se uzavírá na dobu určitou. Smlouva je platná dnem podpisu obou stran a její platnost zaniká uplynutím doby, na kterou byla dle čl. IV. uzavřena.</w:t>
      </w:r>
    </w:p>
    <w:p w:rsidR="00BE5BAC" w:rsidRDefault="00C52C39">
      <w:pPr>
        <w:numPr>
          <w:ilvl w:val="1"/>
          <w:numId w:val="4"/>
        </w:numPr>
        <w:ind w:hanging="435"/>
      </w:pPr>
      <w:r>
        <w:lastRenderedPageBreak/>
        <w:t>Veškeré změny této smlouvy lze činit pouze písemně.</w:t>
      </w:r>
    </w:p>
    <w:p w:rsidR="00BE5BAC" w:rsidRDefault="00C52C39">
      <w:pPr>
        <w:numPr>
          <w:ilvl w:val="1"/>
          <w:numId w:val="4"/>
        </w:numPr>
        <w:ind w:hanging="435"/>
      </w:pPr>
      <w:r>
        <w:t>Další skutečnosti zde neuvedené se řídí podle obecných právních předpisů, zejména podle zákona č. 89/2012 Sb., občanský zákoník, ve znění pozdějších předpisů.</w:t>
      </w:r>
    </w:p>
    <w:p w:rsidR="00BE5BAC" w:rsidRDefault="00C52C39">
      <w:pPr>
        <w:numPr>
          <w:ilvl w:val="1"/>
          <w:numId w:val="4"/>
        </w:numPr>
        <w:spacing w:after="942"/>
        <w:ind w:hanging="435"/>
      </w:pPr>
      <w:r>
        <w:t>Tato smlouva se vyhotovuje ve dvou výtiscích, přičemž každá ze stran obdrží po jednom výtisku.</w:t>
      </w:r>
    </w:p>
    <w:tbl>
      <w:tblPr>
        <w:tblStyle w:val="TableGrid"/>
        <w:tblW w:w="9581" w:type="dxa"/>
        <w:tblInd w:w="567" w:type="dxa"/>
        <w:tblLook w:val="04A0" w:firstRow="1" w:lastRow="0" w:firstColumn="1" w:lastColumn="0" w:noHBand="0" w:noVBand="1"/>
      </w:tblPr>
      <w:tblGrid>
        <w:gridCol w:w="6236"/>
        <w:gridCol w:w="3345"/>
      </w:tblGrid>
      <w:tr w:rsidR="00BE5BAC">
        <w:trPr>
          <w:trHeight w:val="654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5BAC" w:rsidRDefault="00C52C39">
            <w:pPr>
              <w:spacing w:after="0" w:line="259" w:lineRule="auto"/>
              <w:ind w:left="0" w:firstLine="0"/>
              <w:jc w:val="left"/>
            </w:pPr>
            <w:r>
              <w:t>V Brně dne 28. 1. 2019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E5BAC" w:rsidRDefault="00C52C39">
            <w:pPr>
              <w:spacing w:after="0" w:line="259" w:lineRule="auto"/>
              <w:ind w:left="0" w:firstLine="0"/>
              <w:jc w:val="left"/>
            </w:pPr>
            <w:r>
              <w:t>V Brně dne 28. 1. 2019</w:t>
            </w:r>
          </w:p>
        </w:tc>
      </w:tr>
      <w:tr w:rsidR="00BE5BAC">
        <w:trPr>
          <w:trHeight w:val="739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AC" w:rsidRDefault="00C52C39">
            <w:pPr>
              <w:spacing w:after="0" w:line="259" w:lineRule="auto"/>
              <w:ind w:left="883" w:firstLine="0"/>
              <w:jc w:val="left"/>
            </w:pPr>
            <w:r>
              <w:t>MgA. Miroslav Oščatka, ředitel</w:t>
            </w:r>
          </w:p>
          <w:p w:rsidR="00BE5BAC" w:rsidRDefault="00C52C39">
            <w:pPr>
              <w:spacing w:after="0" w:line="259" w:lineRule="auto"/>
              <w:ind w:left="624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88000" cy="7200"/>
                      <wp:effectExtent l="0" t="0" r="0" b="0"/>
                      <wp:docPr id="2947" name="Group 2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8000" cy="7200"/>
                                <a:chOff x="0" y="0"/>
                                <a:chExt cx="2088000" cy="7200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2088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8000">
                                      <a:moveTo>
                                        <a:pt x="0" y="0"/>
                                      </a:moveTo>
                                      <a:lnTo>
                                        <a:pt x="20880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7" style="width:164.409pt;height:0.566929pt;mso-position-horizontal-relative:char;mso-position-vertical-relative:line" coordsize="20880,72">
                      <v:shape id="Shape 182" style="position:absolute;width:20880;height:0;left:0;top:0;" coordsize="2088000,0" path="m0,0l2088000,0">
                        <v:stroke weight="0.56692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AC" w:rsidRDefault="00C52C39">
            <w:pPr>
              <w:spacing w:after="0" w:line="259" w:lineRule="auto"/>
              <w:ind w:left="0" w:right="57" w:firstLine="0"/>
              <w:jc w:val="center"/>
            </w:pPr>
            <w:r>
              <w:t>MgA. Vilémem Spilkou</w:t>
            </w:r>
          </w:p>
          <w:p w:rsidR="00BE5BAC" w:rsidRDefault="00C52C39">
            <w:pPr>
              <w:spacing w:after="0" w:line="259" w:lineRule="auto"/>
              <w:ind w:left="5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88000" cy="7200"/>
                      <wp:effectExtent l="0" t="0" r="0" b="0"/>
                      <wp:docPr id="2962" name="Group 2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8000" cy="7200"/>
                                <a:chOff x="0" y="0"/>
                                <a:chExt cx="2088000" cy="7200"/>
                              </a:xfrm>
                            </wpg:grpSpPr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0" y="0"/>
                                  <a:ext cx="2088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8000">
                                      <a:moveTo>
                                        <a:pt x="0" y="0"/>
                                      </a:moveTo>
                                      <a:lnTo>
                                        <a:pt x="20880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2" style="width:164.409pt;height:0.566929pt;mso-position-horizontal-relative:char;mso-position-vertical-relative:line" coordsize="20880,72">
                      <v:shape id="Shape 183" style="position:absolute;width:20880;height:0;left:0;top:0;" coordsize="2088000,0" path="m0,0l2088000,0">
                        <v:stroke weight="0.56692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BE5BAC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5BAC" w:rsidRDefault="00C52C39">
            <w:pPr>
              <w:spacing w:after="0" w:line="259" w:lineRule="auto"/>
              <w:ind w:left="1587" w:firstLine="0"/>
              <w:jc w:val="left"/>
            </w:pPr>
            <w:r>
              <w:rPr>
                <w:sz w:val="20"/>
              </w:rPr>
              <w:t>Za pronajímatele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E5BAC" w:rsidRDefault="00C52C39">
            <w:pPr>
              <w:spacing w:after="0" w:line="259" w:lineRule="auto"/>
              <w:ind w:left="66" w:firstLine="0"/>
              <w:jc w:val="center"/>
            </w:pPr>
            <w:r>
              <w:rPr>
                <w:sz w:val="20"/>
              </w:rPr>
              <w:t>Za nájemce</w:t>
            </w:r>
          </w:p>
        </w:tc>
      </w:tr>
    </w:tbl>
    <w:bookmarkStart w:id="0" w:name="_GoBack"/>
    <w:bookmarkEnd w:id="0"/>
    <w:p w:rsidR="00BE5BAC" w:rsidRDefault="004535D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fldChar w:fldCharType="begin"/>
      </w:r>
      <w:r>
        <w:rPr>
          <w:rFonts w:ascii="Calibri" w:eastAsia="Calibri" w:hAnsi="Calibri" w:cs="Calibri"/>
          <w:sz w:val="2"/>
        </w:rPr>
        <w:instrText xml:space="preserve"> HYPERLINK "http://www.tcpdf.org/" \h </w:instrText>
      </w:r>
      <w:r>
        <w:rPr>
          <w:rFonts w:ascii="Calibri" w:eastAsia="Calibri" w:hAnsi="Calibri" w:cs="Calibri"/>
          <w:sz w:val="2"/>
        </w:rPr>
        <w:fldChar w:fldCharType="separate"/>
      </w:r>
      <w:r w:rsidR="00C52C39">
        <w:rPr>
          <w:rFonts w:ascii="Calibri" w:eastAsia="Calibri" w:hAnsi="Calibri" w:cs="Calibri"/>
          <w:sz w:val="2"/>
        </w:rPr>
        <w:t>Powered by TCPDF (www.tcpdf.org)</w:t>
      </w:r>
      <w:r>
        <w:rPr>
          <w:rFonts w:ascii="Calibri" w:eastAsia="Calibri" w:hAnsi="Calibri" w:cs="Calibri"/>
          <w:sz w:val="2"/>
        </w:rPr>
        <w:fldChar w:fldCharType="end"/>
      </w:r>
    </w:p>
    <w:sectPr w:rsidR="00BE5BAC">
      <w:footerReference w:type="even" r:id="rId7"/>
      <w:footerReference w:type="default" r:id="rId8"/>
      <w:footerReference w:type="first" r:id="rId9"/>
      <w:pgSz w:w="11906" w:h="16838"/>
      <w:pgMar w:top="631" w:right="624" w:bottom="20" w:left="57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DA" w:rsidRDefault="004535DA">
      <w:pPr>
        <w:spacing w:after="0" w:line="240" w:lineRule="auto"/>
      </w:pPr>
      <w:r>
        <w:separator/>
      </w:r>
    </w:p>
  </w:endnote>
  <w:endnote w:type="continuationSeparator" w:id="0">
    <w:p w:rsidR="004535DA" w:rsidRDefault="0045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AC" w:rsidRDefault="00C52C39">
    <w:pPr>
      <w:spacing w:after="0" w:line="259" w:lineRule="auto"/>
      <w:ind w:left="624" w:firstLine="0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AC" w:rsidRDefault="00C52C39">
    <w:pPr>
      <w:spacing w:after="0" w:line="259" w:lineRule="auto"/>
      <w:ind w:left="624" w:firstLine="0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AC" w:rsidRDefault="00C52C39">
    <w:pPr>
      <w:spacing w:after="0" w:line="259" w:lineRule="auto"/>
      <w:ind w:left="624" w:firstLine="0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DA" w:rsidRDefault="004535DA">
      <w:pPr>
        <w:spacing w:after="0" w:line="240" w:lineRule="auto"/>
      </w:pPr>
      <w:r>
        <w:separator/>
      </w:r>
    </w:p>
  </w:footnote>
  <w:footnote w:type="continuationSeparator" w:id="0">
    <w:p w:rsidR="004535DA" w:rsidRDefault="0045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40E1"/>
    <w:multiLevelType w:val="hybridMultilevel"/>
    <w:tmpl w:val="7C78A022"/>
    <w:lvl w:ilvl="0" w:tplc="9EAA7E5E">
      <w:start w:val="1"/>
      <w:numFmt w:val="decimal"/>
      <w:lvlText w:val="%1."/>
      <w:lvlJc w:val="left"/>
      <w:pPr>
        <w:ind w:left="9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61ED8">
      <w:start w:val="1"/>
      <w:numFmt w:val="lowerLetter"/>
      <w:lvlText w:val="%2"/>
      <w:lvlJc w:val="left"/>
      <w:pPr>
        <w:ind w:left="11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EA1C">
      <w:start w:val="1"/>
      <w:numFmt w:val="lowerRoman"/>
      <w:lvlText w:val="%3"/>
      <w:lvlJc w:val="left"/>
      <w:pPr>
        <w:ind w:left="18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F73C">
      <w:start w:val="1"/>
      <w:numFmt w:val="decimal"/>
      <w:lvlText w:val="%4"/>
      <w:lvlJc w:val="left"/>
      <w:pPr>
        <w:ind w:left="257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1AD816">
      <w:start w:val="1"/>
      <w:numFmt w:val="lowerLetter"/>
      <w:lvlText w:val="%5"/>
      <w:lvlJc w:val="left"/>
      <w:pPr>
        <w:ind w:left="32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4F08C">
      <w:start w:val="1"/>
      <w:numFmt w:val="lowerRoman"/>
      <w:lvlText w:val="%6"/>
      <w:lvlJc w:val="left"/>
      <w:pPr>
        <w:ind w:left="40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8F500">
      <w:start w:val="1"/>
      <w:numFmt w:val="decimal"/>
      <w:lvlText w:val="%7"/>
      <w:lvlJc w:val="left"/>
      <w:pPr>
        <w:ind w:left="47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4FCA">
      <w:start w:val="1"/>
      <w:numFmt w:val="lowerLetter"/>
      <w:lvlText w:val="%8"/>
      <w:lvlJc w:val="left"/>
      <w:pPr>
        <w:ind w:left="54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678DA">
      <w:start w:val="1"/>
      <w:numFmt w:val="lowerRoman"/>
      <w:lvlText w:val="%9"/>
      <w:lvlJc w:val="left"/>
      <w:pPr>
        <w:ind w:left="617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D72E78"/>
    <w:multiLevelType w:val="hybridMultilevel"/>
    <w:tmpl w:val="DF3223B8"/>
    <w:lvl w:ilvl="0" w:tplc="D3B6A688">
      <w:start w:val="1"/>
      <w:numFmt w:val="decimal"/>
      <w:lvlText w:val="%1."/>
      <w:lvlJc w:val="left"/>
      <w:pPr>
        <w:ind w:left="9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E078E">
      <w:start w:val="1"/>
      <w:numFmt w:val="bullet"/>
      <w:lvlText w:val="•"/>
      <w:lvlJc w:val="left"/>
      <w:pPr>
        <w:ind w:left="12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E9CA">
      <w:start w:val="1"/>
      <w:numFmt w:val="bullet"/>
      <w:lvlText w:val="▪"/>
      <w:lvlJc w:val="left"/>
      <w:pPr>
        <w:ind w:left="16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673F6">
      <w:start w:val="1"/>
      <w:numFmt w:val="bullet"/>
      <w:lvlText w:val="•"/>
      <w:lvlJc w:val="left"/>
      <w:pPr>
        <w:ind w:left="23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43A0C">
      <w:start w:val="1"/>
      <w:numFmt w:val="bullet"/>
      <w:lvlText w:val="o"/>
      <w:lvlJc w:val="left"/>
      <w:pPr>
        <w:ind w:left="30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00682">
      <w:start w:val="1"/>
      <w:numFmt w:val="bullet"/>
      <w:lvlText w:val="▪"/>
      <w:lvlJc w:val="left"/>
      <w:pPr>
        <w:ind w:left="38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0117A">
      <w:start w:val="1"/>
      <w:numFmt w:val="bullet"/>
      <w:lvlText w:val="•"/>
      <w:lvlJc w:val="left"/>
      <w:pPr>
        <w:ind w:left="45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CE126">
      <w:start w:val="1"/>
      <w:numFmt w:val="bullet"/>
      <w:lvlText w:val="o"/>
      <w:lvlJc w:val="left"/>
      <w:pPr>
        <w:ind w:left="52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02C12">
      <w:start w:val="1"/>
      <w:numFmt w:val="bullet"/>
      <w:lvlText w:val="▪"/>
      <w:lvlJc w:val="left"/>
      <w:pPr>
        <w:ind w:left="59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46693D"/>
    <w:multiLevelType w:val="hybridMultilevel"/>
    <w:tmpl w:val="222C3BCC"/>
    <w:lvl w:ilvl="0" w:tplc="5898591A">
      <w:start w:val="1"/>
      <w:numFmt w:val="decimal"/>
      <w:lvlText w:val="%1."/>
      <w:lvlJc w:val="left"/>
      <w:pPr>
        <w:ind w:left="9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0A21E">
      <w:start w:val="1"/>
      <w:numFmt w:val="decimal"/>
      <w:lvlText w:val="%2."/>
      <w:lvlJc w:val="left"/>
      <w:pPr>
        <w:ind w:left="9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CEFA0">
      <w:start w:val="1"/>
      <w:numFmt w:val="lowerRoman"/>
      <w:lvlText w:val="%3"/>
      <w:lvlJc w:val="left"/>
      <w:pPr>
        <w:ind w:left="16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E6BA6">
      <w:start w:val="1"/>
      <w:numFmt w:val="decimal"/>
      <w:lvlText w:val="%4"/>
      <w:lvlJc w:val="left"/>
      <w:pPr>
        <w:ind w:left="23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23EEE">
      <w:start w:val="1"/>
      <w:numFmt w:val="lowerLetter"/>
      <w:lvlText w:val="%5"/>
      <w:lvlJc w:val="left"/>
      <w:pPr>
        <w:ind w:left="30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64B7E">
      <w:start w:val="1"/>
      <w:numFmt w:val="lowerRoman"/>
      <w:lvlText w:val="%6"/>
      <w:lvlJc w:val="left"/>
      <w:pPr>
        <w:ind w:left="38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0B02">
      <w:start w:val="1"/>
      <w:numFmt w:val="decimal"/>
      <w:lvlText w:val="%7"/>
      <w:lvlJc w:val="left"/>
      <w:pPr>
        <w:ind w:left="45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8EBD6">
      <w:start w:val="1"/>
      <w:numFmt w:val="lowerLetter"/>
      <w:lvlText w:val="%8"/>
      <w:lvlJc w:val="left"/>
      <w:pPr>
        <w:ind w:left="52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2CB20">
      <w:start w:val="1"/>
      <w:numFmt w:val="lowerRoman"/>
      <w:lvlText w:val="%9"/>
      <w:lvlJc w:val="left"/>
      <w:pPr>
        <w:ind w:left="59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F0FDC"/>
    <w:multiLevelType w:val="hybridMultilevel"/>
    <w:tmpl w:val="1E38B802"/>
    <w:lvl w:ilvl="0" w:tplc="951E2E10">
      <w:start w:val="1"/>
      <w:numFmt w:val="decimal"/>
      <w:lvlText w:val="%1."/>
      <w:lvlJc w:val="left"/>
      <w:pPr>
        <w:ind w:left="9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E0D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21B5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A461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2520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8F8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E84D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A68E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857E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AC"/>
    <w:rsid w:val="002D6CC8"/>
    <w:rsid w:val="004535DA"/>
    <w:rsid w:val="008424C4"/>
    <w:rsid w:val="00A434FF"/>
    <w:rsid w:val="00AD2931"/>
    <w:rsid w:val="00BE5BAC"/>
    <w:rsid w:val="00C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736B"/>
  <w15:docId w15:val="{26A06F0B-DFEB-46F1-AECA-725A28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1" w:line="268" w:lineRule="auto"/>
      <w:ind w:left="577" w:hanging="10"/>
      <w:jc w:val="both"/>
    </w:pPr>
    <w:rPr>
      <w:rFonts w:ascii="Garamond" w:eastAsia="Garamond" w:hAnsi="Garamond" w:cs="Garamond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Krátkodobý pronájem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Krátkodobý pronájem</dc:title>
  <dc:subject/>
  <dc:creator>JH Robotics</dc:creator>
  <cp:keywords/>
  <cp:lastModifiedBy>Microsoft Office User</cp:lastModifiedBy>
  <cp:revision>3</cp:revision>
  <dcterms:created xsi:type="dcterms:W3CDTF">2019-01-24T14:03:00Z</dcterms:created>
  <dcterms:modified xsi:type="dcterms:W3CDTF">2019-01-24T14:03:00Z</dcterms:modified>
</cp:coreProperties>
</file>