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E3" w:rsidRDefault="001965D1">
      <w:pPr>
        <w:spacing w:after="192" w:line="259" w:lineRule="auto"/>
        <w:ind w:left="-14" w:right="0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CR</w:t>
      </w:r>
    </w:p>
    <w:p w:rsidR="00F33AE3" w:rsidRDefault="001965D1">
      <w:pPr>
        <w:pStyle w:val="Nadpis1"/>
      </w:pPr>
      <w:r>
        <w:t>OBJEDNÁVKA</w:t>
      </w:r>
    </w:p>
    <w:p w:rsidR="00F33AE3" w:rsidRDefault="001965D1">
      <w:pPr>
        <w:spacing w:after="390" w:line="259" w:lineRule="auto"/>
        <w:jc w:val="center"/>
      </w:pPr>
      <w:r>
        <w:t>Číslo objednávky: 29ZA-002112</w:t>
      </w:r>
    </w:p>
    <w:p w:rsidR="00F33AE3" w:rsidRDefault="001965D1">
      <w:pPr>
        <w:tabs>
          <w:tab w:val="center" w:pos="5424"/>
        </w:tabs>
        <w:spacing w:after="163" w:line="259" w:lineRule="auto"/>
        <w:ind w:right="0"/>
        <w:jc w:val="left"/>
      </w:pPr>
      <w:r>
        <w:rPr>
          <w:sz w:val="26"/>
        </w:rPr>
        <w:t>Objednatel:</w:t>
      </w:r>
      <w:r>
        <w:rPr>
          <w:sz w:val="26"/>
        </w:rPr>
        <w:tab/>
        <w:t>Dodavatel:</w:t>
      </w:r>
    </w:p>
    <w:p w:rsidR="00F33AE3" w:rsidRDefault="001965D1">
      <w:pPr>
        <w:tabs>
          <w:tab w:val="center" w:pos="5563"/>
        </w:tabs>
        <w:ind w:right="0"/>
        <w:jc w:val="left"/>
      </w:pPr>
      <w:r>
        <w:t>Reditelství silnic a dálnic</w:t>
      </w:r>
      <w:r>
        <w:tab/>
        <w:t>VEXPA s.r.o.</w:t>
      </w:r>
    </w:p>
    <w:p w:rsidR="00F33AE3" w:rsidRDefault="001965D1">
      <w:pPr>
        <w:spacing w:after="36"/>
        <w:ind w:left="14" w:right="667"/>
      </w:pPr>
      <w:r>
        <w:t xml:space="preserve">ssÚD 7, Bratislavská 867 691 45 Podivín Jaselská 2 3 1 0 /6, 690 03 Břeclav Bankovní </w:t>
      </w:r>
      <w:r w:rsidRPr="000E7E0B">
        <w:rPr>
          <w:highlight w:val="black"/>
        </w:rPr>
        <w:t>spojení</w:t>
      </w:r>
      <w:r w:rsidR="000E7E0B" w:rsidRPr="000E7E0B">
        <w:rPr>
          <w:highlight w:val="black"/>
        </w:rPr>
        <w:t>xxxxxxxxxxxxxxxxxxxxxxxx</w:t>
      </w:r>
    </w:p>
    <w:p w:rsidR="00F33AE3" w:rsidRDefault="001965D1">
      <w:pPr>
        <w:spacing w:after="41"/>
        <w:ind w:left="14" w:right="1070"/>
      </w:pPr>
      <w:r>
        <w:t xml:space="preserve">Císlo účtu: </w:t>
      </w:r>
      <w:r w:rsidR="000E7E0B" w:rsidRPr="000E7E0B">
        <w:rPr>
          <w:highlight w:val="black"/>
        </w:rPr>
        <w:t>xxxxxxxxxxxxxxxxxxxxxxxxx</w:t>
      </w:r>
      <w:r w:rsidRPr="000E7E0B">
        <w:rPr>
          <w:highlight w:val="black"/>
        </w:rPr>
        <w:t>:</w:t>
      </w:r>
      <w:r>
        <w:t xml:space="preserve"> CZ27747468 IČO: 65993390 Kontaktní osoba: Pavel Svoboda</w:t>
      </w:r>
    </w:p>
    <w:p w:rsidR="00F33AE3" w:rsidRDefault="001965D1">
      <w:pPr>
        <w:spacing w:after="533"/>
        <w:ind w:left="14" w:right="28"/>
      </w:pPr>
      <w:r>
        <w:t>DIČ: CZ65993390</w:t>
      </w:r>
    </w:p>
    <w:p w:rsidR="00F33AE3" w:rsidRDefault="001965D1">
      <w:pPr>
        <w:spacing w:after="119"/>
        <w:ind w:left="14" w:right="28"/>
      </w:pPr>
      <w:r>
        <w:t>Tato objednávka Objednatele zavazuje po jejím potvrzení Dodavatelem obě smluvní strany ke splnění stanovených závazků a nahrazuje smlouvu. Dodavate</w:t>
      </w:r>
      <w:r>
        <w:t>l se zavazuje provést na svůj náklad a nebezpečí pro Objednatele dodávky specifikované níže. Objednatel se zavazuje zaplatit za dodávky dodané v souladu s touto objednávkou cenu uvedenou níže.</w:t>
      </w:r>
    </w:p>
    <w:p w:rsidR="00F33AE3" w:rsidRDefault="001965D1">
      <w:pPr>
        <w:spacing w:after="141" w:line="259" w:lineRule="auto"/>
        <w:ind w:left="19" w:right="0" w:hanging="10"/>
        <w:jc w:val="left"/>
      </w:pPr>
      <w:r>
        <w:rPr>
          <w:sz w:val="26"/>
        </w:rPr>
        <w:t>Místo dodání:</w:t>
      </w:r>
    </w:p>
    <w:p w:rsidR="00F33AE3" w:rsidRDefault="001965D1">
      <w:pPr>
        <w:spacing w:after="140"/>
        <w:ind w:left="14" w:right="28"/>
      </w:pPr>
      <w:r>
        <w:t>Kontaktní osoba Objednatele</w:t>
      </w:r>
      <w:r w:rsidRPr="000E7E0B">
        <w:rPr>
          <w:highlight w:val="black"/>
        </w:rPr>
        <w:t xml:space="preserve">: </w:t>
      </w:r>
      <w:r w:rsidR="000E7E0B" w:rsidRPr="000E7E0B">
        <w:rPr>
          <w:highlight w:val="black"/>
        </w:rPr>
        <w:t>xxxxxxxxxxxxxxxxxxxxx</w:t>
      </w:r>
    </w:p>
    <w:p w:rsidR="00F33AE3" w:rsidRDefault="001965D1">
      <w:pPr>
        <w:spacing w:after="137"/>
        <w:ind w:left="14" w:right="28"/>
      </w:pPr>
      <w:r>
        <w:t>Fakturujte: Ředitelství silnic a dálnic ČR, SSCJD 7 Podivín, Na Pankráci 56, 140 00 Praha 4</w:t>
      </w:r>
    </w:p>
    <w:p w:rsidR="00F33AE3" w:rsidRDefault="001965D1">
      <w:pPr>
        <w:spacing w:after="173"/>
        <w:ind w:left="14" w:right="28"/>
      </w:pPr>
      <w:r>
        <w:t xml:space="preserve">Obchodní a platební podmínky: Objednatel uhradí cenu jednorázovým bankovním převodem na účet Dodavatele uvedený na faktuře, termín splatnosti je stanoven na 30 dnů </w:t>
      </w:r>
      <w:r>
        <w:t>ode dne doručení faktury Objednateli. Fakturu lze předložit nejdříve po protokolárním převzetí zboží Objednatelem bez vad či nedodělků. Faktura musí obsahovat veškeré náležitosti stanovené platnými právními předpisy, číslo objednávky a místo dodání. Objedn</w:t>
      </w:r>
      <w:r>
        <w:t>atel neposkytuje žádné zálohy na cenu, ani dílčí platby ceny. Potvrzením přijetí (akceptací) této objednávky se Dodavatel zavazuje plnit veškeré povinnosti v této objednávce uvedené. Objednatel výslovně vylučuje akceptaci objednávky Dodavatelem s jakýmikol</w:t>
      </w:r>
      <w:r>
        <w:t>iv změnami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</w:t>
      </w:r>
      <w:r>
        <w:t xml:space="preserve">eřejňování těchto smluv a o registru smluv, ve znění pozdějších předpisů (dále jako „zákon o registru smluv”), Objednatelem. Objednávka je účinná okamžikem zveřejnění v registru smluv. Objednatel je oprávněn kdykoliv po uzavření objednávky tuto objednávku </w:t>
      </w:r>
      <w:r>
        <w:t>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:rsidR="00F33AE3" w:rsidRDefault="001965D1">
      <w:pPr>
        <w:tabs>
          <w:tab w:val="center" w:pos="4114"/>
        </w:tabs>
        <w:spacing w:after="564"/>
        <w:ind w:right="0"/>
        <w:jc w:val="left"/>
      </w:pPr>
      <w:r>
        <w:t>Objednáváme u Vás:</w:t>
      </w:r>
      <w:r>
        <w:tab/>
        <w:t>ochranné pracovní pom</w:t>
      </w:r>
      <w:r>
        <w:t>ůcky</w:t>
      </w:r>
    </w:p>
    <w:p w:rsidR="00F33AE3" w:rsidRDefault="001965D1">
      <w:pPr>
        <w:spacing w:after="287" w:line="259" w:lineRule="auto"/>
        <w:ind w:left="173" w:right="82" w:hanging="10"/>
        <w:jc w:val="center"/>
      </w:pPr>
      <w:r>
        <w:rPr>
          <w:sz w:val="16"/>
        </w:rPr>
        <w:t>Stránka 1 z 2</w:t>
      </w:r>
    </w:p>
    <w:p w:rsidR="00F33AE3" w:rsidRDefault="001965D1">
      <w:pPr>
        <w:spacing w:after="163" w:line="259" w:lineRule="auto"/>
        <w:ind w:left="19" w:right="0" w:hanging="10"/>
        <w:jc w:val="left"/>
      </w:pPr>
      <w:r>
        <w:rPr>
          <w:sz w:val="26"/>
        </w:rPr>
        <w:t>Lhůta pro dodání či termín dodání: do 12/2019</w:t>
      </w:r>
    </w:p>
    <w:p w:rsidR="00F33AE3" w:rsidRDefault="001965D1">
      <w:pPr>
        <w:spacing w:after="163" w:line="259" w:lineRule="auto"/>
        <w:ind w:left="19" w:right="0" w:hanging="10"/>
        <w:jc w:val="left"/>
      </w:pPr>
      <w:r>
        <w:rPr>
          <w:sz w:val="26"/>
        </w:rPr>
        <w:lastRenderedPageBreak/>
        <w:t>Celková hodnota objednávky v Kč bez DPH / s DPH: 99.000,00 / 119.790,00</w:t>
      </w:r>
    </w:p>
    <w:p w:rsidR="00F33AE3" w:rsidRDefault="001965D1">
      <w:pPr>
        <w:spacing w:after="114"/>
        <w:ind w:left="14" w:right="28"/>
      </w:pPr>
      <w:r>
        <w:t>V případě akceptace objednávky Objednatele Dodavatel objednávku písemně potvrdí prostřednictvím e-mailu zaslaného do e-</w:t>
      </w:r>
      <w:r>
        <w:t xml:space="preserve">mailové schránky Objednatele </w:t>
      </w:r>
      <w:r w:rsidR="000E7E0B" w:rsidRPr="000E7E0B">
        <w:rPr>
          <w:highlight w:val="black"/>
        </w:rPr>
        <w:t>xxxxxxxxxxxxxxxxxxxxxxxxxx</w:t>
      </w:r>
      <w:r w:rsidRPr="000E7E0B">
        <w:rPr>
          <w:highlight w:val="black"/>
        </w:rPr>
        <w:t>.</w:t>
      </w:r>
      <w:r>
        <w:t xml:space="preserve"> V případě nepotvrzení akceptace objednávky Objednatele Dodavatelem ve lhůtě 3 pracovních dnů ode dne odeslání objednávky Objednatelem platí, že Dodavatel objednávku neakceptoval a objednávka je bez další</w:t>
      </w:r>
      <w:r>
        <w:t>ho zneplatněna.</w:t>
      </w:r>
    </w:p>
    <w:p w:rsidR="00F33AE3" w:rsidRDefault="001965D1">
      <w:pPr>
        <w:spacing w:after="151"/>
        <w:ind w:left="14" w:right="28"/>
      </w:pPr>
      <w:r>
        <w:t>Nedílnou součástí této objednávky jsou následující přílohy:</w:t>
      </w:r>
    </w:p>
    <w:p w:rsidR="00F33AE3" w:rsidRDefault="001965D1">
      <w:pPr>
        <w:spacing w:after="261"/>
        <w:ind w:left="14" w:right="28"/>
      </w:pPr>
      <w:r>
        <w:t>Příloha č. 1 — Položkový rozpis ceny</w:t>
      </w:r>
    </w:p>
    <w:p w:rsidR="00F33AE3" w:rsidRDefault="001965D1">
      <w:pPr>
        <w:tabs>
          <w:tab w:val="center" w:pos="2525"/>
        </w:tabs>
        <w:spacing w:after="155"/>
        <w:ind w:right="0"/>
        <w:jc w:val="left"/>
      </w:pPr>
      <w:r>
        <w:t>V Podivíně dne</w:t>
      </w:r>
      <w:r>
        <w:tab/>
      </w:r>
      <w:r>
        <w:rPr>
          <w:noProof/>
        </w:rPr>
        <w:drawing>
          <wp:inline distT="0" distB="0" distL="0" distR="0">
            <wp:extent cx="36576" cy="15244"/>
            <wp:effectExtent l="0" t="0" r="0" b="0"/>
            <wp:docPr id="2952" name="Picture 2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2" name="Picture 29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AE3" w:rsidRDefault="001965D1">
      <w:pPr>
        <w:ind w:left="14" w:right="28"/>
      </w:pPr>
      <w:r>
        <w:t xml:space="preserve">Za Objednatele: </w:t>
      </w:r>
      <w:r w:rsidR="000E7E0B" w:rsidRPr="000E7E0B">
        <w:rPr>
          <w:highlight w:val="black"/>
        </w:rPr>
        <w:t>xxxxxxxxxxxxxxxxxxxxxxx</w:t>
      </w:r>
      <w:bookmarkStart w:id="0" w:name="_GoBack"/>
      <w:bookmarkEnd w:id="0"/>
    </w:p>
    <w:p w:rsidR="00F33AE3" w:rsidRDefault="001965D1">
      <w:pPr>
        <w:ind w:left="1637" w:right="28"/>
      </w:pPr>
      <w:r>
        <w:t>Vedoucí ssÚD 7 Podivín</w:t>
      </w:r>
    </w:p>
    <w:p w:rsidR="00F33AE3" w:rsidRDefault="00F33AE3">
      <w:pPr>
        <w:spacing w:after="760" w:line="259" w:lineRule="auto"/>
        <w:ind w:left="48" w:right="0"/>
        <w:jc w:val="left"/>
      </w:pPr>
    </w:p>
    <w:p w:rsidR="00F33AE3" w:rsidRDefault="001965D1">
      <w:pPr>
        <w:spacing w:after="1187"/>
        <w:ind w:left="14" w:right="28"/>
      </w:pPr>
      <w:r>
        <w:t>Za Dodavatele:</w:t>
      </w:r>
    </w:p>
    <w:p w:rsidR="00F33AE3" w:rsidRDefault="00F33AE3">
      <w:pPr>
        <w:spacing w:after="3659" w:line="259" w:lineRule="auto"/>
        <w:ind w:left="667" w:right="0"/>
        <w:jc w:val="left"/>
      </w:pPr>
    </w:p>
    <w:p w:rsidR="00F33AE3" w:rsidRDefault="001965D1">
      <w:pPr>
        <w:spacing w:after="287" w:line="259" w:lineRule="auto"/>
        <w:ind w:left="173" w:right="0" w:hanging="10"/>
        <w:jc w:val="center"/>
      </w:pPr>
      <w:r>
        <w:rPr>
          <w:sz w:val="16"/>
        </w:rPr>
        <w:t>Stránka 2 z 2</w:t>
      </w:r>
    </w:p>
    <w:p w:rsidR="00F33AE3" w:rsidRDefault="001965D1">
      <w:pPr>
        <w:spacing w:after="958"/>
        <w:ind w:left="1886" w:right="28"/>
      </w:pPr>
      <w:r>
        <w:t>OCENÈNÝ ROZPIS ZBOŽÍ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787" name="Picture 6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" name="Picture 67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976" w:type="dxa"/>
        <w:tblInd w:w="43" w:type="dxa"/>
        <w:tblCellMar>
          <w:top w:w="34" w:type="dxa"/>
          <w:left w:w="106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5136"/>
        <w:gridCol w:w="769"/>
        <w:gridCol w:w="1524"/>
        <w:gridCol w:w="1547"/>
      </w:tblGrid>
      <w:tr w:rsidR="00F33AE3">
        <w:trPr>
          <w:trHeight w:val="708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9" w:right="0"/>
              <w:jc w:val="left"/>
            </w:pPr>
            <w:r>
              <w:rPr>
                <w:sz w:val="20"/>
              </w:rPr>
              <w:t>Název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21" w:right="0"/>
              <w:jc w:val="left"/>
            </w:pPr>
            <w:r>
              <w:rPr>
                <w:sz w:val="22"/>
              </w:rPr>
              <w:t>ks/pár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45" w:right="0"/>
              <w:jc w:val="center"/>
            </w:pPr>
            <w:r>
              <w:rPr>
                <w:sz w:val="20"/>
              </w:rPr>
              <w:t>Cena bez DPII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0"/>
              <w:jc w:val="center"/>
            </w:pPr>
            <w:r>
              <w:rPr>
                <w:sz w:val="20"/>
              </w:rPr>
              <w:t>Cena celkem bez DPII</w:t>
            </w:r>
          </w:p>
        </w:tc>
      </w:tr>
      <w:tr w:rsidR="00F33AE3">
        <w:trPr>
          <w:trHeight w:val="526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19" w:right="0"/>
              <w:jc w:val="left"/>
            </w:pPr>
            <w:r>
              <w:rPr>
                <w:sz w:val="22"/>
              </w:rPr>
              <w:t>Kotníková obuv s ocel.špicí DOG BOXER SI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3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0"/>
              <w:jc w:val="right"/>
            </w:pPr>
            <w:r>
              <w:t>381,80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2"/>
              <w:jc w:val="right"/>
            </w:pPr>
            <w:r>
              <w:rPr>
                <w:sz w:val="20"/>
              </w:rPr>
              <w:t>I .909,OO</w:t>
            </w:r>
          </w:p>
        </w:tc>
      </w:tr>
      <w:tr w:rsidR="00F33AE3">
        <w:trPr>
          <w:trHeight w:val="528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Kotník ROCK GRANTE S3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6" w:right="0"/>
              <w:jc w:val="center"/>
            </w:pPr>
            <w:r>
              <w:t>10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0"/>
              <w:jc w:val="right"/>
            </w:pPr>
            <w:r>
              <w:t>595,90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7"/>
              <w:jc w:val="right"/>
            </w:pPr>
            <w:r>
              <w:t>5.950,oo</w:t>
            </w:r>
          </w:p>
        </w:tc>
      </w:tr>
      <w:tr w:rsidR="00F33AE3">
        <w:trPr>
          <w:trHeight w:val="528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03504" cy="115857"/>
                  <wp:effectExtent l="0" t="0" r="0" b="0"/>
                  <wp:docPr id="6734" name="Picture 6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" name="Picture 67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" cy="11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DOG SETTER SI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3"/>
              <w:jc w:val="center"/>
            </w:pPr>
            <w:r>
              <w:t>30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0"/>
              <w:jc w:val="right"/>
            </w:pPr>
            <w:r>
              <w:t>370,60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376" w:right="0"/>
              <w:jc w:val="left"/>
            </w:pPr>
            <w:r>
              <w:t>11.118,oo</w:t>
            </w:r>
          </w:p>
        </w:tc>
      </w:tr>
      <w:tr w:rsidR="00F33AE3">
        <w:trPr>
          <w:trHeight w:val="516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Polobotka s plast.špicí ROCK ORE S3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7" w:right="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584,60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7"/>
              <w:jc w:val="right"/>
            </w:pPr>
            <w:r>
              <w:t>8.769,oo</w:t>
            </w:r>
          </w:p>
        </w:tc>
      </w:tr>
      <w:tr w:rsidR="00F33AE3">
        <w:trPr>
          <w:trHeight w:val="526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Kotník PANDA strong MISTRAL S3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3"/>
              <w:jc w:val="center"/>
            </w:pPr>
            <w:r>
              <w:t>30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669,00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352" w:right="0"/>
              <w:jc w:val="left"/>
            </w:pPr>
            <w:r>
              <w:t>20.070,00</w:t>
            </w:r>
          </w:p>
        </w:tc>
      </w:tr>
      <w:tr w:rsidR="00F33AE3">
        <w:trPr>
          <w:trHeight w:val="525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Holínka PVC URAN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3"/>
              <w:jc w:val="center"/>
            </w:pPr>
            <w:r>
              <w:t>30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1 11,50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11"/>
              <w:jc w:val="right"/>
            </w:pPr>
            <w:r>
              <w:rPr>
                <w:sz w:val="22"/>
              </w:rPr>
              <w:t>3.345,oo</w:t>
            </w:r>
          </w:p>
        </w:tc>
      </w:tr>
      <w:tr w:rsidR="00F33AE3">
        <w:trPr>
          <w:trHeight w:val="523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Blüza LUX FDA</w:t>
            </w:r>
          </w:p>
        </w:tc>
        <w:tc>
          <w:tcPr>
            <w:tcW w:w="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3"/>
              <w:jc w:val="center"/>
            </w:pPr>
            <w:r>
              <w:t>27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291,70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11"/>
              <w:jc w:val="right"/>
            </w:pPr>
            <w:r>
              <w:rPr>
                <w:sz w:val="26"/>
              </w:rPr>
              <w:t>1876,00</w:t>
            </w:r>
          </w:p>
        </w:tc>
      </w:tr>
      <w:tr w:rsidR="00F33AE3">
        <w:trPr>
          <w:trHeight w:val="523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Kaihoty s laclcm LUX EDA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11" w:right="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287,20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3AE3" w:rsidRDefault="00F33AE3">
            <w:pPr>
              <w:spacing w:after="160" w:line="259" w:lineRule="auto"/>
              <w:ind w:right="0"/>
              <w:jc w:val="left"/>
            </w:pPr>
          </w:p>
        </w:tc>
      </w:tr>
      <w:tr w:rsidR="00F33AE3">
        <w:trPr>
          <w:trHeight w:val="533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10" w:right="0"/>
              <w:jc w:val="left"/>
            </w:pPr>
            <w:r>
              <w:t>Kaihoty do pasu LUX JOSEF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13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230,90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F33AE3">
            <w:pPr>
              <w:spacing w:after="160" w:line="259" w:lineRule="auto"/>
              <w:ind w:right="0"/>
              <w:jc w:val="left"/>
            </w:pPr>
          </w:p>
        </w:tc>
      </w:tr>
      <w:tr w:rsidR="00F33AE3">
        <w:trPr>
          <w:trHeight w:val="523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5" w:right="0"/>
              <w:jc w:val="left"/>
            </w:pPr>
            <w:r>
              <w:t>Zateplený kabát JUTOS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22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449,40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376" w:right="0"/>
              <w:jc w:val="left"/>
            </w:pPr>
            <w:r>
              <w:t>1 1235,00</w:t>
            </w:r>
          </w:p>
        </w:tc>
      </w:tr>
      <w:tr w:rsidR="00F33AE3">
        <w:trPr>
          <w:trHeight w:val="519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0"/>
              <w:jc w:val="left"/>
            </w:pPr>
            <w:r>
              <w:t>Výstražná pol()košile DOVER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3"/>
              <w:jc w:val="center"/>
            </w:pPr>
            <w:r>
              <w:t>60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201,60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376" w:right="0"/>
              <w:jc w:val="left"/>
            </w:pPr>
            <w:r>
              <w:rPr>
                <w:sz w:val="20"/>
              </w:rPr>
              <w:t>12.096,OO</w:t>
            </w:r>
          </w:p>
        </w:tc>
      </w:tr>
      <w:tr w:rsidR="00F33AE3">
        <w:trPr>
          <w:trHeight w:val="526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5" w:right="0"/>
              <w:jc w:val="left"/>
            </w:pPr>
            <w:r>
              <w:t>Výstražná Eepice KEADY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3"/>
              <w:jc w:val="center"/>
            </w:pPr>
            <w:r>
              <w:t>30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9"/>
              <w:jc w:val="right"/>
            </w:pPr>
            <w:r>
              <w:t>62,00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491" w:right="0"/>
              <w:jc w:val="left"/>
            </w:pPr>
            <w:r>
              <w:rPr>
                <w:sz w:val="20"/>
              </w:rPr>
              <w:t>I .860,OO</w:t>
            </w:r>
          </w:p>
        </w:tc>
      </w:tr>
      <w:tr w:rsidR="00F33AE3">
        <w:trPr>
          <w:trHeight w:val="528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5" w:right="0"/>
              <w:jc w:val="left"/>
            </w:pPr>
            <w:r>
              <w:t>Brýle polykarbonátové ROY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22"/>
              <w:jc w:val="center"/>
            </w:pPr>
            <w:r>
              <w:t>35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9"/>
              <w:jc w:val="right"/>
            </w:pPr>
            <w:r>
              <w:t>43,90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491" w:right="0"/>
              <w:jc w:val="left"/>
            </w:pPr>
            <w:r>
              <w:rPr>
                <w:sz w:val="22"/>
              </w:rPr>
              <w:t>I .536,50</w:t>
            </w:r>
          </w:p>
        </w:tc>
      </w:tr>
      <w:tr w:rsidR="00F33AE3">
        <w:trPr>
          <w:trHeight w:val="523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5" w:right="0"/>
              <w:jc w:val="left"/>
            </w:pPr>
            <w:r>
              <w:t>Brýle CXS LYNX koui•ové</w:t>
            </w:r>
          </w:p>
        </w:tc>
        <w:tc>
          <w:tcPr>
            <w:tcW w:w="7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7"/>
              <w:jc w:val="center"/>
            </w:pPr>
            <w:r>
              <w:t>40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38,30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F33AE3">
            <w:pPr>
              <w:spacing w:after="160" w:line="259" w:lineRule="auto"/>
              <w:ind w:right="0"/>
              <w:jc w:val="left"/>
            </w:pPr>
          </w:p>
        </w:tc>
      </w:tr>
      <w:tr w:rsidR="00F33AE3">
        <w:trPr>
          <w:trHeight w:val="528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5" w:right="0"/>
              <w:jc w:val="left"/>
            </w:pPr>
            <w:r>
              <w:t>Rukavice kombinované BUDY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8"/>
              <w:jc w:val="center"/>
            </w:pPr>
            <w:r>
              <w:t>50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50,70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467" w:right="0"/>
              <w:jc w:val="left"/>
            </w:pPr>
            <w:r>
              <w:rPr>
                <w:sz w:val="22"/>
              </w:rPr>
              <w:t>2.535,oo</w:t>
            </w:r>
          </w:p>
        </w:tc>
      </w:tr>
      <w:tr w:rsidR="00F33AE3">
        <w:trPr>
          <w:trHeight w:val="528"/>
        </w:trPr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left="5" w:right="0"/>
              <w:jc w:val="left"/>
            </w:pPr>
            <w:r>
              <w:t>Rukavice kombinované DINGO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right="32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3AE3" w:rsidRDefault="001965D1">
            <w:pPr>
              <w:spacing w:line="259" w:lineRule="auto"/>
              <w:ind w:right="14"/>
              <w:jc w:val="right"/>
            </w:pPr>
            <w:r>
              <w:t>25,90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3AE3" w:rsidRDefault="001965D1">
            <w:pPr>
              <w:spacing w:line="259" w:lineRule="auto"/>
              <w:ind w:left="491" w:right="0"/>
              <w:jc w:val="left"/>
            </w:pPr>
            <w:r>
              <w:rPr>
                <w:sz w:val="22"/>
              </w:rPr>
              <w:t>1.113,70</w:t>
            </w:r>
          </w:p>
        </w:tc>
      </w:tr>
    </w:tbl>
    <w:p w:rsidR="00F33AE3" w:rsidRDefault="001965D1">
      <w:pPr>
        <w:spacing w:line="259" w:lineRule="auto"/>
        <w:ind w:left="2040" w:right="0"/>
        <w:jc w:val="left"/>
      </w:pPr>
      <w:r>
        <w:rPr>
          <w:noProof/>
        </w:rPr>
        <w:drawing>
          <wp:inline distT="0" distB="0" distL="0" distR="0">
            <wp:extent cx="1527049" cy="679898"/>
            <wp:effectExtent l="0" t="0" r="0" b="0"/>
            <wp:docPr id="6978" name="Picture 6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" name="Picture 69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7049" cy="67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AE3" w:rsidRDefault="00F33AE3">
      <w:pPr>
        <w:sectPr w:rsidR="00F33A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4" w:h="16829"/>
          <w:pgMar w:top="1398" w:right="1421" w:bottom="1012" w:left="1387" w:header="708" w:footer="708" w:gutter="0"/>
          <w:cols w:space="708"/>
        </w:sectPr>
      </w:pPr>
    </w:p>
    <w:p w:rsidR="00F33AE3" w:rsidRDefault="001965D1">
      <w:pPr>
        <w:spacing w:line="259" w:lineRule="auto"/>
        <w:ind w:left="-1440" w:right="10464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6288"/>
            <wp:effectExtent l="0" t="0" r="0" b="0"/>
            <wp:wrapTopAndBottom/>
            <wp:docPr id="13693" name="Picture 13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3" name="Picture 1369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3AE3">
      <w:pgSz w:w="11904" w:h="1682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1" w:rsidRDefault="001965D1" w:rsidP="001965D1">
      <w:pPr>
        <w:spacing w:line="240" w:lineRule="auto"/>
      </w:pPr>
      <w:r>
        <w:separator/>
      </w:r>
    </w:p>
  </w:endnote>
  <w:endnote w:type="continuationSeparator" w:id="0">
    <w:p w:rsidR="001965D1" w:rsidRDefault="001965D1" w:rsidP="0019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1" w:rsidRDefault="001965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1" w:rsidRDefault="001965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1" w:rsidRDefault="001965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1" w:rsidRDefault="001965D1" w:rsidP="001965D1">
      <w:pPr>
        <w:spacing w:line="240" w:lineRule="auto"/>
      </w:pPr>
      <w:r>
        <w:separator/>
      </w:r>
    </w:p>
  </w:footnote>
  <w:footnote w:type="continuationSeparator" w:id="0">
    <w:p w:rsidR="001965D1" w:rsidRDefault="001965D1" w:rsidP="0019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1" w:rsidRDefault="001965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1" w:rsidRDefault="001965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1" w:rsidRDefault="001965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E3"/>
    <w:rsid w:val="000E7E0B"/>
    <w:rsid w:val="001965D1"/>
    <w:rsid w:val="00F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BD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9" w:lineRule="auto"/>
      <w:ind w:right="7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5D1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19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5D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2019-02-12T12:12:00Z</dcterms:created>
  <dcterms:modified xsi:type="dcterms:W3CDTF">2019-02-12T12:12:00Z</dcterms:modified>
</cp:coreProperties>
</file>