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7D" w:rsidRDefault="0049107D">
      <w:pPr>
        <w:spacing w:after="144" w:line="259" w:lineRule="auto"/>
        <w:ind w:left="10"/>
        <w:jc w:val="left"/>
      </w:pPr>
    </w:p>
    <w:p w:rsidR="0049107D" w:rsidRDefault="00645A78">
      <w:pPr>
        <w:pStyle w:val="Nadpis1"/>
      </w:pPr>
      <w:r>
        <w:t>OBJEDNÁVKA (SMLOUV</w:t>
      </w:r>
      <w:r w:rsidR="00B04703">
        <w:t>A)</w:t>
      </w:r>
    </w:p>
    <w:p w:rsidR="0049107D" w:rsidRDefault="00645A78">
      <w:pPr>
        <w:spacing w:after="0"/>
      </w:pPr>
      <w:r>
        <w:t>Číslo obj</w:t>
      </w:r>
      <w:r w:rsidR="00B04703">
        <w:t xml:space="preserve">ednatele: </w:t>
      </w:r>
      <w:r>
        <w:rPr>
          <w:noProof/>
        </w:rPr>
        <w:t xml:space="preserve"> 06EU-004078</w:t>
      </w:r>
      <w:r w:rsidR="00B04703">
        <w:t xml:space="preserve"> (uvádějte při</w:t>
      </w:r>
      <w:r>
        <w:rPr>
          <w:noProof/>
        </w:rPr>
        <w:t xml:space="preserve"> fakturaci)</w:t>
      </w:r>
    </w:p>
    <w:p w:rsidR="0049107D" w:rsidRDefault="00B04703">
      <w:pPr>
        <w:spacing w:after="20" w:line="259" w:lineRule="auto"/>
        <w:ind w:left="1191" w:hanging="10"/>
        <w:jc w:val="center"/>
      </w:pPr>
      <w:r>
        <w:t xml:space="preserve">Číslo dodavatele: </w:t>
      </w:r>
      <w:r w:rsidRPr="00645A78">
        <w:rPr>
          <w:highlight w:val="black"/>
        </w:rPr>
        <w:t>19.0051-07</w:t>
      </w:r>
    </w:p>
    <w:p w:rsidR="0049107D" w:rsidRDefault="00B04703">
      <w:pPr>
        <w:spacing w:after="356" w:line="259" w:lineRule="auto"/>
        <w:ind w:left="1191" w:right="5" w:hanging="10"/>
        <w:jc w:val="center"/>
      </w:pPr>
      <w:r>
        <w:t>ISPROFIN: 32711 10901 NIV protihluk</w:t>
      </w:r>
      <w:r w:rsidR="00645A78">
        <w:t>y (uváděj</w:t>
      </w:r>
      <w:r>
        <w:t>te p</w:t>
      </w:r>
      <w:r w:rsidR="00645A78">
        <w:t>ř</w:t>
      </w:r>
      <w:r>
        <w:t>i fakturaci)</w:t>
      </w:r>
    </w:p>
    <w:p w:rsidR="0049107D" w:rsidRDefault="00B04703">
      <w:pPr>
        <w:pStyle w:val="Nadpis2"/>
      </w:pPr>
      <w:r>
        <w:t>I/26 Horšovský Týn — III. etapa odstraňování SHZ</w:t>
      </w:r>
    </w:p>
    <w:tbl>
      <w:tblPr>
        <w:tblStyle w:val="TableGrid"/>
        <w:tblW w:w="8549" w:type="dxa"/>
        <w:tblInd w:w="124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26"/>
        <w:gridCol w:w="4123"/>
      </w:tblGrid>
      <w:tr w:rsidR="0049107D">
        <w:trPr>
          <w:trHeight w:val="229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49107D" w:rsidRPr="00645A78" w:rsidRDefault="00B04703">
            <w:pPr>
              <w:spacing w:after="0" w:line="259" w:lineRule="auto"/>
              <w:ind w:left="10"/>
              <w:jc w:val="left"/>
            </w:pPr>
            <w:r w:rsidRPr="00645A78">
              <w:t>Objednatel: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49107D" w:rsidRPr="00645A78" w:rsidRDefault="00B04703">
            <w:pPr>
              <w:spacing w:after="0" w:line="259" w:lineRule="auto"/>
              <w:ind w:left="101"/>
              <w:jc w:val="left"/>
            </w:pPr>
            <w:r w:rsidRPr="00645A78">
              <w:t>Dodavatel:</w:t>
            </w:r>
          </w:p>
        </w:tc>
      </w:tr>
      <w:tr w:rsidR="0049107D">
        <w:trPr>
          <w:trHeight w:val="273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49107D" w:rsidRPr="00645A78" w:rsidRDefault="00B04703">
            <w:pPr>
              <w:spacing w:after="0" w:line="259" w:lineRule="auto"/>
              <w:ind w:left="10"/>
              <w:jc w:val="left"/>
            </w:pPr>
            <w:r w:rsidRPr="00645A78">
              <w:t>Ředitelství silnic a dálnic ČR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49107D" w:rsidRPr="00645A78" w:rsidRDefault="00645A78">
            <w:pPr>
              <w:spacing w:after="0" w:line="259" w:lineRule="auto"/>
              <w:ind w:left="101"/>
              <w:jc w:val="left"/>
            </w:pPr>
            <w:r>
              <w:rPr>
                <w:rFonts w:eastAsia="Courier New"/>
              </w:rPr>
              <w:t>Obchodní jméno: EKOLA group,</w:t>
            </w:r>
            <w:r w:rsidR="00B04703" w:rsidRPr="00645A78">
              <w:rPr>
                <w:rFonts w:eastAsia="Courier New"/>
              </w:rPr>
              <w:t xml:space="preserve"> spol. s r.o.</w:t>
            </w:r>
          </w:p>
        </w:tc>
      </w:tr>
      <w:tr w:rsidR="0049107D">
        <w:trPr>
          <w:trHeight w:val="270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49107D" w:rsidRPr="00645A78" w:rsidRDefault="00B04703" w:rsidP="00645A78">
            <w:pPr>
              <w:spacing w:after="0" w:line="259" w:lineRule="auto"/>
              <w:ind w:left="10"/>
              <w:jc w:val="left"/>
            </w:pPr>
            <w:r w:rsidRPr="00645A78">
              <w:t>Správa Plzeň</w:t>
            </w:r>
            <w:r w:rsidR="00645A78">
              <w:t>,</w:t>
            </w:r>
            <w:r w:rsidRPr="00645A78">
              <w:t xml:space="preserve"> Hřímalého 37, 301 00 Plzeň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49107D" w:rsidRPr="00645A78" w:rsidRDefault="00B04703" w:rsidP="00645A78">
            <w:pPr>
              <w:spacing w:after="0" w:line="259" w:lineRule="auto"/>
              <w:ind w:left="101"/>
              <w:jc w:val="left"/>
            </w:pPr>
            <w:r w:rsidRPr="00645A78">
              <w:t xml:space="preserve">Adresa: Mistrovská 4, 108 00 Praha </w:t>
            </w:r>
            <w:r w:rsidR="00645A78">
              <w:t>10</w:t>
            </w:r>
          </w:p>
        </w:tc>
      </w:tr>
      <w:tr w:rsidR="0049107D">
        <w:trPr>
          <w:trHeight w:val="297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49107D" w:rsidRPr="00645A78" w:rsidRDefault="00B04703">
            <w:pPr>
              <w:spacing w:after="0" w:line="259" w:lineRule="auto"/>
              <w:ind w:left="5"/>
              <w:jc w:val="left"/>
            </w:pPr>
            <w:r w:rsidRPr="00645A78">
              <w:t xml:space="preserve">Bankovní spojení: </w:t>
            </w:r>
            <w:r w:rsidRPr="00645A78">
              <w:rPr>
                <w:highlight w:val="black"/>
              </w:rPr>
              <w:t>ČNB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49107D" w:rsidRPr="00645A78" w:rsidRDefault="00B04703">
            <w:pPr>
              <w:spacing w:after="0" w:line="259" w:lineRule="auto"/>
              <w:ind w:left="91"/>
              <w:jc w:val="left"/>
            </w:pPr>
            <w:r w:rsidRPr="00645A78">
              <w:t xml:space="preserve">Bankovní spojení: </w:t>
            </w:r>
            <w:r w:rsidRPr="00645A78">
              <w:rPr>
                <w:highlight w:val="black"/>
              </w:rPr>
              <w:t>ČSOB. Praha 2</w:t>
            </w:r>
          </w:p>
        </w:tc>
      </w:tr>
      <w:tr w:rsidR="0049107D">
        <w:trPr>
          <w:trHeight w:val="267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49107D" w:rsidRPr="00645A78" w:rsidRDefault="00B04703">
            <w:pPr>
              <w:spacing w:after="0" w:line="259" w:lineRule="auto"/>
              <w:ind w:left="5"/>
              <w:jc w:val="left"/>
            </w:pPr>
            <w:r w:rsidRPr="00645A78">
              <w:t xml:space="preserve">číslo účtu: </w:t>
            </w:r>
            <w:r w:rsidRPr="00645A78">
              <w:rPr>
                <w:highlight w:val="black"/>
              </w:rPr>
              <w:t>20001-1593703 1/0710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49107D" w:rsidRPr="00645A78" w:rsidRDefault="00B04703">
            <w:pPr>
              <w:spacing w:after="0" w:line="259" w:lineRule="auto"/>
              <w:ind w:left="96"/>
              <w:jc w:val="left"/>
            </w:pPr>
            <w:r w:rsidRPr="00645A78">
              <w:t xml:space="preserve">číslo účtu: </w:t>
            </w:r>
            <w:r w:rsidRPr="00645A78">
              <w:rPr>
                <w:highlight w:val="black"/>
              </w:rPr>
              <w:t>473366133/0300</w:t>
            </w:r>
          </w:p>
        </w:tc>
      </w:tr>
      <w:tr w:rsidR="0049107D">
        <w:trPr>
          <w:trHeight w:val="277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49107D" w:rsidRPr="00645A78" w:rsidRDefault="00B04703">
            <w:pPr>
              <w:spacing w:after="0" w:line="259" w:lineRule="auto"/>
              <w:ind w:left="5"/>
              <w:jc w:val="left"/>
            </w:pPr>
            <w:r w:rsidRPr="00645A78">
              <w:t>IČO: 65993390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49107D" w:rsidRPr="00645A78" w:rsidRDefault="00B04703">
            <w:pPr>
              <w:spacing w:after="0" w:line="259" w:lineRule="auto"/>
              <w:ind w:left="91"/>
              <w:jc w:val="left"/>
            </w:pPr>
            <w:r w:rsidRPr="00645A78">
              <w:t>IČO: 63981378</w:t>
            </w:r>
          </w:p>
        </w:tc>
      </w:tr>
      <w:tr w:rsidR="0049107D">
        <w:trPr>
          <w:trHeight w:val="557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49107D" w:rsidRPr="00645A78" w:rsidRDefault="00B04703">
            <w:pPr>
              <w:spacing w:after="0" w:line="259" w:lineRule="auto"/>
              <w:ind w:left="0"/>
              <w:jc w:val="left"/>
            </w:pPr>
            <w:r w:rsidRPr="00645A78">
              <w:rPr>
                <w:rFonts w:eastAsia="Courier New"/>
              </w:rPr>
              <w:t>DIČ: CZ65993390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49107D" w:rsidRPr="00645A78" w:rsidRDefault="00B04703">
            <w:pPr>
              <w:spacing w:after="14" w:line="259" w:lineRule="auto"/>
              <w:ind w:left="91"/>
              <w:jc w:val="left"/>
            </w:pPr>
            <w:r w:rsidRPr="00645A78">
              <w:t>DIČ: CZ63981378</w:t>
            </w:r>
          </w:p>
          <w:p w:rsidR="0049107D" w:rsidRPr="00645A78" w:rsidRDefault="00B04703">
            <w:pPr>
              <w:spacing w:after="0" w:line="259" w:lineRule="auto"/>
              <w:ind w:left="91"/>
              <w:jc w:val="left"/>
            </w:pPr>
            <w:r w:rsidRPr="00645A78">
              <w:t xml:space="preserve">Kontaktní osoba: </w:t>
            </w:r>
            <w:r w:rsidRPr="00645A78">
              <w:rPr>
                <w:highlight w:val="black"/>
              </w:rPr>
              <w:t>RNDr. Libuše Bartošová</w:t>
            </w:r>
            <w:r w:rsidRPr="00645A78">
              <w:rPr>
                <w:noProof/>
                <w:highlight w:val="black"/>
              </w:rPr>
              <w:drawing>
                <wp:inline distT="0" distB="0" distL="0" distR="0">
                  <wp:extent cx="9144" cy="6098"/>
                  <wp:effectExtent l="0" t="0" r="0" b="0"/>
                  <wp:docPr id="1832" name="Picture 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Picture 18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5A78" w:rsidRPr="00645A78" w:rsidRDefault="00645A78">
            <w:pPr>
              <w:spacing w:after="0" w:line="259" w:lineRule="auto"/>
              <w:ind w:left="91"/>
              <w:jc w:val="left"/>
            </w:pPr>
          </w:p>
        </w:tc>
      </w:tr>
    </w:tbl>
    <w:p w:rsidR="0049107D" w:rsidRDefault="00B04703">
      <w:pPr>
        <w:ind w:left="1219" w:right="139"/>
      </w:pPr>
      <w:r>
        <w:t>Tato objednávka - smlouva Objednatele zavazuje po jejím potvrzen</w:t>
      </w:r>
      <w:r w:rsidR="00645A78">
        <w:t>í Dodavatelem obě smluvní strany</w:t>
      </w:r>
      <w:r>
        <w:t xml:space="preserve"> ke splnění stanovených závazků a nahrazuje smlouvu. Dodavatel se zavazuje provést na svůj náklad nebezpečí pro Objednatele služby specifikované níže. Objednate</w:t>
      </w:r>
      <w:r>
        <w:t xml:space="preserve">l se zavazuje zaplatit za služby </w:t>
      </w:r>
      <w:r w:rsidR="00645A78">
        <w:t>poskytnuté v souladu s touto obj</w:t>
      </w:r>
      <w:r>
        <w:t>ednávkou cenu uvedenou níže.</w:t>
      </w:r>
    </w:p>
    <w:p w:rsidR="0049107D" w:rsidRDefault="00B04703">
      <w:pPr>
        <w:spacing w:after="152"/>
        <w:ind w:left="1219"/>
      </w:pPr>
      <w:r>
        <w:t>Místo dodání: Ředitelství silnic a dálnic</w:t>
      </w:r>
      <w:r w:rsidR="00645A78">
        <w:t xml:space="preserve"> ČR. Správa Plzeň. Hřímalého 37,</w:t>
      </w:r>
      <w:r>
        <w:t xml:space="preserve"> 301 00 Plzeň</w:t>
      </w:r>
    </w:p>
    <w:p w:rsidR="0049107D" w:rsidRDefault="00B04703">
      <w:pPr>
        <w:spacing w:after="159" w:line="265" w:lineRule="auto"/>
        <w:ind w:left="1224" w:hanging="5"/>
        <w:jc w:val="left"/>
      </w:pPr>
      <w:r>
        <w:rPr>
          <w:sz w:val="24"/>
        </w:rPr>
        <w:t xml:space="preserve">Kontaktní osoba Objednatele: </w:t>
      </w:r>
      <w:r w:rsidRPr="00645A78">
        <w:rPr>
          <w:sz w:val="24"/>
          <w:highlight w:val="black"/>
        </w:rPr>
        <w:t>Ladislava Martínková, tel, 377 333 761</w:t>
      </w:r>
    </w:p>
    <w:p w:rsidR="0049107D" w:rsidRDefault="00B04703">
      <w:pPr>
        <w:spacing w:after="151"/>
        <w:ind w:left="1219"/>
      </w:pPr>
      <w:r>
        <w:t>Fakturu</w:t>
      </w:r>
      <w:r>
        <w:t>jte:</w:t>
      </w:r>
      <w:r w:rsidR="00645A78">
        <w:t xml:space="preserve"> Ředitelství silnic a dálnic ČR,</w:t>
      </w:r>
      <w:r>
        <w:t xml:space="preserve"> Správa Plzeň, Hřímalého 37</w:t>
      </w:r>
      <w:r w:rsidR="00645A78">
        <w:t>,</w:t>
      </w:r>
      <w:r>
        <w:t xml:space="preserve"> 301 00 Plzeň</w:t>
      </w:r>
    </w:p>
    <w:p w:rsidR="0049107D" w:rsidRDefault="00645A78">
      <w:pPr>
        <w:spacing w:after="327"/>
        <w:ind w:left="1190" w:right="149"/>
      </w:pPr>
      <w:r>
        <w:t>Obchodní a platební podmínky</w:t>
      </w:r>
      <w:r w:rsidR="00B04703">
        <w:t>: Objednatel uhradí cenu jednorázový</w:t>
      </w:r>
      <w:r>
        <w:t>m bank</w:t>
      </w:r>
      <w:r w:rsidR="00B04703">
        <w:t>ovním převode</w:t>
      </w:r>
      <w:r>
        <w:t>m</w:t>
      </w:r>
      <w:r w:rsidR="00B04703">
        <w:t xml:space="preserve"> na úče</w:t>
      </w:r>
      <w:r>
        <w:t>t Dodavatele uvedený na faktuře,</w:t>
      </w:r>
      <w:r w:rsidR="00B04703">
        <w:t xml:space="preserve"> termín splatnosti je stanoven na 30 dnů ode dne doruče</w:t>
      </w:r>
      <w:r w:rsidR="00B04703">
        <w:t>ní faktur</w:t>
      </w:r>
      <w:r>
        <w:t>y</w:t>
      </w:r>
      <w:r w:rsidR="00B04703">
        <w:t xml:space="preserve"> Objednateli. Fakturu lze předložit nejdříve po protokolárním převzetí služeb </w:t>
      </w:r>
      <w:r w:rsidR="00B04703">
        <w:rPr>
          <w:noProof/>
        </w:rPr>
        <w:drawing>
          <wp:inline distT="0" distB="0" distL="0" distR="0">
            <wp:extent cx="3047" cy="6097"/>
            <wp:effectExtent l="0" t="0" r="0" b="0"/>
            <wp:docPr id="1833" name="Picture 1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" name="Picture 18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703">
        <w:t xml:space="preserve">Objednatelem bez vad či </w:t>
      </w:r>
      <w:r>
        <w:t>nedodělků. Faktura musí obsahov</w:t>
      </w:r>
      <w:r w:rsidR="00B04703">
        <w:t>at veškeré náležitosti stano</w:t>
      </w:r>
      <w:r>
        <w:t>vené platnými právními předpisy,</w:t>
      </w:r>
      <w:r w:rsidR="00B04703">
        <w:t xml:space="preserve"> číslo objednávky a místo dodání. Objednatel neposk</w:t>
      </w:r>
      <w:r>
        <w:t>ytuje žádné zálohy na cenu, ani dílčí platby</w:t>
      </w:r>
      <w:r w:rsidR="00B04703">
        <w:t xml:space="preserve"> cen</w:t>
      </w:r>
      <w:r>
        <w:t>y</w:t>
      </w:r>
      <w:r w:rsidR="00B04703">
        <w:t>. Potvrzením přijetí (akceptací) této objednávky se Dodavatel zavazuje plnit veškeré povinnosti v této objednávce</w:t>
      </w:r>
      <w:r>
        <w:t xml:space="preserve"> uvedené. Objednatel výslovně vy</w:t>
      </w:r>
      <w:r w:rsidR="00B04703">
        <w:t xml:space="preserve">lučuje akceptaci objednávky Dodavatelem s jakýmikoliv změnami </w:t>
      </w:r>
      <w:r w:rsidR="00B04703">
        <w:t>je</w:t>
      </w:r>
      <w:r>
        <w:t>j</w:t>
      </w:r>
      <w:r w:rsidR="00B04703">
        <w:t>ího obsahu</w:t>
      </w:r>
      <w:r>
        <w:t>,</w:t>
      </w:r>
      <w:r w:rsidR="00B04703">
        <w:t xml:space="preserve"> k takovému právnímu jednání Dodavatele s</w:t>
      </w:r>
      <w:r>
        <w:t>e nepřihlíží. Dodavatel poskytuje souhlas s uveřejněním obj</w:t>
      </w:r>
      <w:r w:rsidR="00B04703">
        <w:t>ednávky a jejího potv</w:t>
      </w:r>
      <w:r>
        <w:t>rzení v registru smluv zřízeným zákonem č.</w:t>
      </w:r>
      <w:r w:rsidR="00B04703">
        <w:t xml:space="preserve"> 340/2015 Sb.,</w:t>
      </w:r>
      <w:bookmarkStart w:id="0" w:name="_GoBack"/>
      <w:bookmarkEnd w:id="0"/>
      <w:r w:rsidR="00B04703">
        <w:t xml:space="preserve"> o zvláštních podmínkách ú</w:t>
      </w:r>
      <w:r>
        <w:t>činnosti některých smluv, uveřej</w:t>
      </w:r>
      <w:r w:rsidR="00B04703">
        <w:t>ňování</w:t>
      </w:r>
      <w:r w:rsidR="00B04703">
        <w:t xml:space="preserve"> těchto smluv </w:t>
      </w:r>
      <w:r>
        <w:t>v</w:t>
      </w:r>
      <w:r w:rsidR="00B04703">
        <w:t xml:space="preserve"> registru </w:t>
      </w:r>
      <w:r w:rsidR="00B04703">
        <w:rPr>
          <w:noProof/>
        </w:rPr>
        <w:drawing>
          <wp:inline distT="0" distB="0" distL="0" distR="0">
            <wp:extent cx="6096" cy="9147"/>
            <wp:effectExtent l="0" t="0" r="0" b="0"/>
            <wp:docPr id="1834" name="Picture 1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" name="Picture 18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smluv,</w:t>
      </w:r>
      <w:r w:rsidR="00B04703">
        <w:t xml:space="preserve"> ve znění pozdějšíc</w:t>
      </w:r>
      <w:r>
        <w:t>h předpisu (dále jako „zákon o registru smluv</w:t>
      </w:r>
      <w:r w:rsidR="00B04703">
        <w:t>). Objednatelem.</w:t>
      </w:r>
    </w:p>
    <w:p w:rsidR="00645A78" w:rsidRDefault="00645A78">
      <w:pPr>
        <w:spacing w:after="327"/>
        <w:ind w:left="1190" w:right="149"/>
      </w:pPr>
    </w:p>
    <w:p w:rsidR="00645A78" w:rsidRDefault="00645A78">
      <w:pPr>
        <w:spacing w:after="327"/>
        <w:ind w:left="1190" w:right="149"/>
      </w:pPr>
    </w:p>
    <w:p w:rsidR="00645A78" w:rsidRDefault="00645A78">
      <w:pPr>
        <w:spacing w:after="327"/>
        <w:ind w:left="1190" w:right="149"/>
      </w:pPr>
    </w:p>
    <w:p w:rsidR="00645A78" w:rsidRDefault="00645A78">
      <w:pPr>
        <w:spacing w:after="169"/>
        <w:ind w:left="1396"/>
      </w:pPr>
    </w:p>
    <w:p w:rsidR="00645A78" w:rsidRDefault="00645A78">
      <w:pPr>
        <w:spacing w:after="169"/>
        <w:ind w:left="1396"/>
      </w:pPr>
    </w:p>
    <w:p w:rsidR="00645A78" w:rsidRDefault="00645A78">
      <w:pPr>
        <w:spacing w:after="169"/>
        <w:ind w:left="1396"/>
      </w:pPr>
    </w:p>
    <w:p w:rsidR="0049107D" w:rsidRDefault="00B04703">
      <w:pPr>
        <w:spacing w:after="169"/>
        <w:ind w:left="1396"/>
      </w:pPr>
      <w:r>
        <w:lastRenderedPageBreak/>
        <w:t>Objednávka je účinná okamžikem zveřejnění v registru smluv</w:t>
      </w:r>
      <w:r w:rsidR="00645A78">
        <w:t>,</w:t>
      </w:r>
      <w:r>
        <w:t xml:space="preserve"> přičemž Objednatel o lé</w:t>
      </w:r>
      <w:r w:rsidR="00645A78">
        <w:t>to skutečnosti Dodavatele infor</w:t>
      </w:r>
      <w:r>
        <w:t>muje. Obje</w:t>
      </w:r>
      <w:r>
        <w:t>dnatel je oprávněn kdykoliv po uzavření objednávky tuto objednávku vypovědět s účinky od doručení písemné výpovědi Dodavateli</w:t>
      </w:r>
      <w:r w:rsidR="00645A78">
        <w:t xml:space="preserve">, </w:t>
      </w:r>
      <w:r>
        <w:t xml:space="preserve"> a to i bez uvedení důvodu. V</w:t>
      </w:r>
      <w:r w:rsidR="00645A78">
        <w:t>ýpověď objednávky dle předcházej</w:t>
      </w:r>
      <w:r>
        <w:t>ící vě</w:t>
      </w:r>
      <w:r w:rsidR="00645A78">
        <w:t>ty nemá vliv na již řádně poskytn</w:t>
      </w:r>
      <w:r>
        <w:t>uté plnění včetně práv a povin</w:t>
      </w:r>
      <w:r w:rsidR="00645A78">
        <w:t>ností z něj vyplývajících.</w:t>
      </w:r>
    </w:p>
    <w:p w:rsidR="0049107D" w:rsidRDefault="00B04703">
      <w:pPr>
        <w:ind w:left="1396"/>
      </w:pPr>
      <w:r>
        <w:t>Záruční lhůta: dle Občanského zákoníku</w:t>
      </w:r>
    </w:p>
    <w:p w:rsidR="0049107D" w:rsidRDefault="00B04703">
      <w:pPr>
        <w:spacing w:after="155"/>
        <w:ind w:left="1396"/>
      </w:pPr>
      <w:r>
        <w:t>Objednáváme u Vás: III. etapa odstraňování staré hlukové zátěže</w:t>
      </w:r>
      <w:r>
        <w:rPr>
          <w:noProof/>
        </w:rPr>
        <w:drawing>
          <wp:inline distT="0" distB="0" distL="0" distR="0">
            <wp:extent cx="3048" cy="45733"/>
            <wp:effectExtent l="0" t="0" r="0" b="0"/>
            <wp:docPr id="18100" name="Picture 18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0" name="Picture 181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07D" w:rsidRDefault="00B04703">
      <w:pPr>
        <w:spacing w:line="265" w:lineRule="auto"/>
        <w:ind w:left="1392" w:hanging="5"/>
        <w:jc w:val="left"/>
      </w:pPr>
      <w:r>
        <w:rPr>
          <w:sz w:val="24"/>
        </w:rPr>
        <w:t xml:space="preserve">Lhůta pro dodání či termín dodání: </w:t>
      </w:r>
      <w:r>
        <w:rPr>
          <w:sz w:val="24"/>
          <w:u w:val="single" w:color="000000"/>
        </w:rPr>
        <w:t>do 30.04.2019</w:t>
      </w:r>
    </w:p>
    <w:p w:rsidR="0049107D" w:rsidRDefault="00B04703">
      <w:pPr>
        <w:spacing w:after="159" w:line="412" w:lineRule="auto"/>
        <w:ind w:left="1392" w:right="4680" w:hanging="5"/>
        <w:jc w:val="left"/>
      </w:pPr>
      <w:r>
        <w:rPr>
          <w:sz w:val="24"/>
        </w:rPr>
        <w:t xml:space="preserve">Celková hodnota objednávky v Kč: Cena bez DPH: </w:t>
      </w:r>
      <w:r w:rsidR="00645A78">
        <w:rPr>
          <w:sz w:val="24"/>
        </w:rPr>
        <w:t xml:space="preserve">         </w:t>
      </w:r>
      <w:r>
        <w:rPr>
          <w:sz w:val="24"/>
        </w:rPr>
        <w:t>176 750,00 Kč</w:t>
      </w:r>
    </w:p>
    <w:p w:rsidR="0049107D" w:rsidRDefault="00B04703">
      <w:pPr>
        <w:tabs>
          <w:tab w:val="center" w:pos="1927"/>
          <w:tab w:val="center" w:pos="4279"/>
        </w:tabs>
        <w:spacing w:after="256"/>
        <w:ind w:left="0"/>
        <w:jc w:val="left"/>
      </w:pPr>
      <w:r>
        <w:tab/>
      </w:r>
      <w:r>
        <w:t>DPH 21%:</w:t>
      </w:r>
      <w:r>
        <w:tab/>
        <w:t>37 117,50 Kč</w:t>
      </w:r>
    </w:p>
    <w:p w:rsidR="0049107D" w:rsidRDefault="00B04703">
      <w:pPr>
        <w:spacing w:after="446" w:line="265" w:lineRule="auto"/>
        <w:ind w:left="1392" w:hanging="5"/>
        <w:jc w:val="left"/>
      </w:pPr>
      <w:r>
        <w:rPr>
          <w:sz w:val="24"/>
        </w:rPr>
        <w:t>Cena celkem s DPH: 213 867,50 Kč</w:t>
      </w:r>
    </w:p>
    <w:p w:rsidR="0049107D" w:rsidRDefault="00645A78">
      <w:pPr>
        <w:spacing w:after="137" w:line="304" w:lineRule="auto"/>
        <w:ind w:left="1392" w:firstLine="5"/>
        <w:jc w:val="left"/>
      </w:pPr>
      <w:r>
        <w:t>V případě akceptace obj</w:t>
      </w:r>
      <w:r w:rsidR="00B04703">
        <w:t>ednávky Objednatele Dodavatel objednávku písemně potvrdí prostřednictvím</w:t>
      </w:r>
      <w:r w:rsidR="00B04703">
        <w:tab/>
        <w:t>e-mailu</w:t>
      </w:r>
      <w:r w:rsidR="00B04703">
        <w:tab/>
        <w:t>zaslaného</w:t>
      </w:r>
      <w:r w:rsidR="00B04703">
        <w:tab/>
        <w:t>do</w:t>
      </w:r>
      <w:r w:rsidR="00B04703">
        <w:tab/>
        <w:t>e-mailové</w:t>
      </w:r>
      <w:r w:rsidR="00B04703">
        <w:tab/>
        <w:t xml:space="preserve">schránky </w:t>
      </w:r>
      <w:r w:rsidR="00B04703">
        <w:tab/>
        <w:t xml:space="preserve">Objednatele </w:t>
      </w:r>
      <w:r w:rsidR="00B04703" w:rsidRPr="00645A78">
        <w:rPr>
          <w:highlight w:val="black"/>
        </w:rPr>
        <w:t>l</w:t>
      </w:r>
      <w:r w:rsidR="00B04703" w:rsidRPr="00645A78">
        <w:rPr>
          <w:highlight w:val="black"/>
        </w:rPr>
        <w:t>adislava.martinkovauvrsd.cz</w:t>
      </w:r>
      <w:r w:rsidR="00B04703" w:rsidRPr="00645A78">
        <w:tab/>
      </w:r>
      <w:r w:rsidR="00B04703">
        <w:t>V případě nepotvrzení a</w:t>
      </w:r>
      <w:r w:rsidR="00B04703">
        <w:t>kceptace objednávky Objednatele Dodavatelem platí, že Dodavatel objednávku neakceptoval a objednávka je bez dalšího zneplatněna.</w:t>
      </w:r>
    </w:p>
    <w:p w:rsidR="0049107D" w:rsidRDefault="00B04703">
      <w:pPr>
        <w:ind w:left="139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6553200</wp:posOffset>
            </wp:positionH>
            <wp:positionV relativeFrom="page">
              <wp:posOffset>1231743</wp:posOffset>
            </wp:positionV>
            <wp:extent cx="3048" cy="3049"/>
            <wp:effectExtent l="0" t="0" r="0" b="0"/>
            <wp:wrapSquare wrapText="bothSides"/>
            <wp:docPr id="3584" name="Picture 3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" name="Picture 35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6556248</wp:posOffset>
            </wp:positionH>
            <wp:positionV relativeFrom="page">
              <wp:posOffset>996980</wp:posOffset>
            </wp:positionV>
            <wp:extent cx="3048" cy="3049"/>
            <wp:effectExtent l="0" t="0" r="0" b="0"/>
            <wp:wrapSquare wrapText="bothSides"/>
            <wp:docPr id="3582" name="Picture 3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2" name="Picture 35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6550152</wp:posOffset>
            </wp:positionH>
            <wp:positionV relativeFrom="page">
              <wp:posOffset>1000029</wp:posOffset>
            </wp:positionV>
            <wp:extent cx="3048" cy="3049"/>
            <wp:effectExtent l="0" t="0" r="0" b="0"/>
            <wp:wrapSquare wrapText="bothSides"/>
            <wp:docPr id="3583" name="Picture 3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" name="Picture 35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Pokud není ve Smlouvě a jejích přílohách stanoveno jinak, řídí se právní vztah založený touto Smlouvou Občanským zákoníkem.</w:t>
      </w:r>
    </w:p>
    <w:p w:rsidR="0049107D" w:rsidRDefault="00B04703">
      <w:pPr>
        <w:ind w:left="1396"/>
      </w:pPr>
      <w:r>
        <w:t>Nedílnou součástí této objednávky jsou následující přílohy:</w:t>
      </w:r>
    </w:p>
    <w:p w:rsidR="0049107D" w:rsidRDefault="00B04703">
      <w:pPr>
        <w:ind w:left="1396"/>
      </w:pPr>
      <w:r>
        <w:t>Příloha č. 1 — Specifikace služeb</w:t>
      </w:r>
    </w:p>
    <w:p w:rsidR="0049107D" w:rsidRDefault="00B04703">
      <w:pPr>
        <w:spacing w:after="793"/>
        <w:ind w:left="1396"/>
      </w:pPr>
      <w:r>
        <w:t>Příloha č. 2 — Položkový rozpis ceny</w:t>
      </w:r>
    </w:p>
    <w:p w:rsidR="00645A78" w:rsidRDefault="00645A78">
      <w:pPr>
        <w:spacing w:after="793"/>
        <w:ind w:left="1396"/>
      </w:pPr>
      <w:r>
        <w:t>V Plzni dne 11-02-2019                                                      V Praze dne 1.2.2019</w:t>
      </w:r>
    </w:p>
    <w:p w:rsidR="0049107D" w:rsidRDefault="00B04703" w:rsidP="00645A78">
      <w:pPr>
        <w:tabs>
          <w:tab w:val="center" w:pos="5844"/>
          <w:tab w:val="center" w:pos="6902"/>
        </w:tabs>
        <w:ind w:left="0"/>
        <w:jc w:val="left"/>
      </w:pPr>
      <w:r>
        <w:tab/>
      </w:r>
    </w:p>
    <w:p w:rsidR="00645A78" w:rsidRDefault="00645A78" w:rsidP="00645A78">
      <w:pPr>
        <w:tabs>
          <w:tab w:val="center" w:pos="5844"/>
          <w:tab w:val="center" w:pos="6902"/>
        </w:tabs>
        <w:ind w:left="0"/>
        <w:jc w:val="left"/>
      </w:pPr>
    </w:p>
    <w:p w:rsidR="00645A78" w:rsidRDefault="00645A78" w:rsidP="00645A78">
      <w:pPr>
        <w:tabs>
          <w:tab w:val="center" w:pos="5844"/>
          <w:tab w:val="center" w:pos="6902"/>
        </w:tabs>
        <w:ind w:left="0"/>
        <w:jc w:val="left"/>
      </w:pPr>
    </w:p>
    <w:p w:rsidR="00645A78" w:rsidRDefault="00645A78" w:rsidP="00645A78">
      <w:pPr>
        <w:tabs>
          <w:tab w:val="center" w:pos="5844"/>
          <w:tab w:val="center" w:pos="6902"/>
        </w:tabs>
        <w:ind w:left="0"/>
        <w:jc w:val="left"/>
      </w:pPr>
    </w:p>
    <w:p w:rsidR="00645A78" w:rsidRDefault="00645A78" w:rsidP="00645A78">
      <w:pPr>
        <w:tabs>
          <w:tab w:val="center" w:pos="5844"/>
          <w:tab w:val="center" w:pos="6902"/>
        </w:tabs>
        <w:ind w:left="0"/>
        <w:jc w:val="left"/>
      </w:pPr>
    </w:p>
    <w:p w:rsidR="00645A78" w:rsidRDefault="00645A78" w:rsidP="00645A78">
      <w:pPr>
        <w:tabs>
          <w:tab w:val="center" w:pos="5844"/>
          <w:tab w:val="center" w:pos="6902"/>
        </w:tabs>
        <w:ind w:left="0"/>
        <w:jc w:val="left"/>
      </w:pPr>
    </w:p>
    <w:p w:rsidR="00645A78" w:rsidRDefault="00645A78" w:rsidP="00645A78">
      <w:pPr>
        <w:tabs>
          <w:tab w:val="center" w:pos="5844"/>
          <w:tab w:val="center" w:pos="6902"/>
        </w:tabs>
        <w:ind w:left="0"/>
        <w:jc w:val="left"/>
      </w:pPr>
    </w:p>
    <w:p w:rsidR="00645A78" w:rsidRDefault="00645A78" w:rsidP="00645A78">
      <w:pPr>
        <w:tabs>
          <w:tab w:val="center" w:pos="5844"/>
          <w:tab w:val="center" w:pos="6902"/>
        </w:tabs>
        <w:ind w:left="0"/>
        <w:jc w:val="left"/>
      </w:pPr>
    </w:p>
    <w:p w:rsidR="00645A78" w:rsidRDefault="00645A78" w:rsidP="00645A78">
      <w:pPr>
        <w:tabs>
          <w:tab w:val="center" w:pos="5844"/>
          <w:tab w:val="center" w:pos="6902"/>
        </w:tabs>
        <w:ind w:left="0"/>
        <w:jc w:val="left"/>
      </w:pPr>
    </w:p>
    <w:p w:rsidR="00645A78" w:rsidRDefault="00645A78" w:rsidP="00645A78">
      <w:pPr>
        <w:tabs>
          <w:tab w:val="center" w:pos="5844"/>
          <w:tab w:val="center" w:pos="6902"/>
        </w:tabs>
        <w:ind w:left="0"/>
        <w:jc w:val="left"/>
      </w:pPr>
    </w:p>
    <w:p w:rsidR="00645A78" w:rsidRDefault="00645A78" w:rsidP="00645A78">
      <w:pPr>
        <w:tabs>
          <w:tab w:val="center" w:pos="5844"/>
          <w:tab w:val="center" w:pos="6902"/>
        </w:tabs>
        <w:ind w:left="0"/>
        <w:jc w:val="left"/>
      </w:pPr>
    </w:p>
    <w:p w:rsidR="00645A78" w:rsidRDefault="00645A78" w:rsidP="00645A78">
      <w:pPr>
        <w:tabs>
          <w:tab w:val="center" w:pos="5844"/>
          <w:tab w:val="center" w:pos="6902"/>
        </w:tabs>
        <w:ind w:left="0"/>
        <w:jc w:val="left"/>
      </w:pPr>
    </w:p>
    <w:p w:rsidR="0049107D" w:rsidRDefault="00B04703">
      <w:pPr>
        <w:spacing w:after="0" w:line="259" w:lineRule="auto"/>
        <w:ind w:left="1421"/>
        <w:jc w:val="left"/>
      </w:pPr>
      <w:r>
        <w:rPr>
          <w:sz w:val="36"/>
        </w:rPr>
        <w:t>P</w:t>
      </w:r>
      <w:r>
        <w:rPr>
          <w:sz w:val="36"/>
        </w:rPr>
        <w:t>říloha č. 1 -</w:t>
      </w:r>
      <w:r w:rsidR="00645A78">
        <w:rPr>
          <w:sz w:val="36"/>
          <w:vertAlign w:val="superscript"/>
        </w:rPr>
        <w:t xml:space="preserve"> </w:t>
      </w:r>
      <w:r>
        <w:rPr>
          <w:sz w:val="36"/>
        </w:rPr>
        <w:t>Specifikace služeb</w:t>
      </w:r>
    </w:p>
    <w:p w:rsidR="0049107D" w:rsidRDefault="0049107D">
      <w:pPr>
        <w:spacing w:after="237" w:line="259" w:lineRule="auto"/>
        <w:ind w:left="1402"/>
        <w:jc w:val="left"/>
      </w:pPr>
    </w:p>
    <w:p w:rsidR="0049107D" w:rsidRDefault="00B04703">
      <w:pPr>
        <w:spacing w:after="363" w:line="262" w:lineRule="auto"/>
        <w:ind w:left="1377" w:hanging="5"/>
        <w:jc w:val="left"/>
      </w:pPr>
      <w:r>
        <w:t>Popis pře</w:t>
      </w:r>
      <w:r w:rsidR="00645A78">
        <w:t>dmětu: Předmětem zakázky je: III</w:t>
      </w:r>
      <w:r>
        <w:t>. etapa odstraňování staré hlukové zátěže v úseku Silnice I/26 Horšovský 'Týn dle Příkazu ředitele provozního úseku č. 2/2013</w:t>
      </w:r>
    </w:p>
    <w:p w:rsidR="0049107D" w:rsidRDefault="00B04703">
      <w:pPr>
        <w:spacing w:after="0" w:line="259" w:lineRule="auto"/>
        <w:ind w:left="1387"/>
        <w:jc w:val="left"/>
      </w:pPr>
      <w:r>
        <w:rPr>
          <w:sz w:val="24"/>
        </w:rPr>
        <w:t>Zdůvodnění předmětu:</w:t>
      </w:r>
    </w:p>
    <w:p w:rsidR="0049107D" w:rsidRDefault="00B04703">
      <w:pPr>
        <w:spacing w:after="407" w:line="262" w:lineRule="auto"/>
        <w:ind w:left="1377" w:hanging="5"/>
        <w:jc w:val="left"/>
      </w:pPr>
      <w:r>
        <w:t>Postupné odstraňování Staré hlukové zátěže</w:t>
      </w:r>
    </w:p>
    <w:p w:rsidR="0049107D" w:rsidRPr="00645A78" w:rsidRDefault="00B04703">
      <w:pPr>
        <w:spacing w:after="0" w:line="262" w:lineRule="auto"/>
        <w:ind w:left="1377" w:hanging="5"/>
        <w:jc w:val="left"/>
      </w:pPr>
      <w:r w:rsidRPr="00645A78">
        <w:t>Předání podkladů požaduje</w:t>
      </w:r>
      <w:r w:rsidRPr="00645A78">
        <w:t>me v písemné podobě v počtu 2 výtisků a v digitální podobě na</w:t>
      </w:r>
    </w:p>
    <w:p w:rsidR="0049107D" w:rsidRPr="00645A78" w:rsidRDefault="00B04703">
      <w:pPr>
        <w:spacing w:after="228" w:line="259" w:lineRule="auto"/>
        <w:ind w:left="1373"/>
        <w:jc w:val="left"/>
      </w:pPr>
      <w:r w:rsidRPr="00645A78">
        <w:rPr>
          <w:rFonts w:eastAsia="Courier New"/>
        </w:rPr>
        <w:t>CD a USB.</w:t>
      </w:r>
    </w:p>
    <w:p w:rsidR="0049107D" w:rsidRDefault="00B04703">
      <w:pPr>
        <w:spacing w:after="495" w:line="262" w:lineRule="auto"/>
        <w:ind w:left="1377" w:hanging="5"/>
        <w:jc w:val="left"/>
      </w:pPr>
      <w:r>
        <w:t>Místo plnění: Silnice I/26 Horšovský Týn</w:t>
      </w:r>
      <w:r w:rsidR="00645A78">
        <w:t>, km 51,</w:t>
      </w:r>
      <w:r>
        <w:t>065 — 53,510</w:t>
      </w:r>
    </w:p>
    <w:p w:rsidR="0049107D" w:rsidRDefault="00B04703">
      <w:pPr>
        <w:spacing w:after="103" w:line="259" w:lineRule="auto"/>
        <w:ind w:left="1349"/>
        <w:jc w:val="left"/>
      </w:pPr>
      <w:r>
        <w:rPr>
          <w:sz w:val="24"/>
          <w:u w:val="single" w:color="000000"/>
        </w:rPr>
        <w:t>Soupis prací:</w:t>
      </w:r>
    </w:p>
    <w:tbl>
      <w:tblPr>
        <w:tblStyle w:val="TableGrid"/>
        <w:tblW w:w="8570" w:type="dxa"/>
        <w:tblInd w:w="1313" w:type="dxa"/>
        <w:tblCellMar>
          <w:top w:w="31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668"/>
        <w:gridCol w:w="914"/>
        <w:gridCol w:w="1241"/>
        <w:gridCol w:w="1797"/>
      </w:tblGrid>
      <w:tr w:rsidR="0049107D">
        <w:trPr>
          <w:trHeight w:val="543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B04703">
            <w:pPr>
              <w:spacing w:after="0" w:line="259" w:lineRule="auto"/>
              <w:ind w:left="0" w:right="3"/>
              <w:jc w:val="center"/>
            </w:pPr>
            <w:r>
              <w:rPr>
                <w:sz w:val="20"/>
              </w:rPr>
              <w:t>Popis činnost; nákladů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B04703">
            <w:pPr>
              <w:spacing w:after="0" w:line="259" w:lineRule="auto"/>
              <w:ind w:left="86"/>
              <w:jc w:val="left"/>
            </w:pPr>
            <w:r>
              <w:rPr>
                <w:sz w:val="20"/>
              </w:rPr>
              <w:t xml:space="preserve">Počet 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B04703">
            <w:pPr>
              <w:spacing w:after="0" w:line="259" w:lineRule="auto"/>
              <w:ind w:left="58"/>
              <w:jc w:val="left"/>
            </w:pPr>
            <w:r>
              <w:rPr>
                <w:sz w:val="20"/>
              </w:rPr>
              <w:t xml:space="preserve">Jednotka 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B04703">
            <w:pPr>
              <w:spacing w:after="0" w:line="259" w:lineRule="auto"/>
              <w:ind w:left="0" w:right="48"/>
              <w:jc w:val="center"/>
            </w:pPr>
            <w:r>
              <w:rPr>
                <w:sz w:val="20"/>
              </w:rPr>
              <w:t>Sazba /jed.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B04703">
            <w:pPr>
              <w:spacing w:after="0" w:line="259" w:lineRule="auto"/>
              <w:ind w:left="0" w:right="19"/>
              <w:jc w:val="center"/>
            </w:pPr>
            <w:r>
              <w:rPr>
                <w:sz w:val="18"/>
              </w:rPr>
              <w:t>Celkem Kč bez DPH</w:t>
            </w:r>
          </w:p>
        </w:tc>
      </w:tr>
      <w:tr w:rsidR="0049107D">
        <w:trPr>
          <w:trHeight w:val="389"/>
        </w:trPr>
        <w:tc>
          <w:tcPr>
            <w:tcW w:w="8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645A78">
            <w:pPr>
              <w:spacing w:after="0" w:line="259" w:lineRule="auto"/>
              <w:ind w:left="5"/>
              <w:jc w:val="center"/>
            </w:pPr>
            <w:r>
              <w:rPr>
                <w:sz w:val="24"/>
              </w:rPr>
              <w:t>III.</w:t>
            </w:r>
            <w:r w:rsidR="00B04703">
              <w:rPr>
                <w:sz w:val="24"/>
              </w:rPr>
              <w:t xml:space="preserve"> etapa SHZ dle Příkazu ředitele provozního úseku č. 2/2013</w:t>
            </w:r>
          </w:p>
        </w:tc>
      </w:tr>
      <w:tr w:rsidR="0049107D">
        <w:trPr>
          <w:trHeight w:val="714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B04703">
            <w:pPr>
              <w:spacing w:after="0" w:line="259" w:lineRule="auto"/>
              <w:ind w:left="34" w:right="296" w:firstLine="5"/>
            </w:pPr>
            <w:r>
              <w:rPr>
                <w:sz w:val="20"/>
              </w:rPr>
              <w:t>Přípravné práce na projektu, terénní průzkum, příprava podkladů, vytipování, zajištění míst měření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41"/>
              <w:jc w:val="center"/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48"/>
              <w:jc w:val="center"/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49107D">
            <w:pPr>
              <w:spacing w:after="160" w:line="259" w:lineRule="auto"/>
              <w:ind w:left="0"/>
              <w:jc w:val="left"/>
            </w:pP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38"/>
              <w:jc w:val="center"/>
            </w:pPr>
          </w:p>
        </w:tc>
      </w:tr>
      <w:tr w:rsidR="0049107D">
        <w:trPr>
          <w:trHeight w:val="477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B04703">
            <w:pPr>
              <w:spacing w:after="0" w:line="259" w:lineRule="auto"/>
              <w:ind w:left="19"/>
              <w:jc w:val="left"/>
            </w:pPr>
            <w:r>
              <w:rPr>
                <w:sz w:val="20"/>
              </w:rPr>
              <w:t>Stavebněakustický pasport objektů včetně fotodokumentace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56"/>
              <w:jc w:val="center"/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58"/>
              <w:jc w:val="center"/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49107D">
            <w:pPr>
              <w:spacing w:after="160" w:line="259" w:lineRule="auto"/>
              <w:ind w:left="0"/>
              <w:jc w:val="left"/>
            </w:pP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49107D">
            <w:pPr>
              <w:spacing w:after="160" w:line="259" w:lineRule="auto"/>
              <w:ind w:left="0"/>
              <w:jc w:val="left"/>
            </w:pPr>
          </w:p>
        </w:tc>
      </w:tr>
      <w:tr w:rsidR="0049107D">
        <w:trPr>
          <w:trHeight w:val="474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B04703">
            <w:pPr>
              <w:spacing w:after="0" w:line="259" w:lineRule="auto"/>
              <w:ind w:left="14" w:firstLine="10"/>
            </w:pPr>
            <w:r>
              <w:rPr>
                <w:sz w:val="20"/>
              </w:rPr>
              <w:t>Měření neprůzvučnosti vybraných charakteristických stávajících oken (fasád)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65"/>
              <w:jc w:val="center"/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115"/>
              <w:jc w:val="center"/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49107D">
            <w:pPr>
              <w:spacing w:after="160" w:line="259" w:lineRule="auto"/>
              <w:ind w:left="0"/>
              <w:jc w:val="left"/>
            </w:pP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49107D">
            <w:pPr>
              <w:spacing w:after="160" w:line="259" w:lineRule="auto"/>
              <w:ind w:left="0"/>
              <w:jc w:val="left"/>
            </w:pPr>
          </w:p>
        </w:tc>
      </w:tr>
      <w:tr w:rsidR="0049107D">
        <w:trPr>
          <w:trHeight w:val="485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B04703">
            <w:pPr>
              <w:spacing w:after="0" w:line="259" w:lineRule="auto"/>
              <w:ind w:left="10"/>
            </w:pPr>
            <w:r>
              <w:rPr>
                <w:sz w:val="20"/>
              </w:rPr>
              <w:t>Analýza získaných dat - návrhy IPHO ve sm</w:t>
            </w:r>
            <w:r w:rsidR="002D33C5">
              <w:rPr>
                <w:sz w:val="20"/>
              </w:rPr>
              <w:t>yslu požadavku normy, zpráva III</w:t>
            </w:r>
            <w:r>
              <w:rPr>
                <w:sz w:val="20"/>
              </w:rPr>
              <w:t>.</w:t>
            </w:r>
            <w:r w:rsidR="00D923D0">
              <w:rPr>
                <w:sz w:val="20"/>
              </w:rPr>
              <w:t xml:space="preserve"> </w:t>
            </w:r>
            <w:r>
              <w:rPr>
                <w:sz w:val="20"/>
              </w:rPr>
              <w:t>etapy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80"/>
              <w:jc w:val="center"/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86"/>
              <w:jc w:val="center"/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49107D">
            <w:pPr>
              <w:spacing w:after="160" w:line="259" w:lineRule="auto"/>
              <w:ind w:left="0"/>
              <w:jc w:val="left"/>
            </w:pP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72"/>
              <w:jc w:val="center"/>
            </w:pPr>
          </w:p>
        </w:tc>
      </w:tr>
      <w:tr w:rsidR="0049107D">
        <w:trPr>
          <w:trHeight w:val="643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B04703">
            <w:pPr>
              <w:spacing w:after="0" w:line="259" w:lineRule="auto"/>
              <w:ind w:left="0" w:firstLine="10"/>
              <w:jc w:val="left"/>
            </w:pPr>
            <w:r>
              <w:rPr>
                <w:sz w:val="20"/>
              </w:rPr>
              <w:t>Další náklady (rozmnožení, vazba, vybavení, CD apod.)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94"/>
              <w:jc w:val="center"/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96"/>
              <w:jc w:val="center"/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49107D">
            <w:pPr>
              <w:spacing w:after="160" w:line="259" w:lineRule="auto"/>
              <w:ind w:left="0"/>
              <w:jc w:val="left"/>
            </w:pP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49107D">
            <w:pPr>
              <w:spacing w:after="160" w:line="259" w:lineRule="auto"/>
              <w:ind w:left="0"/>
              <w:jc w:val="left"/>
            </w:pPr>
          </w:p>
        </w:tc>
      </w:tr>
      <w:tr w:rsidR="0049107D">
        <w:trPr>
          <w:trHeight w:val="376"/>
        </w:trPr>
        <w:tc>
          <w:tcPr>
            <w:tcW w:w="4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B04703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>CE L K E M Kč bez DPH</w:t>
            </w:r>
          </w:p>
        </w:tc>
        <w:tc>
          <w:tcPr>
            <w:tcW w:w="3952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9107D" w:rsidRDefault="0049107D">
            <w:pPr>
              <w:spacing w:after="160" w:line="259" w:lineRule="auto"/>
              <w:ind w:left="0"/>
              <w:jc w:val="left"/>
            </w:pPr>
          </w:p>
        </w:tc>
      </w:tr>
    </w:tbl>
    <w:p w:rsidR="00645A78" w:rsidRDefault="00645A78">
      <w:pPr>
        <w:spacing w:after="0" w:line="259" w:lineRule="auto"/>
        <w:ind w:left="0" w:right="3326"/>
        <w:jc w:val="right"/>
        <w:rPr>
          <w:sz w:val="34"/>
        </w:rPr>
      </w:pPr>
    </w:p>
    <w:p w:rsidR="00645A78" w:rsidRDefault="00645A78">
      <w:pPr>
        <w:spacing w:after="0" w:line="259" w:lineRule="auto"/>
        <w:ind w:left="0" w:right="3326"/>
        <w:jc w:val="right"/>
        <w:rPr>
          <w:sz w:val="34"/>
        </w:rPr>
      </w:pPr>
    </w:p>
    <w:p w:rsidR="00645A78" w:rsidRDefault="00645A78">
      <w:pPr>
        <w:spacing w:after="0" w:line="259" w:lineRule="auto"/>
        <w:ind w:left="0" w:right="3326"/>
        <w:jc w:val="right"/>
        <w:rPr>
          <w:sz w:val="34"/>
        </w:rPr>
      </w:pPr>
    </w:p>
    <w:p w:rsidR="00645A78" w:rsidRDefault="00645A78">
      <w:pPr>
        <w:spacing w:after="0" w:line="259" w:lineRule="auto"/>
        <w:ind w:left="0" w:right="3326"/>
        <w:jc w:val="right"/>
        <w:rPr>
          <w:sz w:val="34"/>
        </w:rPr>
      </w:pPr>
    </w:p>
    <w:p w:rsidR="00645A78" w:rsidRDefault="00645A78">
      <w:pPr>
        <w:spacing w:after="0" w:line="259" w:lineRule="auto"/>
        <w:ind w:left="0" w:right="3326"/>
        <w:jc w:val="right"/>
        <w:rPr>
          <w:sz w:val="34"/>
        </w:rPr>
      </w:pPr>
    </w:p>
    <w:p w:rsidR="00645A78" w:rsidRDefault="00645A78">
      <w:pPr>
        <w:spacing w:after="0" w:line="259" w:lineRule="auto"/>
        <w:ind w:left="0" w:right="3326"/>
        <w:jc w:val="right"/>
        <w:rPr>
          <w:sz w:val="34"/>
        </w:rPr>
      </w:pPr>
    </w:p>
    <w:p w:rsidR="00645A78" w:rsidRDefault="00645A78">
      <w:pPr>
        <w:spacing w:after="0" w:line="259" w:lineRule="auto"/>
        <w:ind w:left="0" w:right="3326"/>
        <w:jc w:val="right"/>
        <w:rPr>
          <w:sz w:val="34"/>
        </w:rPr>
      </w:pPr>
    </w:p>
    <w:p w:rsidR="00645A78" w:rsidRDefault="00645A78">
      <w:pPr>
        <w:spacing w:after="0" w:line="259" w:lineRule="auto"/>
        <w:ind w:left="0" w:right="3326"/>
        <w:jc w:val="right"/>
        <w:rPr>
          <w:sz w:val="34"/>
        </w:rPr>
      </w:pPr>
    </w:p>
    <w:p w:rsidR="00645A78" w:rsidRDefault="00645A78">
      <w:pPr>
        <w:spacing w:after="0" w:line="259" w:lineRule="auto"/>
        <w:ind w:left="0" w:right="3326"/>
        <w:jc w:val="right"/>
        <w:rPr>
          <w:sz w:val="34"/>
        </w:rPr>
      </w:pPr>
    </w:p>
    <w:p w:rsidR="00645A78" w:rsidRDefault="00645A78">
      <w:pPr>
        <w:spacing w:after="0" w:line="259" w:lineRule="auto"/>
        <w:ind w:left="0" w:right="3326"/>
        <w:jc w:val="right"/>
        <w:rPr>
          <w:sz w:val="34"/>
        </w:rPr>
      </w:pPr>
    </w:p>
    <w:p w:rsidR="00645A78" w:rsidRDefault="00645A78">
      <w:pPr>
        <w:spacing w:after="0" w:line="259" w:lineRule="auto"/>
        <w:ind w:left="0" w:right="3326"/>
        <w:jc w:val="right"/>
        <w:rPr>
          <w:sz w:val="34"/>
        </w:rPr>
      </w:pPr>
    </w:p>
    <w:p w:rsidR="00645A78" w:rsidRDefault="00645A78">
      <w:pPr>
        <w:spacing w:after="0" w:line="259" w:lineRule="auto"/>
        <w:ind w:left="0" w:right="3326"/>
        <w:jc w:val="right"/>
        <w:rPr>
          <w:sz w:val="34"/>
        </w:rPr>
      </w:pPr>
    </w:p>
    <w:p w:rsidR="00645A78" w:rsidRDefault="00645A78">
      <w:pPr>
        <w:spacing w:after="0" w:line="259" w:lineRule="auto"/>
        <w:ind w:left="0" w:right="3326"/>
        <w:jc w:val="right"/>
        <w:rPr>
          <w:sz w:val="34"/>
        </w:rPr>
      </w:pPr>
    </w:p>
    <w:p w:rsidR="00645A78" w:rsidRDefault="00645A78">
      <w:pPr>
        <w:spacing w:after="0" w:line="259" w:lineRule="auto"/>
        <w:ind w:left="0" w:right="3326"/>
        <w:jc w:val="right"/>
        <w:rPr>
          <w:sz w:val="34"/>
        </w:rPr>
      </w:pPr>
    </w:p>
    <w:p w:rsidR="00645A78" w:rsidRDefault="00645A78">
      <w:pPr>
        <w:spacing w:after="0" w:line="259" w:lineRule="auto"/>
        <w:ind w:left="0" w:right="3326"/>
        <w:jc w:val="right"/>
        <w:rPr>
          <w:sz w:val="34"/>
        </w:rPr>
      </w:pPr>
    </w:p>
    <w:p w:rsidR="00645A78" w:rsidRDefault="00645A78">
      <w:pPr>
        <w:spacing w:after="0" w:line="259" w:lineRule="auto"/>
        <w:ind w:left="0" w:right="3326"/>
        <w:jc w:val="right"/>
        <w:rPr>
          <w:sz w:val="34"/>
        </w:rPr>
      </w:pPr>
    </w:p>
    <w:p w:rsidR="00645A78" w:rsidRDefault="00645A78">
      <w:pPr>
        <w:spacing w:after="0" w:line="259" w:lineRule="auto"/>
        <w:ind w:left="0" w:right="3326"/>
        <w:jc w:val="right"/>
        <w:rPr>
          <w:sz w:val="34"/>
        </w:rPr>
      </w:pPr>
    </w:p>
    <w:p w:rsidR="0049107D" w:rsidRDefault="00B04703">
      <w:pPr>
        <w:spacing w:after="0" w:line="259" w:lineRule="auto"/>
        <w:ind w:left="0" w:right="3326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6656833</wp:posOffset>
            </wp:positionH>
            <wp:positionV relativeFrom="page">
              <wp:posOffset>3585470</wp:posOffset>
            </wp:positionV>
            <wp:extent cx="6096" cy="15244"/>
            <wp:effectExtent l="0" t="0" r="0" b="0"/>
            <wp:wrapTopAndBottom/>
            <wp:docPr id="8802" name="Picture 8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2" name="Picture 880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4218432</wp:posOffset>
            </wp:positionH>
            <wp:positionV relativeFrom="paragraph">
              <wp:posOffset>215916</wp:posOffset>
            </wp:positionV>
            <wp:extent cx="6097" cy="18293"/>
            <wp:effectExtent l="0" t="0" r="0" b="0"/>
            <wp:wrapSquare wrapText="bothSides"/>
            <wp:docPr id="8801" name="Picture 8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1" name="Picture 88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A78">
        <w:rPr>
          <w:sz w:val="34"/>
        </w:rPr>
        <w:t>Příloha č. 2 -</w:t>
      </w:r>
      <w:r>
        <w:rPr>
          <w:sz w:val="34"/>
        </w:rPr>
        <w:t xml:space="preserve"> Položkový rozpis ceny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8800" name="Picture 8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0" name="Picture 880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567" w:type="dxa"/>
        <w:tblInd w:w="1430" w:type="dxa"/>
        <w:tblCellMar>
          <w:top w:w="36" w:type="dxa"/>
          <w:left w:w="5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650"/>
        <w:gridCol w:w="986"/>
        <w:gridCol w:w="1198"/>
        <w:gridCol w:w="1588"/>
      </w:tblGrid>
      <w:tr w:rsidR="0049107D">
        <w:trPr>
          <w:trHeight w:val="789"/>
        </w:trPr>
        <w:tc>
          <w:tcPr>
            <w:tcW w:w="8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B04703">
            <w:pPr>
              <w:spacing w:after="70" w:line="259" w:lineRule="auto"/>
              <w:ind w:left="0" w:right="36"/>
              <w:jc w:val="center"/>
            </w:pPr>
            <w:r>
              <w:rPr>
                <w:sz w:val="24"/>
              </w:rPr>
              <w:t>Řešení staré hlukové zátěže - ochrana vnitřního prostředí III. etapa</w:t>
            </w:r>
          </w:p>
          <w:p w:rsidR="0049107D" w:rsidRDefault="00B04703">
            <w:pPr>
              <w:spacing w:after="0" w:line="259" w:lineRule="auto"/>
              <w:ind w:left="0" w:right="36"/>
              <w:jc w:val="center"/>
            </w:pPr>
            <w:r>
              <w:rPr>
                <w:sz w:val="24"/>
              </w:rPr>
              <w:t>Silnice I/26 Horšovský Týn</w:t>
            </w:r>
          </w:p>
        </w:tc>
      </w:tr>
      <w:tr w:rsidR="0049107D">
        <w:trPr>
          <w:trHeight w:val="547"/>
        </w:trPr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B04703">
            <w:pPr>
              <w:spacing w:after="0" w:line="259" w:lineRule="auto"/>
              <w:ind w:left="0" w:right="64"/>
              <w:jc w:val="center"/>
            </w:pPr>
            <w:r>
              <w:rPr>
                <w:sz w:val="24"/>
              </w:rPr>
              <w:t>Popis činnosti - nákladů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B04703" w:rsidP="00645A78">
            <w:pPr>
              <w:spacing w:after="0" w:line="259" w:lineRule="auto"/>
              <w:ind w:left="13"/>
            </w:pPr>
            <w:r>
              <w:rPr>
                <w:sz w:val="24"/>
              </w:rPr>
              <w:t>Poče</w:t>
            </w:r>
            <w:r w:rsidR="00645A78">
              <w:rPr>
                <w:sz w:val="24"/>
              </w:rPr>
              <w:t>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B04703">
            <w:pPr>
              <w:spacing w:after="0" w:line="259" w:lineRule="auto"/>
              <w:ind w:left="7"/>
            </w:pPr>
            <w:r>
              <w:t>J</w:t>
            </w:r>
            <w:r w:rsidR="00645A78">
              <w:t>ednot</w:t>
            </w:r>
            <w:r>
              <w:t xml:space="preserve">ka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B04703">
            <w:pPr>
              <w:spacing w:after="0" w:line="259" w:lineRule="auto"/>
              <w:ind w:left="0"/>
            </w:pPr>
            <w:r>
              <w:rPr>
                <w:sz w:val="24"/>
              </w:rPr>
              <w:t>Sazba /jed.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B04703">
            <w:pPr>
              <w:spacing w:after="10" w:line="259" w:lineRule="auto"/>
              <w:ind w:left="59"/>
              <w:jc w:val="left"/>
            </w:pPr>
            <w:r>
              <w:t>Celkem Kč bez</w:t>
            </w:r>
          </w:p>
          <w:p w:rsidR="0049107D" w:rsidRDefault="00B04703">
            <w:pPr>
              <w:spacing w:after="0" w:line="259" w:lineRule="auto"/>
              <w:ind w:left="0" w:right="41"/>
              <w:jc w:val="center"/>
            </w:pPr>
            <w:r>
              <w:rPr>
                <w:sz w:val="24"/>
              </w:rPr>
              <w:t>DPH</w:t>
            </w:r>
          </w:p>
        </w:tc>
      </w:tr>
      <w:tr w:rsidR="0049107D">
        <w:trPr>
          <w:trHeight w:val="394"/>
        </w:trPr>
        <w:tc>
          <w:tcPr>
            <w:tcW w:w="8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107D" w:rsidRDefault="0049107D">
            <w:pPr>
              <w:spacing w:after="0" w:line="259" w:lineRule="auto"/>
              <w:ind w:left="353"/>
              <w:jc w:val="center"/>
            </w:pPr>
          </w:p>
        </w:tc>
      </w:tr>
      <w:tr w:rsidR="0049107D">
        <w:trPr>
          <w:trHeight w:val="802"/>
        </w:trPr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B04703" w:rsidP="002D33C5">
            <w:pPr>
              <w:spacing w:after="0" w:line="259" w:lineRule="auto"/>
              <w:ind w:left="16" w:right="195" w:firstLine="5"/>
            </w:pPr>
            <w:r>
              <w:t>Přípravné práce na projektu, terénn</w:t>
            </w:r>
            <w:r w:rsidR="00645A78">
              <w:t xml:space="preserve">í průzkum, příprava podkladů, </w:t>
            </w:r>
            <w:r w:rsidR="002D33C5">
              <w:t>vytypování</w:t>
            </w:r>
            <w:r>
              <w:t xml:space="preserve"> a zaj</w:t>
            </w:r>
            <w:r w:rsidR="00645A78">
              <w:t>iště</w:t>
            </w:r>
            <w:r>
              <w:t>ní míst měření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67"/>
              <w:jc w:val="center"/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48"/>
              <w:jc w:val="center"/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26"/>
              <w:jc w:val="center"/>
            </w:pPr>
          </w:p>
        </w:tc>
      </w:tr>
      <w:tr w:rsidR="0049107D">
        <w:trPr>
          <w:trHeight w:val="541"/>
        </w:trPr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B04703">
            <w:pPr>
              <w:spacing w:after="0" w:line="259" w:lineRule="auto"/>
              <w:ind w:left="16" w:firstLine="5"/>
              <w:jc w:val="left"/>
            </w:pPr>
            <w:r>
              <w:t>Stavebněakustický pasport objektů včetně fotodokumentace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54"/>
              <w:jc w:val="center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77"/>
              <w:jc w:val="center"/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43"/>
              <w:jc w:val="center"/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50"/>
              <w:jc w:val="center"/>
            </w:pPr>
          </w:p>
        </w:tc>
      </w:tr>
      <w:tr w:rsidR="0049107D">
        <w:trPr>
          <w:trHeight w:val="535"/>
        </w:trPr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B04703">
            <w:pPr>
              <w:spacing w:after="0" w:line="259" w:lineRule="auto"/>
              <w:ind w:left="16"/>
              <w:jc w:val="left"/>
            </w:pPr>
            <w:r>
              <w:t>Měření neprůzvučnosti vybraných charakteristických stávajících oken (fasád)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49"/>
              <w:jc w:val="center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58"/>
              <w:jc w:val="center"/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29"/>
              <w:jc w:val="center"/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50"/>
              <w:jc w:val="center"/>
            </w:pPr>
          </w:p>
        </w:tc>
      </w:tr>
      <w:tr w:rsidR="0049107D">
        <w:trPr>
          <w:trHeight w:val="802"/>
        </w:trPr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B04703">
            <w:pPr>
              <w:spacing w:after="0" w:line="259" w:lineRule="auto"/>
              <w:ind w:left="16" w:right="344" w:hanging="5"/>
            </w:pPr>
            <w:r>
              <w:t>Analýza získaných dat - návrhy IPHO ve smyslu požad</w:t>
            </w:r>
            <w:r w:rsidR="00645A78">
              <w:t>avku normy, sestavení celkové zp</w:t>
            </w:r>
            <w:r>
              <w:t>rávy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49"/>
              <w:jc w:val="center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72"/>
              <w:jc w:val="center"/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53"/>
              <w:jc w:val="center"/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50"/>
              <w:jc w:val="center"/>
            </w:pPr>
          </w:p>
        </w:tc>
      </w:tr>
      <w:tr w:rsidR="0049107D">
        <w:trPr>
          <w:trHeight w:val="538"/>
        </w:trPr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B04703">
            <w:pPr>
              <w:spacing w:after="0" w:line="259" w:lineRule="auto"/>
              <w:ind w:left="16" w:hanging="5"/>
            </w:pPr>
            <w:r>
              <w:t>Vícenáklady (rozmn</w:t>
            </w:r>
            <w:r w:rsidR="00EE606A">
              <w:t>ožení, vazba, vybavení. CD apod.</w:t>
            </w:r>
            <w:r>
              <w:t>)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49"/>
              <w:jc w:val="center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58"/>
              <w:jc w:val="center"/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53"/>
              <w:jc w:val="center"/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49107D">
            <w:pPr>
              <w:spacing w:after="0" w:line="259" w:lineRule="auto"/>
              <w:ind w:left="0" w:right="50"/>
              <w:jc w:val="center"/>
            </w:pPr>
          </w:p>
        </w:tc>
      </w:tr>
      <w:tr w:rsidR="0049107D">
        <w:trPr>
          <w:trHeight w:val="394"/>
        </w:trPr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49107D">
            <w:pPr>
              <w:spacing w:after="160" w:line="259" w:lineRule="auto"/>
              <w:ind w:left="0"/>
              <w:jc w:val="left"/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49107D">
            <w:pPr>
              <w:spacing w:after="160" w:line="259" w:lineRule="auto"/>
              <w:ind w:left="0"/>
              <w:jc w:val="lef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49107D">
            <w:pPr>
              <w:spacing w:after="160" w:line="259" w:lineRule="auto"/>
              <w:ind w:left="0"/>
              <w:jc w:val="left"/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49107D">
            <w:pPr>
              <w:spacing w:after="160" w:line="259" w:lineRule="auto"/>
              <w:ind w:left="0"/>
              <w:jc w:val="left"/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49107D">
            <w:pPr>
              <w:spacing w:after="160" w:line="259" w:lineRule="auto"/>
              <w:ind w:left="0"/>
              <w:jc w:val="left"/>
            </w:pPr>
          </w:p>
        </w:tc>
      </w:tr>
      <w:tr w:rsidR="0049107D">
        <w:trPr>
          <w:trHeight w:val="408"/>
        </w:trPr>
        <w:tc>
          <w:tcPr>
            <w:tcW w:w="6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B04703">
            <w:pPr>
              <w:spacing w:after="0" w:line="259" w:lineRule="auto"/>
              <w:ind w:left="21"/>
              <w:jc w:val="left"/>
            </w:pPr>
            <w:r>
              <w:rPr>
                <w:sz w:val="24"/>
              </w:rPr>
              <w:t>C E L K E M Kč bez DPH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B04703">
            <w:pPr>
              <w:spacing w:after="0" w:line="259" w:lineRule="auto"/>
              <w:ind w:left="0" w:right="31"/>
              <w:jc w:val="center"/>
            </w:pPr>
            <w:r>
              <w:t>176</w:t>
            </w:r>
            <w:r w:rsidR="00645A78">
              <w:t> </w:t>
            </w:r>
            <w:r>
              <w:t>750</w:t>
            </w:r>
            <w:r w:rsidR="00645A78">
              <w:t>,00</w:t>
            </w:r>
            <w:r>
              <w:t xml:space="preserve"> Kč</w:t>
            </w:r>
          </w:p>
        </w:tc>
      </w:tr>
      <w:tr w:rsidR="0049107D">
        <w:trPr>
          <w:trHeight w:val="794"/>
        </w:trPr>
        <w:tc>
          <w:tcPr>
            <w:tcW w:w="6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B04703">
            <w:pPr>
              <w:spacing w:after="74" w:line="259" w:lineRule="auto"/>
              <w:ind w:left="5"/>
              <w:jc w:val="left"/>
            </w:pPr>
            <w:r>
              <w:t>C E L K</w:t>
            </w:r>
            <w:r w:rsidR="00EE606A">
              <w:t> </w:t>
            </w:r>
            <w:r>
              <w:t>E</w:t>
            </w:r>
            <w:r w:rsidR="00EE606A">
              <w:t xml:space="preserve"> </w:t>
            </w:r>
            <w:r>
              <w:t>M Kč bez DPH</w:t>
            </w:r>
          </w:p>
          <w:p w:rsidR="0049107D" w:rsidRDefault="00B04703">
            <w:pPr>
              <w:spacing w:after="0" w:line="259" w:lineRule="auto"/>
              <w:ind w:left="0"/>
              <w:jc w:val="left"/>
            </w:pPr>
            <w:r>
              <w:t>DPH 21 %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645A78">
            <w:pPr>
              <w:spacing w:after="133" w:line="259" w:lineRule="auto"/>
              <w:ind w:left="23"/>
              <w:jc w:val="left"/>
            </w:pPr>
            <w:r>
              <w:t xml:space="preserve"> 1</w:t>
            </w:r>
            <w:r w:rsidR="00B04703">
              <w:t>76 750,00 Kč</w:t>
            </w:r>
          </w:p>
          <w:p w:rsidR="0049107D" w:rsidRDefault="00B04703">
            <w:pPr>
              <w:spacing w:after="0" w:line="259" w:lineRule="auto"/>
              <w:ind w:left="43"/>
              <w:jc w:val="center"/>
            </w:pPr>
            <w:r>
              <w:t>37 117,50 Kč</w:t>
            </w:r>
          </w:p>
        </w:tc>
      </w:tr>
      <w:tr w:rsidR="0049107D">
        <w:trPr>
          <w:trHeight w:val="406"/>
        </w:trPr>
        <w:tc>
          <w:tcPr>
            <w:tcW w:w="6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07D" w:rsidRDefault="00B04703">
            <w:pPr>
              <w:tabs>
                <w:tab w:val="center" w:pos="1996"/>
              </w:tabs>
              <w:spacing w:after="0" w:line="259" w:lineRule="auto"/>
              <w:ind w:left="0"/>
              <w:jc w:val="left"/>
            </w:pPr>
            <w:r>
              <w:rPr>
                <w:sz w:val="30"/>
              </w:rPr>
              <w:t xml:space="preserve">CELKEM </w:t>
            </w:r>
            <w:r>
              <w:rPr>
                <w:sz w:val="30"/>
              </w:rPr>
              <w:tab/>
              <w:t>DPH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07D" w:rsidRDefault="00B04703">
            <w:pPr>
              <w:spacing w:after="0" w:line="259" w:lineRule="auto"/>
              <w:ind w:left="62"/>
              <w:jc w:val="left"/>
            </w:pPr>
            <w:r>
              <w:t>213 867,50 Kč</w:t>
            </w:r>
          </w:p>
        </w:tc>
      </w:tr>
    </w:tbl>
    <w:p w:rsidR="0049107D" w:rsidRDefault="0049107D" w:rsidP="00645A78">
      <w:pPr>
        <w:spacing w:after="790" w:line="259" w:lineRule="auto"/>
        <w:ind w:left="0" w:right="3840"/>
        <w:jc w:val="right"/>
      </w:pPr>
    </w:p>
    <w:sectPr w:rsidR="0049107D">
      <w:footerReference w:type="even" r:id="rId15"/>
      <w:footerReference w:type="default" r:id="rId16"/>
      <w:footerReference w:type="first" r:id="rId17"/>
      <w:pgSz w:w="11904" w:h="16834"/>
      <w:pgMar w:top="768" w:right="1594" w:bottom="211" w:left="33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4703">
      <w:pPr>
        <w:spacing w:after="0" w:line="240" w:lineRule="auto"/>
      </w:pPr>
      <w:r>
        <w:separator/>
      </w:r>
    </w:p>
  </w:endnote>
  <w:endnote w:type="continuationSeparator" w:id="0">
    <w:p w:rsidR="00000000" w:rsidRDefault="00B0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7D" w:rsidRDefault="00B04703">
    <w:pPr>
      <w:spacing w:after="0" w:line="259" w:lineRule="auto"/>
      <w:ind w:left="1186"/>
      <w:jc w:val="center"/>
    </w:pPr>
    <w:r>
      <w:rPr>
        <w:sz w:val="16"/>
      </w:rPr>
      <w:t xml:space="preserve">Stránka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7D" w:rsidRDefault="00B04703">
    <w:pPr>
      <w:spacing w:after="0" w:line="259" w:lineRule="auto"/>
      <w:ind w:left="1186"/>
      <w:jc w:val="center"/>
    </w:pPr>
    <w:r>
      <w:rPr>
        <w:sz w:val="16"/>
      </w:rPr>
      <w:t xml:space="preserve">Stránka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7D" w:rsidRDefault="0049107D">
    <w:pPr>
      <w:spacing w:after="160" w:line="259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4703">
      <w:pPr>
        <w:spacing w:after="0" w:line="240" w:lineRule="auto"/>
      </w:pPr>
      <w:r>
        <w:separator/>
      </w:r>
    </w:p>
  </w:footnote>
  <w:footnote w:type="continuationSeparator" w:id="0">
    <w:p w:rsidR="00000000" w:rsidRDefault="00B04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7D"/>
    <w:rsid w:val="002D33C5"/>
    <w:rsid w:val="0049107D"/>
    <w:rsid w:val="00645A78"/>
    <w:rsid w:val="00B04703"/>
    <w:rsid w:val="00D923D0"/>
    <w:rsid w:val="00E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B97B"/>
  <w15:docId w15:val="{8D526B5D-1187-45F8-B218-0E24CAE2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3" w:line="270" w:lineRule="auto"/>
      <w:ind w:left="3178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190"/>
      <w:jc w:val="center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57"/>
      <w:ind w:left="1171"/>
      <w:jc w:val="center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783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5</cp:revision>
  <dcterms:created xsi:type="dcterms:W3CDTF">2019-02-12T11:30:00Z</dcterms:created>
  <dcterms:modified xsi:type="dcterms:W3CDTF">2019-02-12T11:32:00Z</dcterms:modified>
</cp:coreProperties>
</file>