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BA8" w:rsidRDefault="00F56DC9">
      <w:pPr>
        <w:spacing w:after="3" w:line="266" w:lineRule="auto"/>
        <w:ind w:left="946" w:right="19" w:hanging="10"/>
      </w:pPr>
      <w:r>
        <w:rPr>
          <w:sz w:val="18"/>
        </w:rPr>
        <w:t>VŠEOBECNÁ</w:t>
      </w:r>
    </w:p>
    <w:p w:rsidR="00E92BA8" w:rsidRDefault="00F56DC9">
      <w:pPr>
        <w:spacing w:after="3" w:line="266" w:lineRule="auto"/>
        <w:ind w:left="956" w:right="19" w:hanging="10"/>
      </w:pPr>
      <w:r>
        <w:rPr>
          <w:sz w:val="18"/>
        </w:rPr>
        <w:t>ZDRAVOTNÍ POJIŠŤOVNA</w:t>
      </w:r>
    </w:p>
    <w:p w:rsidR="00E92BA8" w:rsidRDefault="00F56DC9">
      <w:pPr>
        <w:spacing w:after="604"/>
        <w:ind w:right="14"/>
      </w:pPr>
      <w:r>
        <w:t>ČESKÉ REPUBLIKY</w:t>
      </w:r>
    </w:p>
    <w:p w:rsidR="00E92BA8" w:rsidRDefault="00F56DC9">
      <w:pPr>
        <w:pStyle w:val="Nadpis1"/>
      </w:pPr>
      <w:r>
        <w:t>SMLOUVA č. 16761-1002 o poskytování a úhradě hrazených služeb</w:t>
      </w:r>
    </w:p>
    <w:p w:rsidR="00E92BA8" w:rsidRDefault="00F56DC9">
      <w:pPr>
        <w:spacing w:after="440"/>
        <w:ind w:left="974" w:right="14" w:hanging="912"/>
      </w:pPr>
      <w:r>
        <w:t xml:space="preserve">(pro domácí zdravotní péči, </w:t>
      </w:r>
      <w:proofErr w:type="gramStart"/>
      <w:r>
        <w:t>fyzioterapii - odbornost</w:t>
      </w:r>
      <w:proofErr w:type="gramEnd"/>
      <w:r>
        <w:t xml:space="preserve"> 902, ergoterapii, porodní asistenci, ortoptickou a </w:t>
      </w:r>
      <w:proofErr w:type="spellStart"/>
      <w:r>
        <w:t>pleoptickou</w:t>
      </w:r>
      <w:proofErr w:type="spellEnd"/>
      <w:r>
        <w:t xml:space="preserve"> péči, nutriční terapii, péči psychiatrických sester, péči zrakového terapeuta a adiktologa)</w:t>
      </w:r>
    </w:p>
    <w:p w:rsidR="00E92BA8" w:rsidRDefault="00F56DC9">
      <w:pPr>
        <w:spacing w:after="0" w:line="259" w:lineRule="auto"/>
        <w:ind w:left="341" w:right="408" w:hanging="10"/>
        <w:jc w:val="center"/>
      </w:pPr>
      <w:r>
        <w:rPr>
          <w:sz w:val="24"/>
        </w:rPr>
        <w:t>Článek l.</w:t>
      </w:r>
    </w:p>
    <w:p w:rsidR="00E92BA8" w:rsidRDefault="00F56DC9">
      <w:pPr>
        <w:spacing w:after="0" w:line="259" w:lineRule="auto"/>
        <w:ind w:left="341" w:right="394" w:hanging="10"/>
        <w:jc w:val="center"/>
      </w:pPr>
      <w:r>
        <w:rPr>
          <w:sz w:val="24"/>
        </w:rPr>
        <w:t>Smluvní strany</w:t>
      </w:r>
    </w:p>
    <w:tbl>
      <w:tblPr>
        <w:tblStyle w:val="TableGrid"/>
        <w:tblW w:w="8917" w:type="dxa"/>
        <w:tblInd w:w="-125" w:type="dxa"/>
        <w:tblCellMar>
          <w:top w:w="34" w:type="dxa"/>
          <w:left w:w="97" w:type="dxa"/>
          <w:bottom w:w="0" w:type="dxa"/>
          <w:right w:w="533" w:type="dxa"/>
        </w:tblCellMar>
        <w:tblLook w:val="04A0" w:firstRow="1" w:lastRow="0" w:firstColumn="1" w:lastColumn="0" w:noHBand="0" w:noVBand="1"/>
      </w:tblPr>
      <w:tblGrid>
        <w:gridCol w:w="3370"/>
        <w:gridCol w:w="5547"/>
      </w:tblGrid>
      <w:tr w:rsidR="00E92BA8">
        <w:trPr>
          <w:trHeight w:val="542"/>
        </w:trPr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BA8" w:rsidRDefault="00F56DC9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Poskytovatel zdravotníc</w:t>
            </w:r>
            <w:r>
              <w:rPr>
                <w:sz w:val="22"/>
              </w:rPr>
              <w:t>h služeb: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BA8" w:rsidRDefault="00F56DC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Integrované centrum sociálních služeb Jihlava, příspěvková organizace</w:t>
            </w:r>
          </w:p>
        </w:tc>
      </w:tr>
      <w:tr w:rsidR="00E92BA8">
        <w:trPr>
          <w:trHeight w:val="271"/>
        </w:trPr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BA8" w:rsidRDefault="00F56DC9">
            <w:pPr>
              <w:spacing w:after="0" w:line="259" w:lineRule="auto"/>
              <w:ind w:left="9" w:firstLine="0"/>
              <w:jc w:val="left"/>
            </w:pPr>
            <w:r>
              <w:t>Sídlo (obec):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BA8" w:rsidRDefault="00F56DC9">
            <w:pPr>
              <w:spacing w:after="0" w:line="259" w:lineRule="auto"/>
              <w:ind w:left="0" w:firstLine="0"/>
              <w:jc w:val="left"/>
            </w:pPr>
            <w:r>
              <w:t>Jihlava</w:t>
            </w:r>
          </w:p>
        </w:tc>
      </w:tr>
      <w:tr w:rsidR="00E92BA8">
        <w:trPr>
          <w:trHeight w:val="277"/>
        </w:trPr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BA8" w:rsidRDefault="00F56DC9">
            <w:pPr>
              <w:spacing w:after="0" w:line="259" w:lineRule="auto"/>
              <w:ind w:left="9" w:firstLine="0"/>
              <w:jc w:val="left"/>
            </w:pPr>
            <w:r>
              <w:rPr>
                <w:sz w:val="22"/>
              </w:rPr>
              <w:t>Ulice, č.p., pse: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BA8" w:rsidRDefault="00F56DC9">
            <w:pPr>
              <w:spacing w:after="0" w:line="259" w:lineRule="auto"/>
              <w:ind w:left="5" w:firstLine="0"/>
              <w:jc w:val="left"/>
            </w:pPr>
            <w:r>
              <w:t>Brtnická 15, 586 01</w:t>
            </w:r>
          </w:p>
        </w:tc>
      </w:tr>
      <w:tr w:rsidR="00E92BA8">
        <w:trPr>
          <w:trHeight w:val="768"/>
        </w:trPr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92BA8" w:rsidRDefault="00F56DC9">
            <w:pPr>
              <w:spacing w:after="0" w:line="259" w:lineRule="auto"/>
              <w:ind w:left="695" w:hanging="691"/>
            </w:pPr>
            <w:r>
              <w:t>Zápis v obchodním rejstříku: nezapisuje se</w:t>
            </w:r>
          </w:p>
        </w:tc>
        <w:tc>
          <w:tcPr>
            <w:tcW w:w="55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2BA8" w:rsidRDefault="00E92BA8">
            <w:pPr>
              <w:spacing w:after="160" w:line="259" w:lineRule="auto"/>
              <w:ind w:left="0" w:firstLine="0"/>
              <w:jc w:val="left"/>
            </w:pPr>
          </w:p>
        </w:tc>
      </w:tr>
      <w:tr w:rsidR="00E92BA8">
        <w:trPr>
          <w:trHeight w:val="816"/>
        </w:trPr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BA8" w:rsidRDefault="00F56DC9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>Zastoupený</w:t>
            </w:r>
          </w:p>
          <w:p w:rsidR="00E92BA8" w:rsidRDefault="00F56DC9">
            <w:pPr>
              <w:spacing w:after="0" w:line="259" w:lineRule="auto"/>
              <w:ind w:left="14" w:firstLine="0"/>
              <w:jc w:val="left"/>
            </w:pPr>
            <w:r>
              <w:t>(jméno, funkce):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BA8" w:rsidRDefault="00F56DC9">
            <w:pPr>
              <w:spacing w:after="0" w:line="259" w:lineRule="auto"/>
              <w:ind w:left="14" w:firstLine="0"/>
              <w:jc w:val="left"/>
            </w:pPr>
            <w:r>
              <w:t>Ing. Mgr. Alena Řehořová, ředitelka</w:t>
            </w:r>
          </w:p>
        </w:tc>
      </w:tr>
      <w:tr w:rsidR="00E92BA8">
        <w:trPr>
          <w:trHeight w:val="266"/>
        </w:trPr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BA8" w:rsidRDefault="00E92B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BA8" w:rsidRDefault="00F56DC9">
            <w:pPr>
              <w:spacing w:after="0" w:line="259" w:lineRule="auto"/>
              <w:ind w:left="14" w:firstLine="0"/>
              <w:jc w:val="left"/>
            </w:pPr>
            <w:r>
              <w:t>00400840</w:t>
            </w:r>
          </w:p>
        </w:tc>
      </w:tr>
      <w:tr w:rsidR="00E92BA8">
        <w:trPr>
          <w:trHeight w:val="272"/>
        </w:trPr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BA8" w:rsidRDefault="00F56DC9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rPr>
                <w:sz w:val="28"/>
              </w:rPr>
              <w:t>lčz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BA8" w:rsidRDefault="00F56DC9">
            <w:pPr>
              <w:spacing w:after="0" w:line="259" w:lineRule="auto"/>
              <w:ind w:left="10" w:firstLine="0"/>
              <w:jc w:val="left"/>
            </w:pPr>
            <w:r>
              <w:t>76339000</w:t>
            </w:r>
          </w:p>
        </w:tc>
      </w:tr>
      <w:tr w:rsidR="00E92BA8">
        <w:trPr>
          <w:trHeight w:val="717"/>
        </w:trPr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BA8" w:rsidRDefault="00F56DC9">
            <w:pPr>
              <w:spacing w:after="0" w:line="259" w:lineRule="auto"/>
              <w:ind w:left="24"/>
            </w:pPr>
            <w:r>
              <w:rPr>
                <w:sz w:val="22"/>
              </w:rPr>
              <w:t>Bankovní spojení (název banky), číslo účtu/kód banky: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BA8" w:rsidRDefault="00F56DC9">
            <w:pPr>
              <w:spacing w:after="0" w:line="259" w:lineRule="auto"/>
              <w:ind w:left="19" w:firstLine="0"/>
              <w:jc w:val="left"/>
            </w:pPr>
            <w:r>
              <w:t>KOMERČNÍ BANKA, A.s., pobočka Jihlava</w:t>
            </w:r>
          </w:p>
          <w:p w:rsidR="00E92BA8" w:rsidRDefault="00F56DC9">
            <w:pPr>
              <w:spacing w:after="0" w:line="259" w:lineRule="auto"/>
              <w:ind w:left="19" w:firstLine="0"/>
              <w:jc w:val="left"/>
            </w:pPr>
            <w:r>
              <w:t xml:space="preserve">000000-26832681/01 </w:t>
            </w:r>
            <w:proofErr w:type="spellStart"/>
            <w:r>
              <w:t>oo</w:t>
            </w:r>
            <w:proofErr w:type="spellEnd"/>
          </w:p>
        </w:tc>
      </w:tr>
    </w:tbl>
    <w:p w:rsidR="00E92BA8" w:rsidRDefault="00F56DC9">
      <w:pPr>
        <w:spacing w:after="146"/>
        <w:ind w:left="48" w:right="14"/>
      </w:pPr>
      <w:r>
        <w:t>(dále jen „Poskytovatel”) na straně jedné</w:t>
      </w:r>
    </w:p>
    <w:p w:rsidR="00E92BA8" w:rsidRDefault="00F56DC9">
      <w:pPr>
        <w:spacing w:after="0" w:line="259" w:lineRule="auto"/>
        <w:ind w:left="-5" w:hanging="10"/>
        <w:jc w:val="left"/>
      </w:pPr>
      <w:r>
        <w:rPr>
          <w:sz w:val="24"/>
        </w:rPr>
        <w:t>a</w:t>
      </w:r>
    </w:p>
    <w:tbl>
      <w:tblPr>
        <w:tblStyle w:val="TableGrid"/>
        <w:tblW w:w="8922" w:type="dxa"/>
        <w:tblInd w:w="-101" w:type="dxa"/>
        <w:tblCellMar>
          <w:top w:w="58" w:type="dxa"/>
          <w:left w:w="9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88"/>
        <w:gridCol w:w="1085"/>
        <w:gridCol w:w="827"/>
        <w:gridCol w:w="4722"/>
      </w:tblGrid>
      <w:tr w:rsidR="00E92BA8">
        <w:trPr>
          <w:trHeight w:val="382"/>
        </w:trPr>
        <w:tc>
          <w:tcPr>
            <w:tcW w:w="89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BA8" w:rsidRDefault="00F56DC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Všeobecná zdravotní pojišťovna České republiky</w:t>
            </w:r>
          </w:p>
        </w:tc>
      </w:tr>
      <w:tr w:rsidR="00E92BA8">
        <w:trPr>
          <w:trHeight w:val="275"/>
        </w:trPr>
        <w:tc>
          <w:tcPr>
            <w:tcW w:w="3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BA8" w:rsidRDefault="00F56DC9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Sídlo:</w:t>
            </w:r>
          </w:p>
        </w:tc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BA8" w:rsidRDefault="00F56DC9">
            <w:pPr>
              <w:spacing w:after="0" w:line="259" w:lineRule="auto"/>
              <w:ind w:left="7" w:firstLine="0"/>
              <w:jc w:val="left"/>
            </w:pPr>
            <w:r>
              <w:t>Orlická 4/2020, Praha 3, 130 OO</w:t>
            </w:r>
          </w:p>
        </w:tc>
      </w:tr>
      <w:tr w:rsidR="00E92BA8">
        <w:trPr>
          <w:trHeight w:val="277"/>
        </w:trPr>
        <w:tc>
          <w:tcPr>
            <w:tcW w:w="3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BA8" w:rsidRDefault="00E92B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BA8" w:rsidRDefault="00F56DC9">
            <w:pPr>
              <w:spacing w:after="0" w:line="259" w:lineRule="auto"/>
              <w:ind w:left="2" w:firstLine="0"/>
              <w:jc w:val="left"/>
            </w:pPr>
            <w:r>
              <w:t>41197518</w:t>
            </w:r>
          </w:p>
        </w:tc>
      </w:tr>
      <w:tr w:rsidR="00E92BA8">
        <w:trPr>
          <w:trHeight w:val="274"/>
        </w:trPr>
        <w:tc>
          <w:tcPr>
            <w:tcW w:w="89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BA8" w:rsidRDefault="00F56DC9">
            <w:pPr>
              <w:spacing w:after="0" w:line="259" w:lineRule="auto"/>
              <w:ind w:left="19" w:firstLine="0"/>
              <w:jc w:val="left"/>
            </w:pPr>
            <w:r>
              <w:rPr>
                <w:sz w:val="22"/>
              </w:rPr>
              <w:t>Regionální pobočka Brno, pobočka pro Jihomoravský kraj a Kraj Vysočina</w:t>
            </w:r>
          </w:p>
        </w:tc>
      </w:tr>
      <w:tr w:rsidR="00E92BA8">
        <w:trPr>
          <w:trHeight w:val="811"/>
        </w:trPr>
        <w:tc>
          <w:tcPr>
            <w:tcW w:w="3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BA8" w:rsidRDefault="00F56DC9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Zastoupená</w:t>
            </w:r>
          </w:p>
          <w:p w:rsidR="00E92BA8" w:rsidRDefault="00F56DC9">
            <w:pPr>
              <w:spacing w:after="0" w:line="259" w:lineRule="auto"/>
              <w:ind w:left="24" w:firstLine="0"/>
              <w:jc w:val="left"/>
            </w:pPr>
            <w:r>
              <w:t>(jméno a funkce):</w:t>
            </w:r>
          </w:p>
        </w:tc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BA8" w:rsidRDefault="00F56DC9">
            <w:pPr>
              <w:spacing w:after="0" w:line="259" w:lineRule="auto"/>
              <w:ind w:left="17" w:firstLine="0"/>
              <w:jc w:val="left"/>
            </w:pPr>
            <w:proofErr w:type="spellStart"/>
            <w:r>
              <w:t>Ing.Svatava</w:t>
            </w:r>
            <w:proofErr w:type="spellEnd"/>
            <w:r>
              <w:t xml:space="preserve"> </w:t>
            </w:r>
            <w:proofErr w:type="spellStart"/>
            <w:r>
              <w:t>Šlajchrtová</w:t>
            </w:r>
            <w:proofErr w:type="spellEnd"/>
            <w:r>
              <w:t>, ředitelka odboru zdravotní péče Regionální pobočka Brno, pobočka pro Jihomoravský kraj a Kraj Vysočina</w:t>
            </w:r>
          </w:p>
        </w:tc>
      </w:tr>
      <w:tr w:rsidR="00E92BA8">
        <w:trPr>
          <w:trHeight w:val="266"/>
        </w:trPr>
        <w:tc>
          <w:tcPr>
            <w:tcW w:w="3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BA8" w:rsidRDefault="00F56DC9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Doručovací adresa (obec):</w:t>
            </w:r>
          </w:p>
        </w:tc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BA8" w:rsidRDefault="00F56DC9">
            <w:pPr>
              <w:spacing w:after="0" w:line="259" w:lineRule="auto"/>
              <w:ind w:left="17" w:firstLine="0"/>
              <w:jc w:val="left"/>
            </w:pPr>
            <w:r>
              <w:t>Brno</w:t>
            </w:r>
          </w:p>
        </w:tc>
      </w:tr>
      <w:tr w:rsidR="00E92BA8">
        <w:trPr>
          <w:trHeight w:val="274"/>
        </w:trPr>
        <w:tc>
          <w:tcPr>
            <w:tcW w:w="3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BA8" w:rsidRDefault="00F56DC9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Ulice, č.p., PSČ:</w:t>
            </w:r>
          </w:p>
        </w:tc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BA8" w:rsidRDefault="00F56DC9">
            <w:pPr>
              <w:spacing w:after="0" w:line="259" w:lineRule="auto"/>
              <w:ind w:left="17" w:firstLine="0"/>
              <w:jc w:val="left"/>
            </w:pPr>
            <w:r>
              <w:t>Benešova 696/10, 659 14</w:t>
            </w:r>
          </w:p>
        </w:tc>
      </w:tr>
      <w:tr w:rsidR="00E92BA8">
        <w:trPr>
          <w:trHeight w:val="274"/>
        </w:trPr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BA8" w:rsidRDefault="00F56DC9">
            <w:pPr>
              <w:spacing w:after="0" w:line="259" w:lineRule="auto"/>
              <w:ind w:left="14" w:firstLine="0"/>
              <w:jc w:val="left"/>
            </w:pPr>
            <w:r>
              <w:t>tel.: 952 236 111</w:t>
            </w:r>
          </w:p>
        </w:tc>
        <w:tc>
          <w:tcPr>
            <w:tcW w:w="1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BA8" w:rsidRDefault="00F56DC9">
            <w:pPr>
              <w:spacing w:after="0" w:line="259" w:lineRule="auto"/>
              <w:ind w:left="8" w:firstLine="0"/>
              <w:jc w:val="left"/>
            </w:pPr>
            <w:r>
              <w:rPr>
                <w:sz w:val="18"/>
              </w:rPr>
              <w:t>fax: 542 221 431</w:t>
            </w:r>
          </w:p>
        </w:tc>
        <w:tc>
          <w:tcPr>
            <w:tcW w:w="4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BA8" w:rsidRDefault="00F56DC9">
            <w:pPr>
              <w:spacing w:after="0" w:line="259" w:lineRule="auto"/>
              <w:ind w:left="7" w:firstLine="0"/>
              <w:jc w:val="left"/>
            </w:pPr>
            <w:r>
              <w:t>e-mail: informace72@vzp.cz</w:t>
            </w:r>
          </w:p>
        </w:tc>
      </w:tr>
      <w:tr w:rsidR="00E92BA8">
        <w:trPr>
          <w:trHeight w:val="824"/>
        </w:trPr>
        <w:tc>
          <w:tcPr>
            <w:tcW w:w="3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BA8" w:rsidRDefault="00F56DC9">
            <w:pPr>
              <w:spacing w:after="0" w:line="259" w:lineRule="auto"/>
              <w:ind w:left="24" w:right="108" w:firstLine="0"/>
              <w:jc w:val="left"/>
            </w:pPr>
            <w:r>
              <w:rPr>
                <w:sz w:val="22"/>
              </w:rPr>
              <w:t>Bankovní spojení (název banky), číslo účtu/kód banky:</w:t>
            </w:r>
          </w:p>
        </w:tc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BA8" w:rsidRDefault="00F56DC9">
            <w:pPr>
              <w:spacing w:after="0" w:line="259" w:lineRule="auto"/>
              <w:ind w:left="22" w:firstLine="0"/>
              <w:jc w:val="left"/>
            </w:pPr>
            <w:r>
              <w:t>Komerční banka, a.s.,</w:t>
            </w:r>
          </w:p>
          <w:p w:rsidR="00E92BA8" w:rsidRDefault="00F56DC9">
            <w:pPr>
              <w:spacing w:after="0" w:line="259" w:lineRule="auto"/>
              <w:ind w:left="17" w:firstLine="0"/>
              <w:jc w:val="left"/>
            </w:pPr>
            <w:r>
              <w:t xml:space="preserve">27-8272400207/01 </w:t>
            </w:r>
            <w:proofErr w:type="spellStart"/>
            <w:r>
              <w:t>oo</w:t>
            </w:r>
            <w:proofErr w:type="spellEnd"/>
          </w:p>
        </w:tc>
      </w:tr>
    </w:tbl>
    <w:p w:rsidR="00E92BA8" w:rsidRDefault="00F56DC9">
      <w:pPr>
        <w:spacing w:after="181"/>
        <w:ind w:left="72" w:right="14"/>
      </w:pPr>
      <w:r>
        <w:t>(dále jen „Pojišťovna”) na straně druhé</w:t>
      </w:r>
    </w:p>
    <w:p w:rsidR="00E92BA8" w:rsidRDefault="00F56DC9">
      <w:pPr>
        <w:pStyle w:val="Nadpis1"/>
        <w:spacing w:line="259" w:lineRule="auto"/>
        <w:ind w:left="0" w:right="48" w:firstLine="0"/>
        <w:jc w:val="center"/>
      </w:pPr>
      <w:r>
        <w:rPr>
          <w:sz w:val="42"/>
        </w:rPr>
        <w:lastRenderedPageBreak/>
        <w:t>u z a v í r a j í</w:t>
      </w:r>
    </w:p>
    <w:p w:rsidR="00E92BA8" w:rsidRDefault="00F56DC9">
      <w:pPr>
        <w:ind w:left="19" w:right="14"/>
      </w:pPr>
      <w:r>
        <w:t>v souladu s vyhláškou č. 618/2006 Sb., kterou se vydávají rámcové smlouvy, zákonem č. 48/1997 Sb., o veřejném zdravotním pojištění a o změně a doplnění některých souvisejících zákonů, ve znění pozdějších předpisů (dále jen „zákon č. 48/1997 Sb.") a dalšími</w:t>
      </w:r>
      <w:r>
        <w:t xml:space="preserve"> právními předpisy upravujícími veřejné zdravotní pojištění a poskytování zdravotních služeb tuto Smlouvu o poskytování a úhradě hrazených služeb (dále jen „Smlouva”).</w:t>
      </w:r>
    </w:p>
    <w:p w:rsidR="00E92BA8" w:rsidRDefault="00F56DC9">
      <w:pPr>
        <w:spacing w:after="0" w:line="259" w:lineRule="auto"/>
        <w:ind w:left="341" w:right="384" w:hanging="10"/>
        <w:jc w:val="center"/>
      </w:pPr>
      <w:r>
        <w:rPr>
          <w:sz w:val="24"/>
        </w:rPr>
        <w:t xml:space="preserve">Článek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>.</w:t>
      </w:r>
    </w:p>
    <w:p w:rsidR="00E92BA8" w:rsidRDefault="00F56DC9">
      <w:pPr>
        <w:spacing w:after="37" w:line="259" w:lineRule="auto"/>
        <w:ind w:left="68" w:right="86" w:hanging="10"/>
        <w:jc w:val="center"/>
      </w:pPr>
      <w:r>
        <w:rPr>
          <w:sz w:val="22"/>
        </w:rPr>
        <w:t>Předmět Smlouvy</w:t>
      </w:r>
    </w:p>
    <w:p w:rsidR="00E92BA8" w:rsidRDefault="00F56DC9">
      <w:pPr>
        <w:spacing w:after="530"/>
        <w:ind w:left="15" w:right="14"/>
      </w:pPr>
      <w:r>
        <w:t xml:space="preserve">Předmětem této Smlouvy je stanovení podmínek a úprava vztahů </w:t>
      </w:r>
      <w:r>
        <w:t>vznikajících mezi Poskytovatelem a Pojišťovnou při poskytování zdravotních služeb hrazených z veřejného zdravotního pojištění (dále jen „hrazené služby”) pojištěncům Pojišťovny (dále jen „pojištěnci”) a při jejich úhradě. To platí i v případě, kdy Pojišťov</w:t>
      </w:r>
      <w:r>
        <w:t>na plní roli výpomocné instituce při realizaci práva Evropské unie, nebo na základě mezinárodních smluv o sociálním zabezpečení, uzavíraných Českou republikou.</w:t>
      </w:r>
    </w:p>
    <w:p w:rsidR="00E92BA8" w:rsidRDefault="00F56DC9">
      <w:pPr>
        <w:spacing w:after="0" w:line="259" w:lineRule="auto"/>
        <w:ind w:left="341" w:right="341" w:hanging="10"/>
        <w:jc w:val="center"/>
      </w:pPr>
      <w:r>
        <w:rPr>
          <w:sz w:val="24"/>
        </w:rPr>
        <w:t xml:space="preserve">Článek </w:t>
      </w:r>
      <w:proofErr w:type="spellStart"/>
      <w:r>
        <w:rPr>
          <w:sz w:val="24"/>
        </w:rPr>
        <w:t>Ill</w:t>
      </w:r>
      <w:proofErr w:type="spellEnd"/>
      <w:r>
        <w:rPr>
          <w:sz w:val="24"/>
        </w:rPr>
        <w:t>.</w:t>
      </w:r>
    </w:p>
    <w:p w:rsidR="00E92BA8" w:rsidRDefault="00F56DC9">
      <w:pPr>
        <w:spacing w:after="37" w:line="259" w:lineRule="auto"/>
        <w:ind w:left="341" w:right="331" w:hanging="10"/>
        <w:jc w:val="center"/>
      </w:pPr>
      <w:r>
        <w:rPr>
          <w:sz w:val="24"/>
        </w:rPr>
        <w:t>Práva a povinnosti smluvních stran</w:t>
      </w:r>
    </w:p>
    <w:p w:rsidR="00E92BA8" w:rsidRDefault="00F56DC9">
      <w:pPr>
        <w:tabs>
          <w:tab w:val="center" w:pos="250"/>
          <w:tab w:val="center" w:pos="1256"/>
        </w:tabs>
        <w:ind w:left="0" w:firstLine="0"/>
        <w:jc w:val="left"/>
      </w:pPr>
      <w:r>
        <w:tab/>
      </w:r>
      <w:r>
        <w:t>(</w:t>
      </w:r>
      <w:proofErr w:type="gramStart"/>
      <w:r>
        <w:t>1 )</w:t>
      </w:r>
      <w:proofErr w:type="gramEnd"/>
      <w:r>
        <w:tab/>
      </w:r>
      <w:r>
        <w:t>Smluvní strany</w:t>
      </w:r>
    </w:p>
    <w:p w:rsidR="00E92BA8" w:rsidRDefault="00F56DC9">
      <w:pPr>
        <w:numPr>
          <w:ilvl w:val="0"/>
          <w:numId w:val="1"/>
        </w:numPr>
        <w:ind w:right="14" w:hanging="399"/>
      </w:pPr>
      <w:r>
        <w:t>dodržují při vykazování a úhradě hrazených služeb dohodnutou Metodiku pro pořizování a předávání dokladů VZP ČR (dále jen „Metodika”), Pravidla pro vyhodnocování dokladů ve VZP ČR (dále jen „Pravidla”) a Datové rozhraní VZP ČR,</w:t>
      </w:r>
    </w:p>
    <w:p w:rsidR="00E92BA8" w:rsidRDefault="00F56DC9">
      <w:pPr>
        <w:numPr>
          <w:ilvl w:val="0"/>
          <w:numId w:val="1"/>
        </w:numPr>
        <w:spacing w:after="58"/>
        <w:ind w:right="14" w:hanging="399"/>
      </w:pPr>
      <w:r>
        <w:t>zavážou své zaměstnance, s o</w:t>
      </w:r>
      <w:r>
        <w:t xml:space="preserve">hledem na ochranu práv pojištěnců, k zachování povinné mlčenlivosti o osobních údajích </w:t>
      </w:r>
      <w:r>
        <w:rPr>
          <w:vertAlign w:val="superscript"/>
        </w:rPr>
        <w:t xml:space="preserve">I </w:t>
      </w:r>
      <w:r>
        <w:t>a skutečnostech, o nichž se dozvěděli při výkonu své funkce nebo zaměstnání anebo při zpracování údajů z informačního systému na základě Smlouvy, popřípadě v souvislos</w:t>
      </w:r>
      <w:r>
        <w:t xml:space="preserve">ti s nimi </w:t>
      </w:r>
      <w:r>
        <w:rPr>
          <w:noProof/>
        </w:rPr>
        <w:drawing>
          <wp:inline distT="0" distB="0" distL="0" distR="0">
            <wp:extent cx="15246" cy="18288"/>
            <wp:effectExtent l="0" t="0" r="0" b="0"/>
            <wp:docPr id="6531" name="Picture 6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1" name="Picture 65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BA8" w:rsidRDefault="00F56DC9">
      <w:pPr>
        <w:tabs>
          <w:tab w:val="center" w:pos="257"/>
          <w:tab w:val="center" w:pos="1179"/>
        </w:tabs>
        <w:ind w:left="0" w:firstLine="0"/>
        <w:jc w:val="left"/>
      </w:pPr>
      <w:r>
        <w:tab/>
      </w:r>
      <w:r>
        <w:t>(2)</w:t>
      </w:r>
      <w:r>
        <w:tab/>
      </w:r>
      <w:r>
        <w:t>Poskytovatel</w:t>
      </w:r>
    </w:p>
    <w:p w:rsidR="00E92BA8" w:rsidRDefault="00F56DC9">
      <w:pPr>
        <w:numPr>
          <w:ilvl w:val="0"/>
          <w:numId w:val="2"/>
        </w:numPr>
        <w:ind w:right="14" w:hanging="408"/>
      </w:pPr>
      <w:r>
        <w:t>poskytuje hrazené služby v souladu s právními předpisy v odbornostech a rozsahu dohodnutých a vymezených ve Smlouvě, pro které je věcně a technicky vybaven a personálně zajištěn,</w:t>
      </w:r>
    </w:p>
    <w:p w:rsidR="00E92BA8" w:rsidRDefault="00F56DC9">
      <w:pPr>
        <w:numPr>
          <w:ilvl w:val="0"/>
          <w:numId w:val="2"/>
        </w:numPr>
        <w:spacing w:after="0"/>
        <w:ind w:right="14" w:hanging="408"/>
      </w:pPr>
      <w:r>
        <w:t xml:space="preserve">poskytuje hrazené </w:t>
      </w:r>
      <w:proofErr w:type="spellStart"/>
      <w:r>
        <w:t>službř</w:t>
      </w:r>
      <w:proofErr w:type="spellEnd"/>
      <w:r>
        <w:t xml:space="preserve"> pojištěncům z členskýc</w:t>
      </w:r>
      <w:r>
        <w:t>h států EU, EHP a Švýcarska podle příslušných předpisů Evropské unie a pojištěncům dalších států, se kterými má Česká republika uzavřeny smlouvy o sociálním zabezpečení</w:t>
      </w:r>
      <w:r>
        <w:rPr>
          <w:vertAlign w:val="superscript"/>
        </w:rPr>
        <w:t xml:space="preserve">4 </w:t>
      </w:r>
      <w:r>
        <w:t>(dále jen pojištěnci z EU), za stejných podmínek jako pojištěncům Pojišťovny, v rozsah</w:t>
      </w:r>
      <w:r>
        <w:t>u dle jimi předložených dokladů, tak aby nedocházelo k jejich diskriminaci ani upřednostňování, a to ani v případě, že by pojištěnec z EU hradil hrazené služby v hotovosti,</w:t>
      </w:r>
    </w:p>
    <w:p w:rsidR="00E92BA8" w:rsidRDefault="00F56DC9">
      <w:pPr>
        <w:numPr>
          <w:ilvl w:val="0"/>
          <w:numId w:val="2"/>
        </w:numPr>
        <w:spacing w:after="62"/>
        <w:ind w:right="14" w:hanging="40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6458345</wp:posOffset>
            </wp:positionH>
            <wp:positionV relativeFrom="page">
              <wp:posOffset>5108449</wp:posOffset>
            </wp:positionV>
            <wp:extent cx="12197" cy="30480"/>
            <wp:effectExtent l="0" t="0" r="0" b="0"/>
            <wp:wrapSquare wrapText="bothSides"/>
            <wp:docPr id="6532" name="Picture 6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2" name="Picture 65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odpovídá za to, že jeho </w:t>
      </w:r>
      <w:proofErr w:type="gramStart"/>
      <w:r>
        <w:t>zaměstnanci ,</w:t>
      </w:r>
      <w:proofErr w:type="gramEnd"/>
      <w:r>
        <w:t xml:space="preserve"> kteří budou pojištěncům poskytovat ve Smlouv</w:t>
      </w:r>
      <w:r>
        <w:t>ě sjednané hrazené služby, splňují požadavky způsobilosti stanovené právními předpisy pro výkon této činnosti</w:t>
      </w:r>
    </w:p>
    <w:p w:rsidR="00E92BA8" w:rsidRDefault="00F56DC9">
      <w:pPr>
        <w:numPr>
          <w:ilvl w:val="0"/>
          <w:numId w:val="2"/>
        </w:numPr>
        <w:spacing w:after="61"/>
        <w:ind w:right="14" w:hanging="408"/>
      </w:pPr>
      <w:r>
        <w:t>odpovídá za to, že zdravotničtí pracovníci poskytují hrazené služby na základě ordinace ošetřujícího lékaře smluvního poskytovatele Pojišťovny v s</w:t>
      </w:r>
      <w:r>
        <w:t xml:space="preserve">ouladu se zvláštním právním předpisem </w:t>
      </w:r>
      <w:r>
        <w:rPr>
          <w:noProof/>
        </w:rPr>
        <w:drawing>
          <wp:inline distT="0" distB="0" distL="0" distR="0">
            <wp:extent cx="15247" cy="30480"/>
            <wp:effectExtent l="0" t="0" r="0" b="0"/>
            <wp:docPr id="6533" name="Picture 6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3" name="Picture 65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7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BA8" w:rsidRDefault="00F56DC9">
      <w:pPr>
        <w:numPr>
          <w:ilvl w:val="0"/>
          <w:numId w:val="2"/>
        </w:numPr>
        <w:spacing w:after="46"/>
        <w:ind w:right="14" w:hanging="408"/>
      </w:pPr>
      <w:r>
        <w:t xml:space="preserve">odpovídá za plnění věcných a technických podmínek, stanovených pro jím poskytované hrazené služby podle zvláštního právního předpisu </w:t>
      </w:r>
      <w:r>
        <w:rPr>
          <w:noProof/>
        </w:rPr>
        <w:drawing>
          <wp:inline distT="0" distB="0" distL="0" distR="0">
            <wp:extent cx="15246" cy="30480"/>
            <wp:effectExtent l="0" t="0" r="0" b="0"/>
            <wp:docPr id="6534" name="Picture 6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4" name="Picture 653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BA8" w:rsidRDefault="00F56DC9">
      <w:pPr>
        <w:numPr>
          <w:ilvl w:val="0"/>
          <w:numId w:val="2"/>
        </w:numPr>
        <w:spacing w:after="56"/>
        <w:ind w:right="14" w:hanging="408"/>
      </w:pPr>
      <w:r>
        <w:t xml:space="preserve">poskytuje hrazené služby „lege </w:t>
      </w:r>
      <w:proofErr w:type="spellStart"/>
      <w:r>
        <w:t>artis</w:t>
      </w:r>
      <w:proofErr w:type="spellEnd"/>
      <w:r>
        <w:t>” bez nadbytečných nákladů, vždy však se zřetelem k tomu, aby potřebného diagnostické</w:t>
      </w:r>
      <w:r>
        <w:t>ho nebo léčebného efektu bylo dosaženo s ohledem na individuální zdravotní stav pojištěnce,</w:t>
      </w:r>
    </w:p>
    <w:p w:rsidR="00E92BA8" w:rsidRDefault="00F56DC9">
      <w:pPr>
        <w:numPr>
          <w:ilvl w:val="0"/>
          <w:numId w:val="2"/>
        </w:numPr>
        <w:ind w:right="14" w:hanging="408"/>
      </w:pPr>
      <w:r>
        <w:t>povede pro posouzení oprávněnosti vyúčtovaných hrazených služeb v průkazné formě zdravotnickou dokumentaci o léčení pojištěnců, ve které budou zaznamenávány provede</w:t>
      </w:r>
      <w:r>
        <w:t xml:space="preserve">né zdravotní výkony, vyžádané hrazené služby a uchovány v ní i doručené výsledky vyžádaných a provedených vyšetření a ošetření, v souladu se zvláštním právním předpisem </w:t>
      </w:r>
      <w:r>
        <w:rPr>
          <w:noProof/>
        </w:rPr>
        <w:drawing>
          <wp:inline distT="0" distB="0" distL="0" distR="0">
            <wp:extent cx="15246" cy="30480"/>
            <wp:effectExtent l="0" t="0" r="0" b="0"/>
            <wp:docPr id="6535" name="Picture 6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5" name="Picture 653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BA8" w:rsidRDefault="00F56DC9">
      <w:pPr>
        <w:numPr>
          <w:ilvl w:val="0"/>
          <w:numId w:val="2"/>
        </w:numPr>
        <w:spacing w:after="122"/>
        <w:ind w:right="14" w:hanging="408"/>
      </w:pPr>
      <w:r>
        <w:t xml:space="preserve">zajistí, v </w:t>
      </w:r>
      <w:proofErr w:type="gramStart"/>
      <w:r>
        <w:t>případě</w:t>
      </w:r>
      <w:proofErr w:type="gramEnd"/>
      <w:r>
        <w:t xml:space="preserve"> kdy není přítomen nositel výkonu oprávněný poskytovat hrazené služ</w:t>
      </w:r>
      <w:r>
        <w:t>by dle Smlouvy a splňující podmínky pro výkon této činnosti (buď provozovatel - fyzická osoba nebo</w:t>
      </w:r>
    </w:p>
    <w:p w:rsidR="00E92BA8" w:rsidRDefault="00F56DC9">
      <w:pPr>
        <w:spacing w:after="3" w:line="266" w:lineRule="auto"/>
        <w:ind w:left="116" w:right="19" w:hanging="10"/>
      </w:pPr>
      <w:r>
        <w:rPr>
          <w:sz w:val="18"/>
        </w:rPr>
        <w:t>Zákon č. 101/2000 Sb., o ochraně osobních údajů a o změně některých zákonů, ve znění pozdějších předpisů</w:t>
      </w:r>
    </w:p>
    <w:p w:rsidR="00E92BA8" w:rsidRDefault="00F56DC9">
      <w:pPr>
        <w:numPr>
          <w:ilvl w:val="0"/>
          <w:numId w:val="3"/>
        </w:numPr>
        <w:spacing w:after="36" w:line="266" w:lineRule="auto"/>
        <w:ind w:right="19" w:hanging="110"/>
      </w:pPr>
      <w:r>
        <w:rPr>
          <w:sz w:val="18"/>
        </w:rPr>
        <w:t>Zákon č. 551/1991 Sb., o Všeobecné zdravotní pojišťo</w:t>
      </w:r>
      <w:r>
        <w:rPr>
          <w:sz w:val="18"/>
        </w:rPr>
        <w:t>vně, ve znění pozdějších předpisů</w:t>
      </w:r>
    </w:p>
    <w:p w:rsidR="00E92BA8" w:rsidRDefault="00F56DC9">
      <w:pPr>
        <w:numPr>
          <w:ilvl w:val="0"/>
          <w:numId w:val="3"/>
        </w:numPr>
        <w:spacing w:after="3" w:line="266" w:lineRule="auto"/>
        <w:ind w:right="19" w:hanging="110"/>
      </w:pPr>
      <w:r>
        <w:rPr>
          <w:sz w:val="18"/>
        </w:rPr>
        <w:lastRenderedPageBreak/>
        <w:t>Nařízení Evropského parlamentu a Rady (ES) č. 883/2004, o koordinaci systémů sociálního zabezpečení a č. 987/2009, kterým se stanoví prováděcí pravidla k nařízení (EC) č. 883/2004, o koordinaci systémů sociálního zabezpeče</w:t>
      </w:r>
      <w:r>
        <w:rPr>
          <w:sz w:val="18"/>
        </w:rPr>
        <w:t>ní; směrnice Evropského parlamentu a Rady 2011/24/EU</w:t>
      </w:r>
    </w:p>
    <w:p w:rsidR="00E92BA8" w:rsidRDefault="00F56DC9">
      <w:pPr>
        <w:numPr>
          <w:ilvl w:val="0"/>
          <w:numId w:val="3"/>
        </w:numPr>
        <w:spacing w:after="3" w:line="266" w:lineRule="auto"/>
        <w:ind w:right="19" w:hanging="110"/>
      </w:pPr>
      <w:r>
        <w:rPr>
          <w:sz w:val="18"/>
        </w:rPr>
        <w:t>Např. Sdělení Ministerstva zahraničních věcí č. 130/2002 Sb. m. s., o sjednání Smlouvy mezi Českou republikou a Svazovou republikou Jugoslávií o sociálním zabezpečení, Sdělení Ministerstva zahraničních v</w:t>
      </w:r>
      <w:r>
        <w:rPr>
          <w:sz w:val="18"/>
        </w:rPr>
        <w:t>ěcí č. 135/2004 Sb. m. s., o sjednání Smlouvy mezi Českou republikou a Tureckou republikou o sociálním zabezpečení, Sdělení Ministerstva zahraničních věcí</w:t>
      </w:r>
    </w:p>
    <w:p w:rsidR="00E92BA8" w:rsidRDefault="00F56DC9">
      <w:pPr>
        <w:numPr>
          <w:ilvl w:val="0"/>
          <w:numId w:val="3"/>
        </w:numPr>
        <w:spacing w:after="27" w:line="266" w:lineRule="auto"/>
        <w:ind w:right="19" w:hanging="110"/>
      </w:pPr>
      <w:r>
        <w:rPr>
          <w:sz w:val="18"/>
        </w:rPr>
        <w:t>č. 2/2007 Sb. m. s., o sjednání Smlouvy mezi Českou republikou a Republikou Makedonie o sociálním zab</w:t>
      </w:r>
      <w:r>
        <w:rPr>
          <w:sz w:val="18"/>
        </w:rPr>
        <w:t>ezpečení Zákon č. 435/2004 Sb., o zaměstnanosti, ve znění pozdějších předpisů</w:t>
      </w:r>
    </w:p>
    <w:p w:rsidR="00E92BA8" w:rsidRDefault="00F56DC9">
      <w:pPr>
        <w:numPr>
          <w:ilvl w:val="0"/>
          <w:numId w:val="3"/>
        </w:numPr>
        <w:spacing w:after="3" w:line="266" w:lineRule="auto"/>
        <w:ind w:right="19" w:hanging="110"/>
      </w:pPr>
      <w:r>
        <w:rPr>
          <w:sz w:val="18"/>
        </w:rPr>
        <w:t>Zákon č. 95/2004 Sb., o podmínkách získávání a uznávání odborné způsobilosti a specializované způsobilosti k výkonu zdravotnického povolání lékaře, zubního lékaře a farmaceuta, v</w:t>
      </w:r>
      <w:r>
        <w:rPr>
          <w:sz w:val="18"/>
        </w:rPr>
        <w:t>e znění pozdějších předpisů</w:t>
      </w:r>
    </w:p>
    <w:p w:rsidR="00E92BA8" w:rsidRDefault="00F56DC9">
      <w:pPr>
        <w:spacing w:after="3" w:line="266" w:lineRule="auto"/>
        <w:ind w:left="101" w:right="19" w:hanging="10"/>
      </w:pPr>
      <w:r>
        <w:rPr>
          <w:sz w:val="18"/>
        </w:rPr>
        <w:t xml:space="preserve">Zákon č. 96/2004 Sb., o podmínkách získávání a uznávání </w:t>
      </w:r>
      <w:proofErr w:type="spellStart"/>
      <w:r>
        <w:rPr>
          <w:sz w:val="18"/>
        </w:rPr>
        <w:t>zpusobilosti</w:t>
      </w:r>
      <w:proofErr w:type="spellEnd"/>
      <w:r>
        <w:rPr>
          <w:sz w:val="18"/>
        </w:rPr>
        <w:t xml:space="preserve"> k výkonu nelékařských zdravotnických povolání a k výkonu činností souvisejících s poskytováním zdravotní péče a o změně některých souvisejících zákonů, ve zněn</w:t>
      </w:r>
      <w:r>
        <w:rPr>
          <w:sz w:val="18"/>
        </w:rPr>
        <w:t>í pozdějších předpisů</w:t>
      </w:r>
    </w:p>
    <w:p w:rsidR="00E92BA8" w:rsidRDefault="00F56DC9">
      <w:pPr>
        <w:spacing w:after="161" w:line="266" w:lineRule="auto"/>
        <w:ind w:left="101" w:right="19" w:hanging="10"/>
      </w:pPr>
      <w:r>
        <w:rPr>
          <w:sz w:val="18"/>
        </w:rPr>
        <w:t>Vyhláška č. 55/2011 Sb., o činnostech zdravotnických pracovníků a jiných odborných pracovníků, ve znění pozdějších</w:t>
      </w:r>
    </w:p>
    <w:p w:rsidR="00E92BA8" w:rsidRDefault="00F56DC9">
      <w:pPr>
        <w:numPr>
          <w:ilvl w:val="0"/>
          <w:numId w:val="3"/>
        </w:numPr>
        <w:spacing w:after="3" w:line="266" w:lineRule="auto"/>
        <w:ind w:right="19" w:hanging="110"/>
      </w:pPr>
      <w:r>
        <w:rPr>
          <w:sz w:val="18"/>
        </w:rPr>
        <w:t>Vyhláška č. 92/2012 Sb., o požadavcích na minimální technické a věcné vybavení zdravotnických zařízení a kontaktních pracovišť domácí péče</w:t>
      </w:r>
    </w:p>
    <w:p w:rsidR="00E92BA8" w:rsidRDefault="00F56DC9">
      <w:pPr>
        <w:numPr>
          <w:ilvl w:val="0"/>
          <w:numId w:val="3"/>
        </w:numPr>
        <w:spacing w:after="3" w:line="266" w:lineRule="auto"/>
        <w:ind w:right="19" w:hanging="110"/>
      </w:pPr>
      <w:r>
        <w:rPr>
          <w:sz w:val="18"/>
        </w:rPr>
        <w:t>Zákon č. 372/2011 Sb., o zdravotních službách a podmínkách jejich poskytování, ve znění pozdějších předpisů; Vyhláška</w:t>
      </w:r>
    </w:p>
    <w:p w:rsidR="00E92BA8" w:rsidRDefault="00F56DC9">
      <w:pPr>
        <w:spacing w:after="3" w:line="266" w:lineRule="auto"/>
        <w:ind w:left="106" w:right="19" w:hanging="10"/>
      </w:pPr>
      <w:r>
        <w:rPr>
          <w:sz w:val="18"/>
        </w:rPr>
        <w:t>č. 98/2012 Sb., o zdravotnické dokumentaci, ve znění pozdějších předpisů</w:t>
      </w:r>
    </w:p>
    <w:p w:rsidR="00E92BA8" w:rsidRDefault="00F56DC9">
      <w:pPr>
        <w:spacing w:after="101"/>
        <w:ind w:left="937" w:right="14"/>
      </w:pPr>
      <w:r>
        <w:t>zaměstnanec Poskytovatele), zástup jiným kvalifikovaným nositelem výkonu a tuto skutečnost oznámí pojištěncům; v případě, že nepřítomnost dle věty první bude trvat déle než 3 dny a m</w:t>
      </w:r>
      <w:r>
        <w:t xml:space="preserve">á za následek výrazné omezení provozu Poskytovatele, sdělí Poskytovatel podle metodiky tuto skutečnost Pojišťovně, a to na e-mailovou adresu </w:t>
      </w:r>
      <w:r>
        <w:rPr>
          <w:u w:val="single" w:color="000000"/>
        </w:rPr>
        <w:t>nepritomnost76@vzp.cz</w:t>
      </w:r>
      <w:r>
        <w:t>, nebo prostřednictvím držitele poštovní licence, event. osobně na adresu příslušného klientsk</w:t>
      </w:r>
      <w:r>
        <w:t>ého pracoviště Pojišťovny,</w:t>
      </w:r>
    </w:p>
    <w:p w:rsidR="00E92BA8" w:rsidRDefault="00F56DC9">
      <w:pPr>
        <w:numPr>
          <w:ilvl w:val="1"/>
          <w:numId w:val="3"/>
        </w:numPr>
        <w:spacing w:after="62"/>
        <w:ind w:right="14" w:hanging="423"/>
      </w:pPr>
      <w:r>
        <w:t>poskytne v souladu s právními předpisy poskytovatelům, kterým pojištěnce předá do péče nebo které si pojištěnec zvolí, informace potřebné pro zajištění návaznosti hrazených služeb a k zamezení duplicitního provádění diagnostickýc</w:t>
      </w:r>
      <w:r>
        <w:t>h a léčebných výkonů a při převzetí pojištěnce do péče bude takové informace od příslušných poskytovatelů vyžadovat,</w:t>
      </w:r>
    </w:p>
    <w:p w:rsidR="00E92BA8" w:rsidRDefault="00F56DC9">
      <w:pPr>
        <w:numPr>
          <w:ilvl w:val="1"/>
          <w:numId w:val="3"/>
        </w:numPr>
        <w:ind w:right="14" w:hanging="423"/>
      </w:pPr>
      <w:r>
        <w:t>neodmítne přijetí pojištěnce do své péče s výjimkou důvodů uvedených v S 48 odst. 1 zákona</w:t>
      </w:r>
    </w:p>
    <w:p w:rsidR="00E92BA8" w:rsidRDefault="00F56DC9">
      <w:pPr>
        <w:spacing w:after="105"/>
        <w:ind w:left="932" w:right="14"/>
      </w:pPr>
      <w:r>
        <w:t>č. 372/2011 Sb., o zdravotních službách, a podmí</w:t>
      </w:r>
      <w:r>
        <w:t>nkách jejich poskytování, ve znění pozdějších předpisů,</w:t>
      </w:r>
    </w:p>
    <w:p w:rsidR="00E92BA8" w:rsidRDefault="00F56DC9">
      <w:pPr>
        <w:numPr>
          <w:ilvl w:val="1"/>
          <w:numId w:val="3"/>
        </w:numPr>
        <w:ind w:right="14" w:hanging="423"/>
      </w:pPr>
      <w:r>
        <w:t>nepodmíní právo pojištěnce na svobodnou volbu lékaře, poskytovatele nebo na poskytnutí hrazených služeb žádnými registračními poplatky nebo sponzorskými dary a za poskytnuté hrazené služby nebude od p</w:t>
      </w:r>
      <w:r>
        <w:t>ojištěnce, pokud to nevyplývá z právních předpisů, vybírat žádnou finanční úhradu,</w:t>
      </w:r>
    </w:p>
    <w:p w:rsidR="00E92BA8" w:rsidRDefault="00F56DC9">
      <w:pPr>
        <w:numPr>
          <w:ilvl w:val="1"/>
          <w:numId w:val="3"/>
        </w:numPr>
        <w:spacing w:after="76"/>
        <w:ind w:right="14" w:hanging="423"/>
      </w:pPr>
      <w:r>
        <w:t>nepodmíní právo pojištěnce na poskytnutí hrazených služeb změnou Pojišťovny nebo jiným způsobem,</w:t>
      </w:r>
    </w:p>
    <w:p w:rsidR="00E92BA8" w:rsidRDefault="00F56DC9">
      <w:pPr>
        <w:numPr>
          <w:ilvl w:val="1"/>
          <w:numId w:val="3"/>
        </w:numPr>
        <w:spacing w:after="94"/>
        <w:ind w:right="14" w:hanging="423"/>
      </w:pPr>
      <w:r>
        <w:t>nebude zvýhodňovat pojištěnce jedné nebo více pojišťoven v neprospěch pojištěnců pojišťoven ostatních a zhoršovat dostupnost hrazených služeb přednostním poskytováním zdravotních služeb hrazených jiným způsobem,</w:t>
      </w:r>
    </w:p>
    <w:p w:rsidR="00E92BA8" w:rsidRDefault="00F56DC9">
      <w:pPr>
        <w:numPr>
          <w:ilvl w:val="1"/>
          <w:numId w:val="3"/>
        </w:numPr>
        <w:spacing w:after="53"/>
        <w:ind w:right="14" w:hanging="423"/>
      </w:pPr>
      <w:r>
        <w:t xml:space="preserve">oznámí Pojišťovně, v souladu s </w:t>
      </w:r>
      <w:proofErr w:type="spellStart"/>
      <w:r>
        <w:t>S</w:t>
      </w:r>
      <w:proofErr w:type="spellEnd"/>
      <w:r>
        <w:t xml:space="preserve"> 55 zákona č. 48/1997 Sb., úrazy nebo jiná poškození zdraví osob, kterým poskytl hrazené služby, pokud má důvodné podezření, že byly způsobeny jednáním právnické nebo fyzické osoby,</w:t>
      </w:r>
    </w:p>
    <w:p w:rsidR="00E92BA8" w:rsidRDefault="00F56DC9">
      <w:pPr>
        <w:numPr>
          <w:ilvl w:val="1"/>
          <w:numId w:val="3"/>
        </w:numPr>
        <w:spacing w:after="49"/>
        <w:ind w:right="14" w:hanging="423"/>
      </w:pPr>
      <w:r>
        <w:t>doloží při uzavírání Smlouvy s Pojišťovnou</w:t>
      </w:r>
      <w:r>
        <w:t xml:space="preserve"> doklad o pojištění odpovědnosti za škodu způsobenou v souvislosti s poskytováním hrazených služeb a bude pojištěn po celou dobu trvání smluvního vztahu s Pojišťovnou.</w:t>
      </w:r>
    </w:p>
    <w:p w:rsidR="00E92BA8" w:rsidRDefault="00F56DC9">
      <w:pPr>
        <w:tabs>
          <w:tab w:val="center" w:pos="953"/>
        </w:tabs>
        <w:spacing w:after="74"/>
        <w:ind w:left="0" w:firstLine="0"/>
        <w:jc w:val="left"/>
      </w:pPr>
      <w:r>
        <w:t>(3)</w:t>
      </w:r>
      <w:r>
        <w:tab/>
      </w:r>
      <w:r>
        <w:t>Pojišťovna</w:t>
      </w:r>
    </w:p>
    <w:p w:rsidR="00E92BA8" w:rsidRDefault="00F56DC9">
      <w:pPr>
        <w:numPr>
          <w:ilvl w:val="0"/>
          <w:numId w:val="4"/>
        </w:numPr>
        <w:ind w:right="14" w:hanging="408"/>
      </w:pPr>
      <w:r>
        <w:t>uhradí Poskytovateli hrazené služby, indikované ošetřujícím lékařem smluv</w:t>
      </w:r>
      <w:r>
        <w:t xml:space="preserve">ního poskytovatele Pojišťovny, průkazně zdokumentované a odůvodněně poskytnuté jejím pojištěncům i pojištěncům z EU, kteří si Pojišťovnu vybrali jako výpomocnou instituci při realizaci práva Evropské </w:t>
      </w:r>
      <w:proofErr w:type="gramStart"/>
      <w:r>
        <w:t>unie ,</w:t>
      </w:r>
      <w:proofErr w:type="gramEnd"/>
      <w:r>
        <w:t xml:space="preserve"> v souladu s právními předpisy a Smlouvou,</w:t>
      </w:r>
    </w:p>
    <w:p w:rsidR="00E92BA8" w:rsidRDefault="00F56DC9">
      <w:pPr>
        <w:numPr>
          <w:ilvl w:val="0"/>
          <w:numId w:val="4"/>
        </w:numPr>
        <w:spacing w:after="0"/>
        <w:ind w:right="14" w:hanging="408"/>
      </w:pPr>
      <w:r>
        <w:t>dohledá</w:t>
      </w:r>
      <w:r>
        <w:t xml:space="preserve"> na žádost Poskytovatele bez zbytečného prodlení příslušnost pojištěnce k Pojišťovně v případech, kdy není dostupný průkaz pojištěnce a jsou dostupné jeho osobní údaje,</w:t>
      </w:r>
    </w:p>
    <w:p w:rsidR="00E92BA8" w:rsidRDefault="00F56DC9">
      <w:pPr>
        <w:numPr>
          <w:ilvl w:val="0"/>
          <w:numId w:val="4"/>
        </w:numPr>
        <w:ind w:right="14" w:hanging="408"/>
      </w:pPr>
      <w:r>
        <w:lastRenderedPageBreak/>
        <w:t>nebude vyžadovat zvýhodňování svých pojištěnců na úkor pojištěnců ostatních pojišťoven,</w:t>
      </w:r>
      <w:r>
        <w:t xml:space="preserve"> d) je oprávněna provádět kontrolu plnění smluvně dohodnutých věcných a technických podmínek a personálního zajištění hrazených služeb poskytovaných Poskytovatelem podle Smlouvy,</w:t>
      </w:r>
    </w:p>
    <w:p w:rsidR="00E92BA8" w:rsidRDefault="00F56DC9">
      <w:pPr>
        <w:numPr>
          <w:ilvl w:val="0"/>
          <w:numId w:val="5"/>
        </w:numPr>
        <w:ind w:right="14" w:hanging="399"/>
      </w:pPr>
      <w:r>
        <w:t>poskytuje Poskytovateli prostřednictvím zveřejnění na internetových stránkách</w:t>
      </w:r>
      <w:r>
        <w:t xml:space="preserve"> Pojišťovny k zajištění jednotných podmínek dohodnutou Metodiku, Pravidla, Datové rozhraní a příslušné číselníky vydávané Pojišťovnou k vykazování a výpočtu úhrady hrazených služeb,</w:t>
      </w:r>
    </w:p>
    <w:p w:rsidR="00E92BA8" w:rsidRDefault="00F56DC9">
      <w:pPr>
        <w:numPr>
          <w:ilvl w:val="0"/>
          <w:numId w:val="5"/>
        </w:numPr>
        <w:spacing w:after="227"/>
        <w:ind w:right="14" w:hanging="399"/>
      </w:pPr>
      <w:r>
        <w:t>seznámí Poskytovatele prostřednictvím zveřejnění na internetových stránkác</w:t>
      </w:r>
      <w:r>
        <w:t>h Pojišťovny s dohodnutými změnami Metodiky, Pravidel a se změnami číselníků alespoň jeden měsíc a se změnou Datového rozhraní alespoň dva měsíce před stanoveným termínem jejich platnosti. V případě změny právních předpisů, která neumožní tuto lhůtu dodrže</w:t>
      </w:r>
      <w:r>
        <w:t>t, může být uvedená lhůta přiměřeně zkrácena.</w:t>
      </w:r>
    </w:p>
    <w:p w:rsidR="00E92BA8" w:rsidRDefault="00F56DC9">
      <w:pPr>
        <w:spacing w:after="0" w:line="259" w:lineRule="auto"/>
        <w:ind w:left="341" w:hanging="10"/>
        <w:jc w:val="center"/>
      </w:pPr>
      <w:r>
        <w:rPr>
          <w:sz w:val="24"/>
        </w:rPr>
        <w:t>Článek IV.</w:t>
      </w:r>
    </w:p>
    <w:p w:rsidR="00E92BA8" w:rsidRDefault="00F56DC9">
      <w:pPr>
        <w:spacing w:after="31" w:line="259" w:lineRule="auto"/>
        <w:ind w:left="341" w:right="303" w:hanging="10"/>
        <w:jc w:val="center"/>
      </w:pPr>
      <w:r>
        <w:rPr>
          <w:sz w:val="24"/>
        </w:rPr>
        <w:t>Úhrada poskytovaných hrazených služeb</w:t>
      </w:r>
    </w:p>
    <w:p w:rsidR="00E92BA8" w:rsidRDefault="00F56DC9">
      <w:pPr>
        <w:numPr>
          <w:ilvl w:val="0"/>
          <w:numId w:val="6"/>
        </w:numPr>
        <w:spacing w:after="95"/>
        <w:ind w:right="14" w:hanging="543"/>
      </w:pPr>
      <w:r>
        <w:t>Hodnoty bodu pro zdravotní služby hrazené podle Seznamu výkonů, výše úhrad hrazených služeb a regulační omezení objemu poskytnutých hrazených služeb podle S 17 odst. 5 zákona č. 48/1997 Sb. se uvedou v dodatku ke Smlouvě.</w:t>
      </w:r>
    </w:p>
    <w:p w:rsidR="00E92BA8" w:rsidRDefault="00F56DC9">
      <w:pPr>
        <w:numPr>
          <w:ilvl w:val="0"/>
          <w:numId w:val="6"/>
        </w:numPr>
        <w:ind w:right="14" w:hanging="543"/>
      </w:pPr>
      <w:r>
        <w:t>Za způsoby úhrady se považují:</w:t>
      </w:r>
    </w:p>
    <w:p w:rsidR="00E92BA8" w:rsidRDefault="00F56DC9">
      <w:pPr>
        <w:numPr>
          <w:ilvl w:val="1"/>
          <w:numId w:val="6"/>
        </w:numPr>
        <w:ind w:right="14" w:hanging="413"/>
      </w:pPr>
      <w:r>
        <w:t>úhr</w:t>
      </w:r>
      <w:r>
        <w:t>ada za zdravotní výkony podle seznamu zdravotních výkonů s bodovými hodnotami, nebo</w:t>
      </w:r>
    </w:p>
    <w:p w:rsidR="00E92BA8" w:rsidRDefault="00F56DC9">
      <w:pPr>
        <w:numPr>
          <w:ilvl w:val="1"/>
          <w:numId w:val="6"/>
        </w:numPr>
        <w:ind w:right="14" w:hanging="413"/>
      </w:pPr>
      <w:r>
        <w:t>paušální úhrada za poskytnuté hrazené služby, nebo</w:t>
      </w:r>
    </w:p>
    <w:p w:rsidR="00E92BA8" w:rsidRDefault="00F56DC9">
      <w:pPr>
        <w:numPr>
          <w:ilvl w:val="1"/>
          <w:numId w:val="6"/>
        </w:numPr>
        <w:spacing w:after="58" w:line="266" w:lineRule="auto"/>
        <w:ind w:right="14" w:hanging="413"/>
      </w:pPr>
      <w:r>
        <w:rPr>
          <w:sz w:val="18"/>
        </w:rPr>
        <w:t>jiný dohodnutý způsob úhrady.</w:t>
      </w:r>
    </w:p>
    <w:p w:rsidR="00E92BA8" w:rsidRDefault="00F56DC9">
      <w:pPr>
        <w:numPr>
          <w:ilvl w:val="0"/>
          <w:numId w:val="6"/>
        </w:numPr>
        <w:spacing w:after="129"/>
        <w:ind w:right="14" w:hanging="543"/>
      </w:pPr>
      <w:r>
        <w:t>Mezi smluvními stranami musí být vždy předem dohodnuto zvýšení nebo snížení objemu poskytov</w:t>
      </w:r>
      <w:r>
        <w:t>aných hrazených služeb z důvodu změny kapacity, struktury Poskytovatele, změny či obnovy přístrojového vybavení specifikovaného ve Smlouvě.</w:t>
      </w:r>
    </w:p>
    <w:p w:rsidR="00E92BA8" w:rsidRDefault="00F56DC9">
      <w:pPr>
        <w:spacing w:after="94" w:line="259" w:lineRule="auto"/>
        <w:ind w:left="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759426" cy="9144"/>
                <wp:effectExtent l="0" t="0" r="0" b="0"/>
                <wp:docPr id="50374" name="Group 50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9426" cy="9144"/>
                          <a:chOff x="0" y="0"/>
                          <a:chExt cx="1759426" cy="9144"/>
                        </a:xfrm>
                      </wpg:grpSpPr>
                      <wps:wsp>
                        <wps:cNvPr id="50373" name="Shape 50373"/>
                        <wps:cNvSpPr/>
                        <wps:spPr>
                          <a:xfrm>
                            <a:off x="0" y="0"/>
                            <a:ext cx="17594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426" h="9144">
                                <a:moveTo>
                                  <a:pt x="0" y="4573"/>
                                </a:moveTo>
                                <a:lnTo>
                                  <a:pt x="1759426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374" style="width:138.538pt;height:0.720032pt;mso-position-horizontal-relative:char;mso-position-vertical-relative:line" coordsize="17594,91">
                <v:shape id="Shape 50373" style="position:absolute;width:17594;height:91;left:0;top:0;" coordsize="1759426,9144" path="m0,4573l1759426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92BA8" w:rsidRDefault="00F56DC9">
      <w:pPr>
        <w:spacing w:after="3" w:line="266" w:lineRule="auto"/>
        <w:ind w:left="5" w:right="19" w:hanging="10"/>
      </w:pPr>
      <w:r>
        <w:rPr>
          <w:sz w:val="18"/>
          <w:vertAlign w:val="superscript"/>
        </w:rPr>
        <w:t xml:space="preserve">9 </w:t>
      </w:r>
      <w:r>
        <w:rPr>
          <w:sz w:val="18"/>
        </w:rPr>
        <w:t>S 10 zákona č. 526/1990 Sb., o cenách, ve znění pozdějších předpisů</w:t>
      </w:r>
    </w:p>
    <w:p w:rsidR="00E92BA8" w:rsidRDefault="00F56DC9">
      <w:pPr>
        <w:numPr>
          <w:ilvl w:val="0"/>
          <w:numId w:val="7"/>
        </w:numPr>
        <w:spacing w:after="101"/>
        <w:ind w:right="14" w:hanging="538"/>
      </w:pPr>
      <w:r>
        <w:t xml:space="preserve">Poskytovatel pro uplatnění nároků na úhradu </w:t>
      </w:r>
      <w:r>
        <w:t xml:space="preserve">poskytnutých hrazených služeb předává Pojišťovně jednou měsíčně vyúčtování doložené dávkami dokladů o poskytnutých hrazených službách s přílohami. Faktura obsahuje náležitosti účetního dokladu </w:t>
      </w:r>
      <w:proofErr w:type="gramStart"/>
      <w:r>
        <w:rPr>
          <w:vertAlign w:val="superscript"/>
        </w:rPr>
        <w:t xml:space="preserve">10 </w:t>
      </w:r>
      <w:r>
        <w:t>.</w:t>
      </w:r>
      <w:proofErr w:type="gramEnd"/>
      <w:r>
        <w:t xml:space="preserve"> Náležitosti faktury a přílohy jsou stanoveny v Metodice ne</w:t>
      </w:r>
      <w:r>
        <w:t>bo se v souladu s Metodikou upřesní ve Smlouvě. V případě, že faktura neobsahuje náležitosti účetního dokladu nebo příloha neobsahuje náležitosti podle dohodnuté Metodiky nebo Smlouvy, má Pojišťovna právo ji odmítnout a vrátit bez zbytečného odkladu Poskyt</w:t>
      </w:r>
      <w:r>
        <w:t>ovateli k doplnění, případně k opravě; v takovém případě běží doba splatnosti až od termínu jejího opětovného převzetí Pojišťovnou.</w:t>
      </w:r>
    </w:p>
    <w:p w:rsidR="00E92BA8" w:rsidRDefault="00F56DC9">
      <w:pPr>
        <w:numPr>
          <w:ilvl w:val="0"/>
          <w:numId w:val="7"/>
        </w:numPr>
        <w:spacing w:after="99"/>
        <w:ind w:right="14" w:hanging="538"/>
      </w:pPr>
      <w:r>
        <w:t>Poskytovatel odpovídá za úplnost, formální i věcnou správnost dokladů a za jejich předávání způsobem dohodnutým v Metodice a</w:t>
      </w:r>
      <w:r>
        <w:t xml:space="preserve"> Datovém rozhraní. Doklady za hrazené služby poskytnuté pojištěncům Pojišťovny a pojištěncům z EU, kteří si Pojišťovnu vybrali jako výpomocnou instituci při realizaci práva Evropské </w:t>
      </w:r>
      <w:proofErr w:type="gramStart"/>
      <w:r>
        <w:t>unie ,</w:t>
      </w:r>
      <w:proofErr w:type="gramEnd"/>
      <w:r>
        <w:t xml:space="preserve"> předává Poskytovatel Pojišťovně spolu s vyúčtováním do 10. dne násl</w:t>
      </w:r>
      <w:r>
        <w:t>edujícího měsíce na elektronickém nosiči dat či v elektronické podobě. Pokud bude mezi smluvními stranami dohodnuto předávání vyúčtování prostřednictvím internetu, bude v této věci uzavřen samostatný dodatek ke Smlouvě nebo uzavřena samostatná smlouva o za</w:t>
      </w:r>
      <w:r>
        <w:t>bezpečené elektronické komunikaci.</w:t>
      </w:r>
    </w:p>
    <w:p w:rsidR="00E92BA8" w:rsidRDefault="00F56DC9">
      <w:pPr>
        <w:numPr>
          <w:ilvl w:val="0"/>
          <w:numId w:val="7"/>
        </w:numPr>
        <w:spacing w:after="60"/>
        <w:ind w:right="14" w:hanging="538"/>
      </w:pPr>
      <w:r>
        <w:t>Zjistí-li Pojišťovna ve vyúčtování před provedením úhrady nesprávně nebo neoprávněně vyúčtované hrazené služby, úhradu této části vyúčtovaných hrazených služeb v termínu splatnosti neprovede. Pojišťovna prokazatelným způs</w:t>
      </w:r>
      <w:r>
        <w:t>obem oznámí Poskytovateli bez zbytečného odkladu rozsah a důvod vyúčtovaných, ale neuhrazených hrazených služeb. Tím Pojišťovna vyzve Poskytovatele k opravě nesprávně vyúčtovaných hrazených služeb nebo k doložení poskytnutí hrazených služeb. Řádně poskytnu</w:t>
      </w:r>
      <w:r>
        <w:t>té a vyúčtované hrazené služby Pojišťovna uhradí v nejbližším termínu úhrady.</w:t>
      </w:r>
    </w:p>
    <w:p w:rsidR="00E92BA8" w:rsidRDefault="00F56DC9">
      <w:pPr>
        <w:numPr>
          <w:ilvl w:val="0"/>
          <w:numId w:val="7"/>
        </w:numPr>
        <w:spacing w:after="65"/>
        <w:ind w:right="14" w:hanging="538"/>
      </w:pPr>
      <w:r>
        <w:t xml:space="preserve">Pojišťovna provede za své pojištěnce i pojištěnce z EU, kteří si Pojišťovnu vybrali jako výpomocnou instituci při realizaci práva Evropské </w:t>
      </w:r>
      <w:proofErr w:type="gramStart"/>
      <w:r>
        <w:t>unie ,</w:t>
      </w:r>
      <w:proofErr w:type="gramEnd"/>
      <w:r>
        <w:t xml:space="preserve"> úhradu hrazených služeb, vyúčtovaných v souladu s právními předpisy a Smlouvou. Pokud při kontrole zjistí chyb</w:t>
      </w:r>
      <w:r>
        <w:t xml:space="preserve">y v dokladech, postupuje podle Metodiky a Pravidel. Odmítnutí úhrady nebo části úhrady Pojišťovna bez zbytečného odkladu Poskytovateli písemně zdůvodní. Poskytnutím úhrady není dotčeno právo Pojišťovny k provádění následné kontroly proplacených vyúčtování </w:t>
      </w:r>
      <w:r>
        <w:t>v rozsahu a za podmínek stanovených právními předpisy a Smlouvou.</w:t>
      </w:r>
    </w:p>
    <w:p w:rsidR="00E92BA8" w:rsidRDefault="00F56DC9">
      <w:pPr>
        <w:numPr>
          <w:ilvl w:val="0"/>
          <w:numId w:val="7"/>
        </w:numPr>
        <w:spacing w:after="127"/>
        <w:ind w:right="14" w:hanging="538"/>
      </w:pPr>
      <w:r>
        <w:lastRenderedPageBreak/>
        <w:t>Pokud vznikne nedoplatek ze strany Pojišťovny, bude Poskytovateli příslušná částka poukázána samostatnou platbou. Přeplatek ze strany Pojišťovny, je Pojišťovna oprávněna započíst proti které</w:t>
      </w:r>
      <w:r>
        <w:t>koliv pohledávce Poskytovatele za Pojišťovnou, a to poté, co doručí Poskytovateli vyúčtování, v němž bude přeplatek uveden.</w:t>
      </w:r>
    </w:p>
    <w:p w:rsidR="00E92BA8" w:rsidRDefault="00F56DC9">
      <w:pPr>
        <w:numPr>
          <w:ilvl w:val="0"/>
          <w:numId w:val="7"/>
        </w:numPr>
        <w:spacing w:after="123"/>
        <w:ind w:right="14" w:hanging="538"/>
      </w:pPr>
      <w:r>
        <w:t>Úhrada vyúčtovaných poskytnutých hrazených služeb, při dodržení podmínek dohodnutých ve Smlouvě, bude provedena při předání vyúčtová</w:t>
      </w:r>
      <w:r>
        <w:t>ní Pojišťovně na elektronickém nosiči či v elektronické podobě do 30 kalendářních dnů a při předání vyúčtování Pojišťovně na papírových dokladech do 50 kalendářních dnů ode dne doručení faktury Pojišťovně. Doba splatnosti je dodržena, je-li platba poslední</w:t>
      </w:r>
      <w:r>
        <w:t xml:space="preserve"> den doby připsána na účet Poskytovatele.</w:t>
      </w:r>
    </w:p>
    <w:p w:rsidR="00E92BA8" w:rsidRDefault="00F56DC9">
      <w:pPr>
        <w:numPr>
          <w:ilvl w:val="0"/>
          <w:numId w:val="7"/>
        </w:numPr>
        <w:spacing w:after="528"/>
        <w:ind w:right="14" w:hanging="538"/>
      </w:pPr>
      <w:r>
        <w:t>V případě poruchy výpočetního systému, znemožňující včasné provedení vyúčtování nebo úhrady hrazených služeb, poskytne Pojišťovna Poskytovateli v dohodnutém termínu úhrady zálohu ve výši průměrného měsíčního objemu</w:t>
      </w:r>
      <w:r>
        <w:t xml:space="preserve"> vykázaných hrazených služeb, vypočteného z posledních dvou uzavřených kalendářních čtvrtletí, pokud se smluvní strany v daném případě nedohodnou jinak.</w:t>
      </w:r>
    </w:p>
    <w:p w:rsidR="00E92BA8" w:rsidRDefault="00F56DC9">
      <w:pPr>
        <w:spacing w:after="0" w:line="259" w:lineRule="auto"/>
        <w:ind w:left="341" w:right="351" w:hanging="10"/>
        <w:jc w:val="center"/>
      </w:pPr>
      <w:r>
        <w:rPr>
          <w:sz w:val="24"/>
        </w:rPr>
        <w:t>Článek V.</w:t>
      </w:r>
    </w:p>
    <w:p w:rsidR="00E92BA8" w:rsidRDefault="00F56DC9">
      <w:pPr>
        <w:spacing w:after="32" w:line="259" w:lineRule="auto"/>
        <w:ind w:left="341" w:right="355" w:hanging="10"/>
        <w:jc w:val="center"/>
      </w:pPr>
      <w:r>
        <w:rPr>
          <w:sz w:val="24"/>
        </w:rPr>
        <w:t>Kontrola</w:t>
      </w:r>
    </w:p>
    <w:p w:rsidR="00E92BA8" w:rsidRDefault="00F56DC9">
      <w:pPr>
        <w:numPr>
          <w:ilvl w:val="0"/>
          <w:numId w:val="8"/>
        </w:numPr>
        <w:spacing w:after="132"/>
        <w:ind w:right="14" w:hanging="533"/>
      </w:pPr>
      <w:r>
        <w:t xml:space="preserve">Pojišťovna provádí v souladu s </w:t>
      </w:r>
      <w:proofErr w:type="spellStart"/>
      <w:r>
        <w:t>S</w:t>
      </w:r>
      <w:proofErr w:type="spellEnd"/>
      <w:r>
        <w:t xml:space="preserve"> 42 zákona č. 48/1997 Sb. a Smlouvou kontrolu využív</w:t>
      </w:r>
      <w:r>
        <w:t>ání a poskytování hrazených služeb a jejich vyúčtování z hlediska objemu a kvality, včetně dodržování cen, a to prostřednictvím svého informačního systému, revizních lékařů a dalších odborných pracovníků ve zdravotnictví, způsobilých k revizní činnosti (dá</w:t>
      </w:r>
      <w:r>
        <w:t>le jen „odborní pracovníci”).</w:t>
      </w:r>
    </w:p>
    <w:p w:rsidR="00E92BA8" w:rsidRDefault="00F56DC9">
      <w:pPr>
        <w:numPr>
          <w:ilvl w:val="0"/>
          <w:numId w:val="8"/>
        </w:numPr>
        <w:spacing w:after="104"/>
        <w:ind w:right="14" w:hanging="533"/>
      </w:pPr>
      <w:r>
        <w:t>Revizní lékaři a odborní pracovníci oprávnění ke kontrole posuzují, zda zvolený způsob hrazených služeb byl indikován s ohledem na zdravotní stav pojištěnce, splňuje zásady postupu dané současným stupněm poznání a zda nebyl zb</w:t>
      </w:r>
      <w:r>
        <w:t>ytečně ekonomicky náročný.</w:t>
      </w:r>
    </w:p>
    <w:p w:rsidR="00E92BA8" w:rsidRDefault="00F56DC9">
      <w:pPr>
        <w:numPr>
          <w:ilvl w:val="0"/>
          <w:numId w:val="8"/>
        </w:numPr>
        <w:spacing w:after="315"/>
        <w:ind w:right="14" w:hanging="533"/>
      </w:pPr>
      <w:r>
        <w:t>V případech stanovených právními předpisy revizní lékař posuzuje i odůvodněnost ošetřujícím lékařem navrženého, popřípadě provedeného léčebného postupu a schvaluje, zda použitý postup Pojišťovna</w:t>
      </w:r>
    </w:p>
    <w:p w:rsidR="00E92BA8" w:rsidRDefault="00F56DC9">
      <w:pPr>
        <w:numPr>
          <w:ilvl w:val="0"/>
          <w:numId w:val="8"/>
        </w:numPr>
        <w:spacing w:after="0"/>
        <w:ind w:right="14" w:hanging="533"/>
      </w:pPr>
      <w:r>
        <w:t>Poskytovatel poskytne Pojišťovně p</w:t>
      </w:r>
      <w:r>
        <w:t>ři výkonu kontroly nezbytnou součinnost, zejména předkládá požadované doklady, sděluje údaje a poskytuje vysvětlení. Umožní revizním lékařům a odborným pracovníkům Pojišťovny vstup do svého objektu, nahlížení do zdravotnické dokumentace pojištěnců v soulad</w:t>
      </w:r>
      <w:r>
        <w:t>u se zvláštním právním předpisem a dalších dokladů bezprostředně souvisejících s prováděnou kontrolou vyúčtovaných zdravotních výkonů, léčiv a zdravotnických prostředků, včetně zvlášť účtovaných</w:t>
      </w:r>
    </w:p>
    <w:p w:rsidR="00E92BA8" w:rsidRDefault="00F56DC9">
      <w:pPr>
        <w:spacing w:after="90" w:line="259" w:lineRule="auto"/>
        <w:ind w:left="-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744180" cy="9144"/>
                <wp:effectExtent l="0" t="0" r="0" b="0"/>
                <wp:docPr id="50376" name="Group 50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4180" cy="9144"/>
                          <a:chOff x="0" y="0"/>
                          <a:chExt cx="1744180" cy="9144"/>
                        </a:xfrm>
                      </wpg:grpSpPr>
                      <wps:wsp>
                        <wps:cNvPr id="50375" name="Shape 50375"/>
                        <wps:cNvSpPr/>
                        <wps:spPr>
                          <a:xfrm>
                            <a:off x="0" y="0"/>
                            <a:ext cx="17441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180" h="9144">
                                <a:moveTo>
                                  <a:pt x="0" y="4572"/>
                                </a:moveTo>
                                <a:lnTo>
                                  <a:pt x="174418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376" style="width:137.337pt;height:0.719971pt;mso-position-horizontal-relative:char;mso-position-vertical-relative:line" coordsize="17441,91">
                <v:shape id="Shape 50375" style="position:absolute;width:17441;height:91;left:0;top:0;" coordsize="1744180,9144" path="m0,4572l1744180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92BA8" w:rsidRDefault="00F56DC9">
      <w:pPr>
        <w:spacing w:after="3" w:line="266" w:lineRule="auto"/>
        <w:ind w:left="5" w:right="19" w:hanging="10"/>
      </w:pPr>
      <w:r>
        <w:rPr>
          <w:sz w:val="18"/>
        </w:rPr>
        <w:t xml:space="preserve">10 </w:t>
      </w:r>
      <w:r>
        <w:rPr>
          <w:sz w:val="18"/>
        </w:rPr>
        <w:t>Zákon č. 563/1991 Sb., o účetnictví, ve znění pozdějších předpisů</w:t>
      </w:r>
    </w:p>
    <w:p w:rsidR="00E92BA8" w:rsidRDefault="00F56DC9">
      <w:pPr>
        <w:spacing w:after="3" w:line="266" w:lineRule="auto"/>
        <w:ind w:left="5" w:right="19" w:hanging="10"/>
      </w:pPr>
      <w:r>
        <w:rPr>
          <w:sz w:val="18"/>
        </w:rPr>
        <w:t xml:space="preserve">1 1 </w:t>
      </w:r>
      <w:r>
        <w:rPr>
          <w:sz w:val="18"/>
        </w:rPr>
        <w:t>S 65 zákona č. 372/2011 Sb., o zdravotních službách, ve znění pozdějších předpisů</w:t>
      </w:r>
    </w:p>
    <w:p w:rsidR="00E92BA8" w:rsidRDefault="00F56DC9">
      <w:pPr>
        <w:spacing w:after="145"/>
        <w:ind w:left="571" w:right="14"/>
      </w:pPr>
      <w:r>
        <w:t>léčiv a zvlášť účtovaného materiálu. Revizní lékař (revizní odborný pracovník) je povinen postupovat tak</w:t>
      </w:r>
      <w:r>
        <w:t>, aby kontrola nenarušila prováděný zdravotní výkon.</w:t>
      </w:r>
    </w:p>
    <w:p w:rsidR="00E92BA8" w:rsidRDefault="00F56DC9">
      <w:pPr>
        <w:numPr>
          <w:ilvl w:val="0"/>
          <w:numId w:val="9"/>
        </w:numPr>
        <w:spacing w:after="136"/>
        <w:ind w:left="548" w:right="14" w:hanging="543"/>
      </w:pPr>
      <w:r>
        <w:t>V případě kontroly (šetření) u Poskytovatele bude na místě zpracován záznam s uvedením nejdůležitějších zjištění a se stanoviskem oprávněného zástupce Poskytovatele. Tento záznam nenahrazuje zprávu podle</w:t>
      </w:r>
      <w:r>
        <w:t xml:space="preserve"> odstavce 6.</w:t>
      </w:r>
    </w:p>
    <w:p w:rsidR="00E92BA8" w:rsidRDefault="00F56DC9">
      <w:pPr>
        <w:numPr>
          <w:ilvl w:val="0"/>
          <w:numId w:val="9"/>
        </w:numPr>
        <w:spacing w:after="130"/>
        <w:ind w:left="548" w:right="14" w:hanging="543"/>
      </w:pPr>
      <w:r>
        <w:t xml:space="preserve">Zprávu, obsahující závěry kontroly, Pojišťovna zpracuje a předá Poskytovateli do 15 kalendářních dnů po ukončení kontroly; pokud nebude možno z objektivních </w:t>
      </w:r>
      <w:proofErr w:type="spellStart"/>
      <w:r>
        <w:t>dÚvodĹl</w:t>
      </w:r>
      <w:proofErr w:type="spellEnd"/>
      <w:r>
        <w:t xml:space="preserve"> tuto lhůtu dodržet, oznámí Pojišťovna tuto skutečnost Poskytovateli. Kontrola </w:t>
      </w:r>
      <w:r>
        <w:t>bude ukončena zpravidla do 30 kalendářních dnů od jejího zahájení.</w:t>
      </w:r>
    </w:p>
    <w:p w:rsidR="00E92BA8" w:rsidRDefault="00F56DC9">
      <w:pPr>
        <w:numPr>
          <w:ilvl w:val="0"/>
          <w:numId w:val="9"/>
        </w:numPr>
        <w:spacing w:after="123"/>
        <w:ind w:left="548" w:right="14" w:hanging="543"/>
      </w:pPr>
      <w:r>
        <w:t>Poskytovatel je oprávněn do 15 kalendářních dnů od převzetí závěru kontroly podat Pojišťovně písemně zdůvodněné námitky. K námitkám sdělí Pojišťovna stanovisko do 30 kalendářních dnů od jejich doručení. Pokud nebude možno z objektivních důvodů tyto lhůty d</w:t>
      </w:r>
      <w:r>
        <w:t>održet, lze je na žádost příslušné smluvní strany prodloužit až na dvojnásobek. Ve stanovené lhůtě Pojišťovna sdělí Poskytovateli, zda potvrzuje nebo mění závěry kontroly. Podání námitek nemá z hlediska finančních nároků Pojišťovny vůči Poskytovateli odkla</w:t>
      </w:r>
      <w:r>
        <w:t>dný účinek. Tím není dotčeno právo Poskytovatele uplatnit svůj nesouhlas s rozhodnutím Pojišťovny v jiném řízení.</w:t>
      </w:r>
    </w:p>
    <w:p w:rsidR="00E92BA8" w:rsidRDefault="00F56DC9">
      <w:pPr>
        <w:numPr>
          <w:ilvl w:val="0"/>
          <w:numId w:val="9"/>
        </w:numPr>
        <w:spacing w:after="537"/>
        <w:ind w:left="548" w:right="14" w:hanging="543"/>
      </w:pPr>
      <w:r>
        <w:lastRenderedPageBreak/>
        <w:t xml:space="preserve">Pokud kontrola prokáže neoprávněnost nebo nesprávnost vyúčtování hrazených služeb nebo jejich neodůvodněné poskytování, Pojišťovna podle S 42 </w:t>
      </w:r>
      <w:r>
        <w:t>odst. 3 zákona č. 48/1997 Sb. takové služby neuhradí a je oprávněna postupovat podle sankčních ujednání uvedených ve Smlouvě, pokud jsou sjednána. V případě, že se závěry kontroly prokážou jako neodůvodněné, uhradí Pojišťovna Poskytovateli částku, o kterou</w:t>
      </w:r>
      <w:r>
        <w:t xml:space="preserve"> na základě kontroly snížila úhradu poskytnutých hrazených služeb. Poskytovatel je oprávněn postupovat podle sankčních ujednání uvedených ve Smlouvě.</w:t>
      </w:r>
    </w:p>
    <w:p w:rsidR="00E92BA8" w:rsidRDefault="00F56DC9">
      <w:pPr>
        <w:spacing w:after="0" w:line="259" w:lineRule="auto"/>
        <w:ind w:left="341" w:right="279" w:hanging="10"/>
        <w:jc w:val="center"/>
      </w:pPr>
      <w:r>
        <w:rPr>
          <w:sz w:val="24"/>
        </w:rPr>
        <w:t xml:space="preserve">Článek </w:t>
      </w:r>
      <w:proofErr w:type="spellStart"/>
      <w:r>
        <w:rPr>
          <w:sz w:val="24"/>
        </w:rPr>
        <w:t>Vl</w:t>
      </w:r>
      <w:proofErr w:type="spellEnd"/>
      <w:r>
        <w:rPr>
          <w:sz w:val="24"/>
        </w:rPr>
        <w:t>.</w:t>
      </w:r>
    </w:p>
    <w:p w:rsidR="00E92BA8" w:rsidRDefault="00F56DC9">
      <w:pPr>
        <w:spacing w:after="0" w:line="259" w:lineRule="auto"/>
        <w:ind w:left="341" w:right="355" w:hanging="10"/>
        <w:jc w:val="center"/>
      </w:pPr>
      <w:r>
        <w:rPr>
          <w:sz w:val="24"/>
        </w:rPr>
        <w:t>Doba účinnosti Smlouvy</w:t>
      </w:r>
    </w:p>
    <w:p w:rsidR="00E92BA8" w:rsidRDefault="00F56DC9">
      <w:pPr>
        <w:spacing w:after="521"/>
        <w:ind w:left="24" w:right="14"/>
      </w:pPr>
      <w:r>
        <w:t>Smlouva se uzavírá na dobu 8 let, tj. do 31.12.2024. Pokud jedna ze smluvních stran neoznámí druhé straně nejpozději jeden rok před uplynutím této doby, že nemá zájem o pokračování smluvního vztahu podle této Smlouvy, doba účinnosti Smlouvy se prodlužuje o</w:t>
      </w:r>
      <w:r>
        <w:t xml:space="preserve"> jeden rok.</w:t>
      </w:r>
    </w:p>
    <w:p w:rsidR="00E92BA8" w:rsidRDefault="00F56DC9">
      <w:pPr>
        <w:spacing w:after="0" w:line="259" w:lineRule="auto"/>
        <w:ind w:left="341" w:right="341" w:hanging="10"/>
        <w:jc w:val="center"/>
      </w:pPr>
      <w:r>
        <w:rPr>
          <w:sz w:val="24"/>
        </w:rPr>
        <w:t>Článek VII.</w:t>
      </w:r>
    </w:p>
    <w:p w:rsidR="00E92BA8" w:rsidRDefault="00F56DC9">
      <w:pPr>
        <w:spacing w:after="0" w:line="259" w:lineRule="auto"/>
        <w:ind w:left="341" w:right="336" w:hanging="10"/>
        <w:jc w:val="center"/>
      </w:pPr>
      <w:r>
        <w:rPr>
          <w:sz w:val="24"/>
        </w:rPr>
        <w:t>Způsob a důvody ukončení Smlouvy</w:t>
      </w:r>
    </w:p>
    <w:p w:rsidR="00E92BA8" w:rsidRDefault="00F56DC9">
      <w:pPr>
        <w:numPr>
          <w:ilvl w:val="0"/>
          <w:numId w:val="10"/>
        </w:numPr>
        <w:spacing w:after="72"/>
        <w:ind w:right="14" w:hanging="538"/>
      </w:pPr>
      <w:r>
        <w:t>Smlouva nebo její část zaniká:</w:t>
      </w:r>
    </w:p>
    <w:p w:rsidR="00E92BA8" w:rsidRDefault="00F56DC9">
      <w:pPr>
        <w:numPr>
          <w:ilvl w:val="1"/>
          <w:numId w:val="10"/>
        </w:numPr>
        <w:ind w:right="14" w:hanging="408"/>
      </w:pPr>
      <w:r>
        <w:t>zánikem oprávnění k poskytování zdravotních služeb podle S 22 zákona č. 372/201 1 Sb., o zdravotních službách a dnem právní moci rozhodnutí o odejmutí, pozastavení a zm</w:t>
      </w:r>
      <w:r>
        <w:t>ěně oprávnění k poskytování zdravotních služeb podle S 23 a S 24 téhož zákona,</w:t>
      </w:r>
    </w:p>
    <w:p w:rsidR="00E92BA8" w:rsidRDefault="00F56DC9">
      <w:pPr>
        <w:numPr>
          <w:ilvl w:val="1"/>
          <w:numId w:val="10"/>
        </w:numPr>
        <w:ind w:right="14" w:hanging="408"/>
      </w:pPr>
      <w:r>
        <w:t>dnem zániku Poskytovatele nebo Pojišťovny nebo dnem úmrtí Poskytovatele,</w:t>
      </w:r>
    </w:p>
    <w:p w:rsidR="00E92BA8" w:rsidRDefault="00F56DC9">
      <w:pPr>
        <w:numPr>
          <w:ilvl w:val="1"/>
          <w:numId w:val="10"/>
        </w:numPr>
        <w:spacing w:after="58"/>
        <w:ind w:right="14" w:hanging="408"/>
      </w:pPr>
      <w:r>
        <w:t xml:space="preserve">dnem uvedeným v písemném oznámení Pojišťovně, pokud Poskytovatel ze závažných zdravotních či provozních </w:t>
      </w:r>
      <w:proofErr w:type="spellStart"/>
      <w:r>
        <w:t>dÚvodŮ</w:t>
      </w:r>
      <w:proofErr w:type="spellEnd"/>
      <w:r>
        <w:t xml:space="preserve"> nemůže hrazené služby nadále poskytovat,</w:t>
      </w:r>
    </w:p>
    <w:p w:rsidR="00E92BA8" w:rsidRDefault="00F56DC9">
      <w:pPr>
        <w:numPr>
          <w:ilvl w:val="1"/>
          <w:numId w:val="10"/>
        </w:numPr>
        <w:spacing w:after="102"/>
        <w:ind w:right="14" w:hanging="408"/>
      </w:pPr>
      <w:r>
        <w:t xml:space="preserve">dnem, kdy Poskytovatel pozbyl věcné, technické nebo personální předpoklady pro poskytování hrazených služeb ve sjednaném rozsahu, stanovené právním předpisem nebo Smlouvou, ve smyslu čl. </w:t>
      </w:r>
      <w:proofErr w:type="spellStart"/>
      <w:r>
        <w:t>Ill</w:t>
      </w:r>
      <w:proofErr w:type="spellEnd"/>
      <w:r>
        <w:t>. odst. 2 písm. a)</w:t>
      </w:r>
      <w:r>
        <w:t>, nebo bylo Poskytovateli změněno, pozastaveno nebo odejmuto oprávnění k poskytování zdravotních služeb, pokud Poskytovatel nedostatky neodstranil ani po dodatečně stanovené přiměřené lhůtě; Smlouva nebo její část zaniká pouze v části vymezující rozsah nas</w:t>
      </w:r>
      <w:r>
        <w:t>mlouvaných hrazených služeb, ve kterém Poskytovatel nesplňuje právním předpisem nebo Smlouvou stanovené předpoklady, ledaže by šlo o tak závažné okolnosti, pro které nelze očekávat další plnění Smlouvy v celém rozsahu.</w:t>
      </w:r>
    </w:p>
    <w:p w:rsidR="00E92BA8" w:rsidRDefault="00F56DC9">
      <w:pPr>
        <w:numPr>
          <w:ilvl w:val="0"/>
          <w:numId w:val="10"/>
        </w:numPr>
        <w:ind w:right="14" w:hanging="538"/>
      </w:pPr>
      <w:r>
        <w:t>Před uplynutím sjednané doby lze Smlo</w:t>
      </w:r>
      <w:r>
        <w:t xml:space="preserve">uvu ukončit písemnou výpovědí s výpovědní dobou pěti měsíců, která začne běžet prvním dnem měsíce následujícího po doručení výpovědi druhé smluvní straně, jestliže v důsledku závažných okolností nelze rozumně očekávat další plnění Smlouvy, a to v případě, </w:t>
      </w:r>
      <w:r>
        <w:t>že</w:t>
      </w:r>
    </w:p>
    <w:p w:rsidR="00E92BA8" w:rsidRDefault="00F56DC9">
      <w:pPr>
        <w:numPr>
          <w:ilvl w:val="1"/>
          <w:numId w:val="10"/>
        </w:numPr>
        <w:ind w:right="14" w:hanging="408"/>
      </w:pPr>
      <w:r>
        <w:t>smluvní strana</w:t>
      </w:r>
    </w:p>
    <w:p w:rsidR="00E92BA8" w:rsidRDefault="00F56DC9">
      <w:pPr>
        <w:numPr>
          <w:ilvl w:val="2"/>
          <w:numId w:val="10"/>
        </w:numPr>
        <w:spacing w:after="0"/>
        <w:ind w:right="14" w:hanging="279"/>
      </w:pPr>
      <w:r>
        <w:t>uvedla při uzavření Smlouvy nebo při jejím plnění druhou smluvní stranu v omyl ve věci podstatné pro plnění Smlouvy, nezakládá-li toto jednání neplatnost Smlouvy,</w:t>
      </w:r>
    </w:p>
    <w:p w:rsidR="00E92BA8" w:rsidRDefault="00F56DC9">
      <w:pPr>
        <w:numPr>
          <w:ilvl w:val="2"/>
          <w:numId w:val="10"/>
        </w:numPr>
        <w:spacing w:after="0"/>
        <w:ind w:right="14" w:hanging="279"/>
      </w:pPr>
      <w:r>
        <w:t>ve smluvních vztazích hrubým způsobem porušila závažnou povinnost uloženou jí příslušným práv</w:t>
      </w:r>
      <w:r>
        <w:t>ním předpisem, upravujícím veřejné zdravotní pojištění nebo poskytování zdravotních služeb, nebo Smlouvou,</w:t>
      </w:r>
    </w:p>
    <w:p w:rsidR="00E92BA8" w:rsidRDefault="00F56DC9">
      <w:pPr>
        <w:numPr>
          <w:ilvl w:val="2"/>
          <w:numId w:val="10"/>
        </w:numPr>
        <w:ind w:right="14" w:hanging="279"/>
      </w:pPr>
      <w:r>
        <w:t>vstoupí do likvidace nebo na její majetek soud prohlásí konkurz,</w:t>
      </w:r>
    </w:p>
    <w:p w:rsidR="00E92BA8" w:rsidRDefault="00F56DC9">
      <w:pPr>
        <w:numPr>
          <w:ilvl w:val="1"/>
          <w:numId w:val="10"/>
        </w:numPr>
        <w:ind w:right="14" w:hanging="408"/>
      </w:pPr>
      <w:r>
        <w:t>Poskytovatel</w:t>
      </w:r>
    </w:p>
    <w:p w:rsidR="00E92BA8" w:rsidRDefault="00F56DC9">
      <w:pPr>
        <w:numPr>
          <w:ilvl w:val="2"/>
          <w:numId w:val="10"/>
        </w:numPr>
        <w:ind w:right="14" w:hanging="279"/>
      </w:pPr>
      <w:r>
        <w:t xml:space="preserve">. </w:t>
      </w:r>
      <w:r>
        <w:t>bez předchozí dohody s Pojišťovnou bezdůvodně neposkytuje hrazené slu</w:t>
      </w:r>
      <w:r>
        <w:t>žby ve sjednaném</w:t>
      </w:r>
    </w:p>
    <w:p w:rsidR="00E92BA8" w:rsidRDefault="00F56DC9">
      <w:pPr>
        <w:ind w:left="1244" w:right="14"/>
      </w:pPr>
      <w:r>
        <w:t>rozsahu a kvalitě,</w:t>
      </w:r>
    </w:p>
    <w:p w:rsidR="00E92BA8" w:rsidRDefault="00F56DC9">
      <w:pPr>
        <w:numPr>
          <w:ilvl w:val="2"/>
          <w:numId w:val="10"/>
        </w:numPr>
        <w:spacing w:after="0"/>
        <w:ind w:right="14" w:hanging="279"/>
      </w:pPr>
      <w:r>
        <w:t>přes písemné upozornění bez předchozí dohody s Pojišťovnou opakovaně účtuje hrazené služby poskytnuté nad rámec sjednaného druhu, odbornosti a rozsahu činnosti,</w:t>
      </w:r>
    </w:p>
    <w:p w:rsidR="00E92BA8" w:rsidRDefault="00F56DC9">
      <w:pPr>
        <w:numPr>
          <w:ilvl w:val="2"/>
          <w:numId w:val="10"/>
        </w:numPr>
        <w:ind w:right="14" w:hanging="279"/>
      </w:pPr>
      <w:r>
        <w:t>přes písemné upozornění neodůvodněně omezuje pro pojištěnce</w:t>
      </w:r>
      <w:r>
        <w:t xml:space="preserve"> ordinační dobu sjednanou ve Smlouvě,</w:t>
      </w:r>
    </w:p>
    <w:p w:rsidR="00E92BA8" w:rsidRDefault="00F56DC9">
      <w:pPr>
        <w:numPr>
          <w:ilvl w:val="2"/>
          <w:numId w:val="10"/>
        </w:numPr>
        <w:ind w:right="14" w:hanging="279"/>
      </w:pPr>
      <w:r>
        <w:t>poskytuje hrazené služby bez odpovídajícího věcného a technického vybavení a personálního zajištění, nezakládá-li toto jednání zánik Smlouvy ve smyslu Článku VII, odst. (1), písm. d) Smlouvy,</w:t>
      </w:r>
    </w:p>
    <w:p w:rsidR="00E92BA8" w:rsidRDefault="00F56DC9">
      <w:pPr>
        <w:numPr>
          <w:ilvl w:val="2"/>
          <w:numId w:val="10"/>
        </w:numPr>
        <w:spacing w:after="3" w:line="266" w:lineRule="auto"/>
        <w:ind w:right="14" w:hanging="279"/>
      </w:pPr>
      <w:r>
        <w:lastRenderedPageBreak/>
        <w:t>prokazatelně neposkytuje p</w:t>
      </w:r>
      <w:r>
        <w:t xml:space="preserve">ojištěncům hrazené služby kvalitně a „lege </w:t>
      </w:r>
      <w:proofErr w:type="spellStart"/>
      <w:r>
        <w:t>artis</w:t>
      </w:r>
      <w:proofErr w:type="spellEnd"/>
      <w:r>
        <w:t xml:space="preserve">”, popřípadě opakovaně odmítne poskytnutí hrazených služeb z </w:t>
      </w:r>
      <w:proofErr w:type="gramStart"/>
      <w:r>
        <w:t>jiných,</w:t>
      </w:r>
      <w:proofErr w:type="gramEnd"/>
      <w:r>
        <w:t xml:space="preserve"> než právními předpisy stanovených důvodů,</w:t>
      </w:r>
    </w:p>
    <w:p w:rsidR="00E92BA8" w:rsidRDefault="00F56DC9">
      <w:pPr>
        <w:numPr>
          <w:ilvl w:val="2"/>
          <w:numId w:val="10"/>
        </w:numPr>
        <w:spacing w:after="3" w:line="266" w:lineRule="auto"/>
        <w:ind w:right="14" w:hanging="279"/>
      </w:pPr>
      <w:r>
        <w:rPr>
          <w:sz w:val="18"/>
        </w:rPr>
        <w:t>požaduje v rozporu s právními předpisy od pojištěnců finanční úhradu za hrazené služby nebo za př</w:t>
      </w:r>
      <w:r>
        <w:rPr>
          <w:sz w:val="18"/>
        </w:rPr>
        <w:t>ijetí pojištěnce do péče,</w:t>
      </w:r>
    </w:p>
    <w:p w:rsidR="00E92BA8" w:rsidRDefault="00F56DC9">
      <w:pPr>
        <w:numPr>
          <w:ilvl w:val="2"/>
          <w:numId w:val="10"/>
        </w:numPr>
        <w:ind w:right="14" w:hanging="279"/>
      </w:pPr>
      <w:r>
        <w:t>přes písemné upozornění prokazatelně opakovaně neoprávněně účtuje hrazené služby,</w:t>
      </w:r>
    </w:p>
    <w:p w:rsidR="00E92BA8" w:rsidRDefault="00F56DC9">
      <w:pPr>
        <w:numPr>
          <w:ilvl w:val="2"/>
          <w:numId w:val="10"/>
        </w:numPr>
        <w:ind w:right="14" w:hanging="279"/>
      </w:pPr>
      <w:r>
        <w:t>neposkytne nezbytnou součinnost k výkonu kontrolní činnosti prováděné Pojišťovnou v souladu se zákonem č. 48/1997 Sb.,</w:t>
      </w:r>
    </w:p>
    <w:p w:rsidR="00E92BA8" w:rsidRDefault="00F56DC9">
      <w:pPr>
        <w:numPr>
          <w:ilvl w:val="1"/>
          <w:numId w:val="10"/>
        </w:numPr>
        <w:ind w:right="14" w:hanging="408"/>
      </w:pPr>
      <w:r>
        <w:t>Pojišťovna</w:t>
      </w:r>
    </w:p>
    <w:p w:rsidR="00E92BA8" w:rsidRDefault="00F56DC9">
      <w:pPr>
        <w:numPr>
          <w:ilvl w:val="2"/>
          <w:numId w:val="10"/>
        </w:numPr>
        <w:spacing w:after="0"/>
        <w:ind w:right="14" w:hanging="279"/>
      </w:pPr>
      <w:r>
        <w:t>přes písemné upozo</w:t>
      </w:r>
      <w:r>
        <w:t>rnění opakovaně neoprávněně neuhradí Poskytovateli poskytnuté hrazené služby,</w:t>
      </w:r>
    </w:p>
    <w:p w:rsidR="00E92BA8" w:rsidRDefault="00F56DC9">
      <w:pPr>
        <w:numPr>
          <w:ilvl w:val="2"/>
          <w:numId w:val="10"/>
        </w:numPr>
        <w:ind w:right="14" w:hanging="279"/>
      </w:pPr>
      <w:r>
        <w:t>přes písemné upozornění opakovaně nedodrží doby splatnosti dohodnuté ve Smlouvě,</w:t>
      </w:r>
    </w:p>
    <w:p w:rsidR="00E92BA8" w:rsidRDefault="00F56DC9">
      <w:pPr>
        <w:numPr>
          <w:ilvl w:val="2"/>
          <w:numId w:val="10"/>
        </w:numPr>
        <w:ind w:right="14" w:hanging="279"/>
      </w:pPr>
      <w:r>
        <w:t>přes písemné upozornění opakovaně překračuje rozsah kontrolní činnosti stanovený zákonem</w:t>
      </w:r>
    </w:p>
    <w:p w:rsidR="00E92BA8" w:rsidRDefault="00F56DC9">
      <w:pPr>
        <w:spacing w:after="4" w:line="259" w:lineRule="auto"/>
        <w:ind w:left="1258" w:firstLine="0"/>
        <w:jc w:val="left"/>
      </w:pPr>
      <w:r>
        <w:rPr>
          <w:sz w:val="16"/>
        </w:rPr>
        <w:t>č. 48/19</w:t>
      </w:r>
      <w:r>
        <w:rPr>
          <w:sz w:val="16"/>
        </w:rPr>
        <w:t>97 Sb.,</w:t>
      </w:r>
    </w:p>
    <w:p w:rsidR="00E92BA8" w:rsidRDefault="00F56DC9">
      <w:pPr>
        <w:numPr>
          <w:ilvl w:val="2"/>
          <w:numId w:val="10"/>
        </w:numPr>
        <w:spacing w:after="101"/>
        <w:ind w:right="14" w:hanging="279"/>
      </w:pPr>
      <w:r>
        <w:t>poskytne třetí straně údaje o Poskytovateli nad rámec právních předpisů nebo Smlouvy.</w:t>
      </w:r>
    </w:p>
    <w:p w:rsidR="00E92BA8" w:rsidRDefault="00F56DC9">
      <w:pPr>
        <w:numPr>
          <w:ilvl w:val="0"/>
          <w:numId w:val="10"/>
        </w:numPr>
        <w:spacing w:after="3" w:line="266" w:lineRule="auto"/>
        <w:ind w:right="14" w:hanging="538"/>
      </w:pPr>
      <w:r>
        <w:rPr>
          <w:sz w:val="18"/>
        </w:rPr>
        <w:t>Před uplynutím sjednané doby lze Smlouvu ukončit:</w:t>
      </w:r>
    </w:p>
    <w:p w:rsidR="00E92BA8" w:rsidRDefault="00F56DC9">
      <w:pPr>
        <w:numPr>
          <w:ilvl w:val="1"/>
          <w:numId w:val="10"/>
        </w:numPr>
        <w:ind w:right="14" w:hanging="408"/>
      </w:pPr>
      <w:r>
        <w:t>stanoví-li tak zákon,</w:t>
      </w:r>
    </w:p>
    <w:p w:rsidR="00E92BA8" w:rsidRDefault="00F56DC9">
      <w:pPr>
        <w:numPr>
          <w:ilvl w:val="1"/>
          <w:numId w:val="10"/>
        </w:numPr>
        <w:spacing w:after="436"/>
        <w:ind w:right="14" w:hanging="408"/>
      </w:pPr>
      <w:r>
        <w:t>písemnou dohodou smluvních stran, a to za podmínek a ve lhůtě uvedené v této dohodě.</w:t>
      </w:r>
    </w:p>
    <w:p w:rsidR="00E92BA8" w:rsidRDefault="00F56DC9">
      <w:pPr>
        <w:spacing w:after="0" w:line="259" w:lineRule="auto"/>
        <w:ind w:left="341" w:right="322" w:hanging="10"/>
        <w:jc w:val="center"/>
      </w:pPr>
      <w:r>
        <w:rPr>
          <w:sz w:val="24"/>
        </w:rPr>
        <w:t>Článek Vlil.</w:t>
      </w:r>
    </w:p>
    <w:p w:rsidR="00E92BA8" w:rsidRDefault="00F56DC9">
      <w:pPr>
        <w:spacing w:after="0" w:line="259" w:lineRule="auto"/>
        <w:ind w:left="562" w:hanging="10"/>
        <w:jc w:val="left"/>
      </w:pPr>
      <w:r>
        <w:rPr>
          <w:sz w:val="24"/>
        </w:rPr>
        <w:t>Vzájemné sdělování údajů a předávání dokladů nutných ke kontrole plnění Smlouvy</w:t>
      </w:r>
    </w:p>
    <w:p w:rsidR="00E92BA8" w:rsidRDefault="00F56DC9">
      <w:pPr>
        <w:ind w:left="111" w:right="14"/>
      </w:pPr>
      <w:r>
        <w:rPr>
          <w:noProof/>
        </w:rPr>
        <w:drawing>
          <wp:inline distT="0" distB="0" distL="0" distR="0">
            <wp:extent cx="85379" cy="106680"/>
            <wp:effectExtent l="0" t="0" r="0" b="0"/>
            <wp:docPr id="50378" name="Picture 50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78" name="Picture 5037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379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Smluvní strany</w:t>
      </w:r>
    </w:p>
    <w:p w:rsidR="00E92BA8" w:rsidRDefault="00F56DC9">
      <w:pPr>
        <w:numPr>
          <w:ilvl w:val="1"/>
          <w:numId w:val="11"/>
        </w:numPr>
        <w:spacing w:after="56"/>
        <w:ind w:right="14" w:hanging="408"/>
      </w:pPr>
      <w:r>
        <w:t xml:space="preserve">používají v souladu s Metodikou pro jednoznačnou identifikaci </w:t>
      </w:r>
      <w:r>
        <w:t>Poskytovatele identifikační číslo organizace (IČO), identifikační číslo zařízení (IČZ), identifikační číslo pracoviště (ICP),</w:t>
      </w:r>
    </w:p>
    <w:p w:rsidR="00E92BA8" w:rsidRDefault="00F56DC9">
      <w:pPr>
        <w:numPr>
          <w:ilvl w:val="1"/>
          <w:numId w:val="11"/>
        </w:numPr>
        <w:ind w:right="14" w:hanging="408"/>
      </w:pPr>
      <w:r>
        <w:t>sdělují si údaje nutné ke kontrole plněni Smlouvy,</w:t>
      </w:r>
    </w:p>
    <w:p w:rsidR="00E92BA8" w:rsidRDefault="00F56DC9">
      <w:pPr>
        <w:numPr>
          <w:ilvl w:val="1"/>
          <w:numId w:val="11"/>
        </w:numPr>
        <w:spacing w:after="53"/>
        <w:ind w:right="14" w:hanging="408"/>
      </w:pPr>
      <w:r>
        <w:t>zajistí trvale přístupné a jasné informace o existenci smluvního vztahu a práve</w:t>
      </w:r>
      <w:r>
        <w:t>ch vyplývajících z něho pro pojištěnce,</w:t>
      </w:r>
    </w:p>
    <w:p w:rsidR="00E92BA8" w:rsidRDefault="00F56DC9">
      <w:pPr>
        <w:numPr>
          <w:ilvl w:val="1"/>
          <w:numId w:val="11"/>
        </w:numPr>
        <w:spacing w:after="35" w:line="266" w:lineRule="auto"/>
        <w:ind w:right="14" w:hanging="408"/>
      </w:pPr>
      <w:r>
        <w:rPr>
          <w:sz w:val="18"/>
        </w:rPr>
        <w:t>mohou si předávat údaje nezbytné k hodnocení kvality a efektivity poskytovaných hrazených služeb, a to v rozsahu a za podmínek dohodnutých ve Smlouvě.</w:t>
      </w:r>
    </w:p>
    <w:p w:rsidR="00E92BA8" w:rsidRDefault="00F56DC9">
      <w:pPr>
        <w:tabs>
          <w:tab w:val="center" w:pos="1157"/>
        </w:tabs>
        <w:spacing w:after="54"/>
        <w:ind w:left="0" w:firstLine="0"/>
        <w:jc w:val="left"/>
      </w:pPr>
      <w:r>
        <w:t>(2)</w:t>
      </w:r>
      <w:r>
        <w:tab/>
      </w:r>
      <w:r>
        <w:t>Poskytovatel</w:t>
      </w:r>
    </w:p>
    <w:p w:rsidR="00E92BA8" w:rsidRDefault="00F56DC9">
      <w:pPr>
        <w:numPr>
          <w:ilvl w:val="0"/>
          <w:numId w:val="12"/>
        </w:numPr>
        <w:spacing w:after="57"/>
        <w:ind w:right="14" w:hanging="403"/>
      </w:pPr>
      <w:r>
        <w:t xml:space="preserve">doloží Pojišťovně, při důvodném podezření na nedodržení postupu „lege </w:t>
      </w:r>
      <w:proofErr w:type="spellStart"/>
      <w:r>
        <w:t>artis</w:t>
      </w:r>
      <w:proofErr w:type="spellEnd"/>
      <w:r>
        <w:t>”, že zdravot</w:t>
      </w:r>
      <w:r>
        <w:t xml:space="preserve">nické prostředky byly při poskytování hrazených služeb použity v souladu se zvláštními právními předpisy </w:t>
      </w:r>
      <w:r>
        <w:rPr>
          <w:noProof/>
        </w:rPr>
        <w:drawing>
          <wp:inline distT="0" distB="0" distL="0" distR="0">
            <wp:extent cx="15246" cy="30480"/>
            <wp:effectExtent l="0" t="0" r="0" b="0"/>
            <wp:docPr id="22212" name="Picture 22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12" name="Picture 222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BA8" w:rsidRDefault="00F56DC9">
      <w:pPr>
        <w:numPr>
          <w:ilvl w:val="0"/>
          <w:numId w:val="12"/>
        </w:numPr>
        <w:ind w:right="14" w:hanging="403"/>
      </w:pPr>
      <w:r>
        <w:t>oznámí neprodleně, nejpozději do 30 kalendářních dnů druhé smluvní straně skutečnosti, které by podstatným způsobem mohly ovlivnit plnění Smlouvy, na</w:t>
      </w:r>
      <w:r>
        <w:t>př. vznik závad na výpočetním systému, změny údajů uvedených ve Smlouvě, pokud dojde</w:t>
      </w:r>
    </w:p>
    <w:p w:rsidR="00E92BA8" w:rsidRDefault="00F56DC9">
      <w:pPr>
        <w:numPr>
          <w:ilvl w:val="1"/>
          <w:numId w:val="12"/>
        </w:numPr>
        <w:spacing w:after="0"/>
        <w:ind w:right="14" w:hanging="279"/>
      </w:pPr>
      <w:r>
        <w:t>ke zrušení pracoviště nebo jeho části bez náhrady, nebo jeho uzavření na dobu delší než 30 kalendářních dnů,</w:t>
      </w:r>
    </w:p>
    <w:p w:rsidR="00E92BA8" w:rsidRDefault="00F56DC9">
      <w:pPr>
        <w:numPr>
          <w:ilvl w:val="1"/>
          <w:numId w:val="12"/>
        </w:numPr>
        <w:ind w:right="14" w:hanging="279"/>
      </w:pPr>
      <w:r>
        <w:t>k odchodu zaměstnance jmenovitě uvedeného ve Smlouvě,</w:t>
      </w:r>
    </w:p>
    <w:p w:rsidR="00E92BA8" w:rsidRDefault="00F56DC9">
      <w:pPr>
        <w:numPr>
          <w:ilvl w:val="1"/>
          <w:numId w:val="12"/>
        </w:numPr>
        <w:spacing w:after="78"/>
        <w:ind w:right="14" w:hanging="279"/>
      </w:pPr>
      <w:r>
        <w:t>k výpadk</w:t>
      </w:r>
      <w:r>
        <w:t>u přístroje nezbytného pro provádění výkonu bez náhrady na dobu delší než 30 kalendářních dnů.</w:t>
      </w:r>
    </w:p>
    <w:p w:rsidR="00E92BA8" w:rsidRDefault="00F56DC9">
      <w:pPr>
        <w:spacing w:after="483"/>
        <w:ind w:left="571" w:right="14"/>
      </w:pPr>
      <w:r>
        <w:t>Nesplnění povinností uvedených v písmenech a) nebo b), anebo pozdní splnění povinností uvedených v písmenu b) se považuje za závažné porušení smluvní povinnosti.</w:t>
      </w:r>
    </w:p>
    <w:p w:rsidR="00E92BA8" w:rsidRDefault="00F56DC9">
      <w:pPr>
        <w:spacing w:after="117" w:line="259" w:lineRule="auto"/>
        <w:ind w:left="-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744180" cy="9144"/>
                <wp:effectExtent l="0" t="0" r="0" b="0"/>
                <wp:docPr id="50381" name="Group 50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4180" cy="9144"/>
                          <a:chOff x="0" y="0"/>
                          <a:chExt cx="1744180" cy="9144"/>
                        </a:xfrm>
                      </wpg:grpSpPr>
                      <wps:wsp>
                        <wps:cNvPr id="50380" name="Shape 50380"/>
                        <wps:cNvSpPr/>
                        <wps:spPr>
                          <a:xfrm>
                            <a:off x="0" y="0"/>
                            <a:ext cx="17441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180" h="9144">
                                <a:moveTo>
                                  <a:pt x="0" y="4572"/>
                                </a:moveTo>
                                <a:lnTo>
                                  <a:pt x="174418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381" style="width:137.337pt;height:0.720032pt;mso-position-horizontal-relative:char;mso-position-vertical-relative:line" coordsize="17441,91">
                <v:shape id="Shape 50380" style="position:absolute;width:17441;height:91;left:0;top:0;" coordsize="1744180,9144" path="m0,4572l1744180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92BA8" w:rsidRDefault="00F56DC9">
      <w:pPr>
        <w:spacing w:after="3" w:line="266" w:lineRule="auto"/>
        <w:ind w:left="81" w:right="19" w:hanging="86"/>
      </w:pPr>
      <w:r>
        <w:rPr>
          <w:sz w:val="18"/>
        </w:rPr>
        <w:t xml:space="preserve">12 </w:t>
      </w:r>
      <w:r>
        <w:rPr>
          <w:sz w:val="18"/>
        </w:rPr>
        <w:t xml:space="preserve">Např. zákon č. 268/2014 Sb., o zdravotnických prostředcích a o změně zákona č. 234/2004 Sb., o správních poplatcích, ve znění pozdějších předpisů a S 42 odst. 4 zákona č. 48/1997 </w:t>
      </w:r>
      <w:proofErr w:type="spellStart"/>
      <w:r>
        <w:rPr>
          <w:sz w:val="18"/>
        </w:rPr>
        <w:t>Sb</w:t>
      </w:r>
      <w:proofErr w:type="spellEnd"/>
      <w:r>
        <w:rPr>
          <w:sz w:val="18"/>
        </w:rPr>
        <w:t>, o veřejném zdravotním pojištění, ve znění pozdějších předpisů.</w:t>
      </w:r>
    </w:p>
    <w:p w:rsidR="00E92BA8" w:rsidRDefault="00F56DC9">
      <w:pPr>
        <w:tabs>
          <w:tab w:val="center" w:pos="948"/>
        </w:tabs>
        <w:spacing w:after="66"/>
        <w:ind w:left="0" w:firstLine="0"/>
        <w:jc w:val="left"/>
      </w:pPr>
      <w:r>
        <w:t>(3)</w:t>
      </w:r>
      <w:r>
        <w:tab/>
      </w:r>
      <w:r>
        <w:t>Pojišťovna</w:t>
      </w:r>
    </w:p>
    <w:p w:rsidR="00E92BA8" w:rsidRDefault="00F56DC9">
      <w:pPr>
        <w:numPr>
          <w:ilvl w:val="0"/>
          <w:numId w:val="13"/>
        </w:numPr>
        <w:ind w:right="14" w:hanging="403"/>
      </w:pPr>
      <w:r>
        <w:lastRenderedPageBreak/>
        <w:t>může poskytnout Poskytovateli v zobecněné formě informace potřebné k ekonomizaci jeho činnosti nebo k jeho vědecké a výzkumné činnosti a ke kontrole kvality poskytovaných hrazených služeb, a to v rozsahu a za podmínek dohodnutých ve Smlouvě,</w:t>
      </w:r>
    </w:p>
    <w:p w:rsidR="00E92BA8" w:rsidRDefault="00F56DC9">
      <w:pPr>
        <w:numPr>
          <w:ilvl w:val="0"/>
          <w:numId w:val="13"/>
        </w:numPr>
        <w:spacing w:after="503"/>
        <w:ind w:right="14" w:hanging="403"/>
      </w:pPr>
      <w:r>
        <w:t>může zveřejnit na své internetové adrese v rámci seznamu smluvních poskytovatelů obchodní jméno či firmu a adresu Poskytovatele, jeho odbornost a telefonické, případně e-mailové spojení či další údaje vzájemně dohodnuté.</w:t>
      </w:r>
    </w:p>
    <w:p w:rsidR="00E92BA8" w:rsidRDefault="00F56DC9">
      <w:pPr>
        <w:spacing w:after="0" w:line="259" w:lineRule="auto"/>
        <w:ind w:left="341" w:right="403" w:hanging="10"/>
        <w:jc w:val="center"/>
      </w:pPr>
      <w:r>
        <w:rPr>
          <w:sz w:val="24"/>
        </w:rPr>
        <w:t>Článek IX.</w:t>
      </w:r>
    </w:p>
    <w:p w:rsidR="00E92BA8" w:rsidRDefault="00F56DC9">
      <w:pPr>
        <w:spacing w:after="34" w:line="259" w:lineRule="auto"/>
        <w:ind w:left="341" w:right="403" w:hanging="10"/>
        <w:jc w:val="center"/>
      </w:pPr>
      <w:r>
        <w:rPr>
          <w:sz w:val="24"/>
        </w:rPr>
        <w:t>Řešení sporů</w:t>
      </w:r>
    </w:p>
    <w:p w:rsidR="00E92BA8" w:rsidRDefault="00F56DC9">
      <w:pPr>
        <w:spacing w:after="140"/>
        <w:ind w:left="533" w:right="14" w:hanging="533"/>
      </w:pPr>
      <w:r>
        <w:t>(</w:t>
      </w:r>
      <w:proofErr w:type="gramStart"/>
      <w:r>
        <w:t>1 )</w:t>
      </w:r>
      <w:proofErr w:type="gramEnd"/>
      <w:r>
        <w:t xml:space="preserve"> </w:t>
      </w:r>
      <w:r>
        <w:t>Smluv</w:t>
      </w:r>
      <w:r>
        <w:t xml:space="preserve">ní strany budou řešit případné spory týkající se plnění Smlouvy především vzájemným jednáním zástupců smluvních stran, a to zpravidla do 14 kalendářních dnů od výzvy jedné ze smluvních stran. Pokud mezi nimi nedojde k dohodě, mohou sporné otázky projednat </w:t>
      </w:r>
      <w:r>
        <w:t xml:space="preserve">ve smírčím jednání. Tím není dotčeno právo smluvních stran uplatnit svůj nárok na řešení sporu u soudu nebo v rozhodčím řízení podle zvláštního právního </w:t>
      </w:r>
      <w:proofErr w:type="gramStart"/>
      <w:r>
        <w:t>předpisu ,</w:t>
      </w:r>
      <w:proofErr w:type="gramEnd"/>
      <w:r>
        <w:t xml:space="preserve"> pokud se smluvní strany na řešení sporů v rozhodčím řízení ve Smlouvě dohodnou.</w:t>
      </w:r>
    </w:p>
    <w:p w:rsidR="00E92BA8" w:rsidRDefault="00F56DC9">
      <w:pPr>
        <w:spacing w:after="515"/>
        <w:ind w:left="543" w:right="14" w:hanging="538"/>
      </w:pPr>
      <w:r>
        <w:t xml:space="preserve">(2) </w:t>
      </w:r>
      <w:r>
        <w:t>Smírčí j</w:t>
      </w:r>
      <w:r>
        <w:t>ednání navrhuje jedna ze smluvních stran. Návrh musí obsahovat přesné a dostatečně podrobné vymezení sporu. Účastníkem smírčího jednání je smluvní strana, která podala návrh na projednání sporu, smluvní strana, které je návrh na projednání sporu adresován,</w:t>
      </w:r>
      <w:r>
        <w:t xml:space="preserve"> zástupce příslušných skupinových smluvních poskytovatelů zastupovaných svými zájmovými sdruženími </w:t>
      </w:r>
      <w:r>
        <w:rPr>
          <w:vertAlign w:val="superscript"/>
        </w:rPr>
        <w:t xml:space="preserve">14 </w:t>
      </w:r>
      <w:r>
        <w:t>podle S 17 odstavce 2 zákona č. 48/1997 Sb. a zástupce Pojišťovny. K projednání sporu si každá smluvní strana může přizvat nejvýše dva odborné poradce. Sm</w:t>
      </w:r>
      <w:r>
        <w:t>írčí jednání se ukončí zápisem, obsahujícím smír nebo závěr, že rozpor nebyl odstraněn s uvedením stanovisek obou stran.</w:t>
      </w:r>
    </w:p>
    <w:p w:rsidR="00E92BA8" w:rsidRDefault="00F56DC9">
      <w:pPr>
        <w:spacing w:after="0" w:line="259" w:lineRule="auto"/>
        <w:ind w:left="341" w:right="355" w:hanging="10"/>
        <w:jc w:val="center"/>
      </w:pPr>
      <w:r>
        <w:rPr>
          <w:sz w:val="24"/>
        </w:rPr>
        <w:t>Článek X.</w:t>
      </w:r>
    </w:p>
    <w:p w:rsidR="00E92BA8" w:rsidRDefault="00F56DC9">
      <w:pPr>
        <w:spacing w:after="0" w:line="259" w:lineRule="auto"/>
        <w:ind w:left="341" w:right="355" w:hanging="10"/>
        <w:jc w:val="center"/>
      </w:pPr>
      <w:r>
        <w:rPr>
          <w:sz w:val="24"/>
        </w:rPr>
        <w:t>Zvláštní ujednání</w:t>
      </w:r>
    </w:p>
    <w:p w:rsidR="00E92BA8" w:rsidRDefault="00F56DC9">
      <w:pPr>
        <w:spacing w:after="88"/>
        <w:ind w:left="24" w:right="14"/>
      </w:pPr>
      <w:r>
        <w:t>Smluvní strany se, v souladu s čl. 2 odst. 4 rámcové smlouvy (příloha č. 6 vyhlášky č. 618/2006 Sb., kterou</w:t>
      </w:r>
      <w:r>
        <w:t xml:space="preserve"> se vydávají rámcové smlouvy), dohodly na dále uvedených ujednáních nezbytných pro plnění Smlouvy a její kontrolu:</w:t>
      </w:r>
    </w:p>
    <w:p w:rsidR="00E92BA8" w:rsidRDefault="00F56DC9">
      <w:pPr>
        <w:spacing w:after="87"/>
        <w:ind w:left="572" w:right="14" w:hanging="538"/>
      </w:pPr>
      <w:r>
        <w:rPr>
          <w:noProof/>
        </w:rPr>
        <w:drawing>
          <wp:inline distT="0" distB="0" distL="0" distR="0">
            <wp:extent cx="125020" cy="97536"/>
            <wp:effectExtent l="0" t="0" r="0" b="0"/>
            <wp:docPr id="50383" name="Picture 50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83" name="Picture 5038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5020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Poskytovatel poskytuje hrazené služby </w:t>
      </w:r>
      <w:proofErr w:type="spellStart"/>
      <w:r>
        <w:t>gojištěncům</w:t>
      </w:r>
      <w:proofErr w:type="spellEnd"/>
      <w:r>
        <w:t xml:space="preserve"> z EU, kteří si Pojišťovnu vybrali jako výpomocnou instituci při realizaci práva Evropské </w:t>
      </w:r>
      <w:proofErr w:type="gramStart"/>
      <w:r>
        <w:t>unie ,</w:t>
      </w:r>
      <w:proofErr w:type="gramEnd"/>
      <w:r>
        <w:t xml:space="preserve"> za stejných podmínek jako pojištěncům, a to v rozsahu dle jimi předložených dokladů; přitom postupuje dle plat</w:t>
      </w:r>
      <w:r>
        <w:t>ného metodického pokynu, zveřejněného ve Věstníku Ministerstva zdravotnictví ČR. Tyto hrazené služby vykazuje Poskytovatel, v souladu s Metodikou, samostatnou fakturou.</w:t>
      </w:r>
    </w:p>
    <w:p w:rsidR="00E92BA8" w:rsidRDefault="00F56DC9">
      <w:pPr>
        <w:spacing w:after="516"/>
        <w:ind w:left="571" w:right="14" w:hanging="523"/>
      </w:pPr>
      <w:r>
        <w:t xml:space="preserve">(2) </w:t>
      </w:r>
      <w:r>
        <w:t xml:space="preserve">Pojišťovna provádí úhradu poskytnutých hrazených služeb pojištěncům z EU, kteří si </w:t>
      </w:r>
      <w:r>
        <w:t xml:space="preserve">Pojišťovnu vybrali jako výpomocnou instituci při realizaci práva Evropské </w:t>
      </w:r>
      <w:proofErr w:type="gramStart"/>
      <w:r>
        <w:t>unie ,</w:t>
      </w:r>
      <w:proofErr w:type="gramEnd"/>
      <w:r>
        <w:t xml:space="preserve"> v souladu s právními předpisy platnými pro pojištěnce.</w:t>
      </w:r>
    </w:p>
    <w:p w:rsidR="00E92BA8" w:rsidRDefault="00F56DC9">
      <w:pPr>
        <w:spacing w:after="0" w:line="259" w:lineRule="auto"/>
        <w:ind w:left="341" w:right="283" w:hanging="10"/>
        <w:jc w:val="center"/>
      </w:pPr>
      <w:r>
        <w:rPr>
          <w:sz w:val="24"/>
        </w:rPr>
        <w:t>Článek XI.</w:t>
      </w:r>
    </w:p>
    <w:p w:rsidR="00E92BA8" w:rsidRDefault="00F56DC9">
      <w:pPr>
        <w:spacing w:after="37" w:line="259" w:lineRule="auto"/>
        <w:ind w:left="68" w:hanging="10"/>
        <w:jc w:val="center"/>
      </w:pPr>
      <w:r>
        <w:rPr>
          <w:sz w:val="22"/>
        </w:rPr>
        <w:t>Ostatní ujednání</w:t>
      </w:r>
    </w:p>
    <w:p w:rsidR="00E92BA8" w:rsidRDefault="00F56DC9">
      <w:pPr>
        <w:spacing w:after="98"/>
        <w:ind w:left="595" w:right="14" w:hanging="533"/>
      </w:pPr>
      <w:r>
        <w:t>(</w:t>
      </w:r>
      <w:proofErr w:type="gramStart"/>
      <w:r>
        <w:t>1 )</w:t>
      </w:r>
      <w:proofErr w:type="gramEnd"/>
      <w:r>
        <w:t xml:space="preserve"> </w:t>
      </w:r>
      <w:r>
        <w:t>Právní vztahy mezi smluvními stranami, ve věcech neupravených právními předpisy upravuj</w:t>
      </w:r>
      <w:r>
        <w:t>ícími veřejné zdravotní pojištění a poskytování hrazených služeb a touto Smlouvou, se řídí příslušnými právními předpisy.</w:t>
      </w:r>
    </w:p>
    <w:p w:rsidR="00E92BA8" w:rsidRDefault="00F56DC9">
      <w:pPr>
        <w:tabs>
          <w:tab w:val="center" w:pos="2435"/>
        </w:tabs>
        <w:ind w:left="0" w:firstLine="0"/>
        <w:jc w:val="left"/>
      </w:pPr>
      <w:r>
        <w:t>(2)</w:t>
      </w:r>
      <w:r>
        <w:tab/>
      </w:r>
      <w:r>
        <w:t>Nedílnou součástí této Smlouvy jsou její přílohy:</w:t>
      </w:r>
    </w:p>
    <w:p w:rsidR="00E92BA8" w:rsidRDefault="00F56DC9">
      <w:pPr>
        <w:spacing w:after="638"/>
        <w:ind w:left="1109" w:right="14" w:hanging="543"/>
      </w:pPr>
      <w:r>
        <w:t>č. I Ověřená kopie rozhodnutí o registraci vydaného orgánem příslušným k registr</w:t>
      </w:r>
      <w:r>
        <w:t>aci podle místa provozování nestátního zdravotnického zařízení, nebo ověřená kopie rozhodnutí o oprávnění k poskytování zdravotních služeb a ověřená kopie výpisu z obchodního rejstříku u fyzických nebo právnických osob, zapsaných do obchodního rejstříku.</w:t>
      </w:r>
    </w:p>
    <w:p w:rsidR="00E92BA8" w:rsidRDefault="00F56DC9">
      <w:pPr>
        <w:spacing w:after="104" w:line="259" w:lineRule="auto"/>
        <w:ind w:left="5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756377" cy="9143"/>
                <wp:effectExtent l="0" t="0" r="0" b="0"/>
                <wp:docPr id="50386" name="Group 50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6377" cy="9143"/>
                          <a:chOff x="0" y="0"/>
                          <a:chExt cx="1756377" cy="9143"/>
                        </a:xfrm>
                      </wpg:grpSpPr>
                      <wps:wsp>
                        <wps:cNvPr id="50385" name="Shape 50385"/>
                        <wps:cNvSpPr/>
                        <wps:spPr>
                          <a:xfrm>
                            <a:off x="0" y="0"/>
                            <a:ext cx="1756377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377" h="9143">
                                <a:moveTo>
                                  <a:pt x="0" y="4572"/>
                                </a:moveTo>
                                <a:lnTo>
                                  <a:pt x="1756377" y="4572"/>
                                </a:lnTo>
                              </a:path>
                            </a:pathLst>
                          </a:custGeom>
                          <a:ln w="914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386" style="width:138.297pt;height:0.71991pt;mso-position-horizontal-relative:char;mso-position-vertical-relative:line" coordsize="17563,91">
                <v:shape id="Shape 50385" style="position:absolute;width:17563;height:91;left:0;top:0;" coordsize="1756377,9143" path="m0,4572l1756377,4572">
                  <v:stroke weight="0.719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92BA8" w:rsidRDefault="00F56DC9">
      <w:pPr>
        <w:numPr>
          <w:ilvl w:val="0"/>
          <w:numId w:val="14"/>
        </w:numPr>
        <w:spacing w:after="3" w:line="266" w:lineRule="auto"/>
        <w:ind w:right="19" w:hanging="139"/>
      </w:pPr>
      <w:r>
        <w:rPr>
          <w:sz w:val="18"/>
        </w:rPr>
        <w:lastRenderedPageBreak/>
        <w:t>Zákon č. 216/1994 Sb., o rozhodčím řízení a o výkonu rozhodčích nálezů, ve znění pozdějších předpisů</w:t>
      </w:r>
    </w:p>
    <w:p w:rsidR="00E92BA8" w:rsidRDefault="00F56DC9">
      <w:pPr>
        <w:numPr>
          <w:ilvl w:val="0"/>
          <w:numId w:val="14"/>
        </w:numPr>
        <w:spacing w:after="3" w:line="266" w:lineRule="auto"/>
        <w:ind w:right="19" w:hanging="139"/>
      </w:pPr>
      <w:r>
        <w:rPr>
          <w:sz w:val="18"/>
        </w:rPr>
        <w:t>Zákon č. 89/2012 Sb., občanský zákoník (S 3051)</w:t>
      </w:r>
    </w:p>
    <w:p w:rsidR="00E92BA8" w:rsidRDefault="00F56DC9">
      <w:pPr>
        <w:spacing w:after="48"/>
        <w:ind w:left="1104" w:right="14" w:hanging="538"/>
      </w:pPr>
      <w:r>
        <w:rPr>
          <w:noProof/>
        </w:rPr>
        <w:drawing>
          <wp:inline distT="0" distB="0" distL="0" distR="0">
            <wp:extent cx="167710" cy="85344"/>
            <wp:effectExtent l="0" t="0" r="0" b="0"/>
            <wp:docPr id="50389" name="Picture 50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89" name="Picture 5038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771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Smluvené druhy a formy zdravotní péče, odbornosti pracovišť a jejich jednoznačná identifikace a rozsah poskytovaných hrazených služeb, přičemž kde je v této příloze použit pojem Zdravotnické zařízení (ZZ), je tím rozuměn Poskytovatel, a kde je použit pojem</w:t>
      </w:r>
      <w:r>
        <w:t xml:space="preserve"> zdravotní péče, jsou tím rozuměny zdravotní služby</w:t>
      </w:r>
    </w:p>
    <w:p w:rsidR="00E92BA8" w:rsidRDefault="00F56DC9">
      <w:pPr>
        <w:ind w:left="571" w:right="14"/>
      </w:pPr>
      <w:r>
        <w:rPr>
          <w:noProof/>
        </w:rPr>
        <w:drawing>
          <wp:inline distT="0" distB="0" distL="0" distR="0">
            <wp:extent cx="170759" cy="79248"/>
            <wp:effectExtent l="0" t="0" r="0" b="0"/>
            <wp:docPr id="50391" name="Picture 50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91" name="Picture 5039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759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Metodika pro pořizování a předávání dokladů VZP ČR, verze 6.2.</w:t>
      </w:r>
    </w:p>
    <w:p w:rsidR="00E92BA8" w:rsidRDefault="00F56DC9">
      <w:pPr>
        <w:ind w:left="1085" w:right="2550"/>
      </w:pPr>
      <w:r>
        <w:t>Pravidla pro vyhodnocování dokladů ve VZP ČR, verze 6.2. Datové rozhraní VZP ČR, verze 6.2.</w:t>
      </w:r>
    </w:p>
    <w:p w:rsidR="00E92BA8" w:rsidRDefault="00F56DC9">
      <w:pPr>
        <w:spacing w:after="527" w:line="265" w:lineRule="auto"/>
        <w:ind w:left="538" w:hanging="10"/>
        <w:jc w:val="left"/>
      </w:pPr>
      <w:r>
        <w:t>Pozn.: Ověření kopií provede Pojišťovna na základě předložení originálu dokladu.</w:t>
      </w:r>
    </w:p>
    <w:p w:rsidR="00E92BA8" w:rsidRDefault="00F56DC9">
      <w:pPr>
        <w:spacing w:after="0" w:line="259" w:lineRule="auto"/>
        <w:ind w:left="341" w:right="351" w:hanging="10"/>
        <w:jc w:val="center"/>
      </w:pPr>
      <w:r>
        <w:rPr>
          <w:sz w:val="24"/>
        </w:rPr>
        <w:t>Článek XII.</w:t>
      </w:r>
    </w:p>
    <w:p w:rsidR="00E92BA8" w:rsidRDefault="00F56DC9">
      <w:pPr>
        <w:spacing w:after="0" w:line="259" w:lineRule="auto"/>
        <w:ind w:left="341" w:right="346" w:hanging="10"/>
        <w:jc w:val="center"/>
      </w:pPr>
      <w:r>
        <w:rPr>
          <w:sz w:val="24"/>
        </w:rPr>
        <w:t>Závěrečná ujednání</w:t>
      </w:r>
    </w:p>
    <w:p w:rsidR="00E92BA8" w:rsidRDefault="00F56DC9">
      <w:pPr>
        <w:numPr>
          <w:ilvl w:val="1"/>
          <w:numId w:val="14"/>
        </w:numPr>
        <w:spacing w:after="121"/>
        <w:ind w:right="14" w:hanging="538"/>
      </w:pPr>
      <w:r>
        <w:t>Tato Smlouva nabývá platnosti dnem jejího uzavření a</w:t>
      </w:r>
      <w:r>
        <w:t xml:space="preserve"> upravuje práva a povinnosti smluvních stran v období od 1.1.2017.</w:t>
      </w:r>
    </w:p>
    <w:p w:rsidR="00E92BA8" w:rsidRDefault="00F56DC9">
      <w:pPr>
        <w:numPr>
          <w:ilvl w:val="1"/>
          <w:numId w:val="14"/>
        </w:numPr>
        <w:ind w:right="14" w:hanging="538"/>
      </w:pPr>
      <w:r>
        <w:t>Smlouva je vyhotovena ve 2 stejnopisech, z nichž každá smluvní strana obdrží 1 vyhotovení.</w:t>
      </w:r>
    </w:p>
    <w:p w:rsidR="00E92BA8" w:rsidRDefault="00F56DC9">
      <w:pPr>
        <w:numPr>
          <w:ilvl w:val="1"/>
          <w:numId w:val="14"/>
        </w:numPr>
        <w:spacing w:after="0" w:line="259" w:lineRule="auto"/>
        <w:ind w:right="14" w:hanging="538"/>
      </w:pPr>
      <w:r>
        <w:t>Nabytím účinnosti této smlouvy pozbývá platnost a účinnost stávající smlouva č. 9J76H001 ze dne</w:t>
      </w:r>
    </w:p>
    <w:p w:rsidR="00E92BA8" w:rsidRDefault="00F56DC9">
      <w:pPr>
        <w:spacing w:after="121" w:line="265" w:lineRule="auto"/>
        <w:ind w:left="538" w:hanging="10"/>
        <w:jc w:val="left"/>
      </w:pPr>
      <w:r>
        <w:t>8.</w:t>
      </w:r>
      <w:r>
        <w:t>1.2010.</w:t>
      </w:r>
    </w:p>
    <w:tbl>
      <w:tblPr>
        <w:tblStyle w:val="TableGrid"/>
        <w:tblpPr w:vertAnchor="text" w:tblpX="-1052" w:tblpY="1203"/>
        <w:tblOverlap w:val="never"/>
        <w:tblW w:w="1071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3035"/>
        <w:gridCol w:w="2315"/>
        <w:gridCol w:w="2766"/>
      </w:tblGrid>
      <w:tr w:rsidR="00E92BA8">
        <w:trPr>
          <w:trHeight w:val="225"/>
        </w:trPr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E92BA8" w:rsidRDefault="00E92BA8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:rsidR="00E92BA8" w:rsidRDefault="00F56DC9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Digitálně podepsal Ing. Mgr. Alena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E92BA8" w:rsidRDefault="00E92BA8">
            <w:pPr>
              <w:spacing w:after="0" w:line="259" w:lineRule="auto"/>
              <w:ind w:left="14" w:firstLine="0"/>
              <w:jc w:val="left"/>
            </w:pPr>
            <w:bookmarkStart w:id="0" w:name="_GoBack"/>
            <w:bookmarkEnd w:id="0"/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E92BA8" w:rsidRDefault="00F56DC9">
            <w:pPr>
              <w:spacing w:after="0" w:line="259" w:lineRule="auto"/>
              <w:ind w:left="269" w:firstLine="0"/>
              <w:jc w:val="left"/>
            </w:pPr>
            <w:proofErr w:type="spellStart"/>
            <w:r>
              <w:rPr>
                <w:sz w:val="10"/>
              </w:rPr>
              <w:t>Dtqitalĺy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signed</w:t>
            </w:r>
            <w:proofErr w:type="spellEnd"/>
            <w:r>
              <w:rPr>
                <w:sz w:val="10"/>
              </w:rPr>
              <w:t xml:space="preserve"> by Ing Svatava </w:t>
            </w:r>
            <w:proofErr w:type="spellStart"/>
            <w:r>
              <w:rPr>
                <w:sz w:val="10"/>
              </w:rPr>
              <w:t>Slajchrtovó</w:t>
            </w:r>
            <w:proofErr w:type="spellEnd"/>
          </w:p>
          <w:p w:rsidR="00E92BA8" w:rsidRDefault="00F56DC9">
            <w:pPr>
              <w:tabs>
                <w:tab w:val="center" w:pos="339"/>
                <w:tab w:val="center" w:pos="1443"/>
              </w:tabs>
              <w:spacing w:after="0" w:line="259" w:lineRule="auto"/>
              <w:ind w:left="0" w:firstLine="0"/>
              <w:jc w:val="left"/>
            </w:pPr>
            <w:r>
              <w:rPr>
                <w:sz w:val="10"/>
              </w:rPr>
              <w:tab/>
              <w:t xml:space="preserve">DN: </w:t>
            </w:r>
            <w:r>
              <w:rPr>
                <w:sz w:val="10"/>
              </w:rPr>
              <w:tab/>
              <w:t xml:space="preserve">Svatava </w:t>
            </w:r>
            <w:proofErr w:type="spellStart"/>
            <w:r>
              <w:rPr>
                <w:sz w:val="10"/>
              </w:rPr>
              <w:t>Slajchrtová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proofErr w:type="gramStart"/>
            <w:r>
              <w:rPr>
                <w:sz w:val="10"/>
              </w:rPr>
              <w:t>sľĽSlaichľtov,ó</w:t>
            </w:r>
            <w:proofErr w:type="spellEnd"/>
            <w:proofErr w:type="gramEnd"/>
            <w:r>
              <w:rPr>
                <w:sz w:val="10"/>
              </w:rPr>
              <w:t>,</w:t>
            </w:r>
          </w:p>
        </w:tc>
      </w:tr>
      <w:tr w:rsidR="00E92BA8">
        <w:trPr>
          <w:trHeight w:val="128"/>
        </w:trPr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E92BA8" w:rsidRDefault="00E92B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:rsidR="00E92BA8" w:rsidRDefault="00F56DC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Řehořová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E92BA8" w:rsidRDefault="00E92B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E92BA8" w:rsidRDefault="00F56DC9">
            <w:pPr>
              <w:spacing w:after="0" w:line="259" w:lineRule="auto"/>
              <w:ind w:left="0" w:right="10" w:firstLine="0"/>
              <w:jc w:val="right"/>
            </w:pPr>
            <w:proofErr w:type="spellStart"/>
            <w:r>
              <w:rPr>
                <w:sz w:val="10"/>
              </w:rPr>
              <w:t>głvenName</w:t>
            </w:r>
            <w:proofErr w:type="spellEnd"/>
            <w:r>
              <w:rPr>
                <w:sz w:val="10"/>
              </w:rPr>
              <w:t xml:space="preserve">=Svatava, c=CZ, </w:t>
            </w:r>
            <w:proofErr w:type="spellStart"/>
            <w:r>
              <w:rPr>
                <w:sz w:val="10"/>
              </w:rPr>
              <w:t>ozVšeobecná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zdravotni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proofErr w:type="gramStart"/>
            <w:r>
              <w:rPr>
                <w:sz w:val="10"/>
              </w:rPr>
              <w:t>pojiš</w:t>
            </w:r>
            <w:proofErr w:type="spellEnd"/>
            <w:r>
              <w:rPr>
                <w:sz w:val="10"/>
              </w:rPr>
              <w:t>(</w:t>
            </w:r>
            <w:proofErr w:type="spellStart"/>
            <w:proofErr w:type="gramEnd"/>
            <w:r>
              <w:rPr>
                <w:sz w:val="10"/>
              </w:rPr>
              <w:t>ovna</w:t>
            </w:r>
            <w:proofErr w:type="spellEnd"/>
          </w:p>
        </w:tc>
      </w:tr>
      <w:tr w:rsidR="00E92BA8">
        <w:trPr>
          <w:trHeight w:val="319"/>
        </w:trPr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E92BA8" w:rsidRDefault="00E92BA8">
            <w:pPr>
              <w:tabs>
                <w:tab w:val="right" w:pos="2603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:rsidR="00E92BA8" w:rsidRDefault="00F56DC9">
            <w:pPr>
              <w:tabs>
                <w:tab w:val="center" w:pos="2195"/>
              </w:tabs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Datum: 2016.12.21 08:01 </w:t>
            </w:r>
            <w:r>
              <w:rPr>
                <w:sz w:val="16"/>
              </w:rPr>
              <w:tab/>
              <w:t>+01 '00'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E92BA8" w:rsidRDefault="00E92BA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E92BA8" w:rsidRDefault="00F56DC9">
            <w:pPr>
              <w:spacing w:after="0" w:line="259" w:lineRule="auto"/>
              <w:ind w:left="264" w:firstLine="0"/>
            </w:pPr>
            <w:proofErr w:type="spellStart"/>
            <w:r>
              <w:rPr>
                <w:sz w:val="10"/>
              </w:rPr>
              <w:t>Ceské</w:t>
            </w:r>
            <w:proofErr w:type="spellEnd"/>
            <w:r>
              <w:rPr>
                <w:sz w:val="10"/>
              </w:rPr>
              <w:t xml:space="preserve"> republiky 41 1975181, ou=3500277, </w:t>
            </w:r>
            <w:proofErr w:type="spellStart"/>
            <w:r>
              <w:rPr>
                <w:sz w:val="10"/>
              </w:rPr>
              <w:t>titlernediteika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zp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serialNumber</w:t>
            </w:r>
            <w:proofErr w:type="spellEnd"/>
            <w:r>
              <w:rPr>
                <w:sz w:val="10"/>
              </w:rPr>
              <w:t xml:space="preserve">=P S 3998 </w:t>
            </w:r>
            <w:proofErr w:type="spellStart"/>
            <w:r>
              <w:rPr>
                <w:sz w:val="10"/>
              </w:rPr>
              <w:t>Date</w:t>
            </w:r>
            <w:proofErr w:type="spellEnd"/>
            <w:r>
              <w:rPr>
                <w:sz w:val="10"/>
              </w:rPr>
              <w:t>: 2016.12.21</w:t>
            </w:r>
          </w:p>
        </w:tc>
      </w:tr>
    </w:tbl>
    <w:p w:rsidR="00E92BA8" w:rsidRDefault="00F56DC9">
      <w:pPr>
        <w:numPr>
          <w:ilvl w:val="1"/>
          <w:numId w:val="14"/>
        </w:numPr>
        <w:ind w:right="14" w:hanging="538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5046535</wp:posOffset>
            </wp:positionH>
            <wp:positionV relativeFrom="paragraph">
              <wp:posOffset>1178155</wp:posOffset>
            </wp:positionV>
            <wp:extent cx="6098" cy="9144"/>
            <wp:effectExtent l="0" t="0" r="0" b="0"/>
            <wp:wrapSquare wrapText="bothSides"/>
            <wp:docPr id="27236" name="Picture 27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36" name="Picture 2723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5122767</wp:posOffset>
            </wp:positionH>
            <wp:positionV relativeFrom="paragraph">
              <wp:posOffset>1181203</wp:posOffset>
            </wp:positionV>
            <wp:extent cx="3049" cy="6096"/>
            <wp:effectExtent l="0" t="0" r="0" b="0"/>
            <wp:wrapSquare wrapText="bothSides"/>
            <wp:docPr id="27237" name="Picture 27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37" name="Picture 2723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Veškeré změny a doplňky této Smlouvy lze provádět výhradně písemnými očíslovanými dodatky, podepsanými na znamení souhlasu oběma smluvními stranami.</w:t>
      </w:r>
    </w:p>
    <w:sectPr w:rsidR="00E92BA8">
      <w:footerReference w:type="even" r:id="rId19"/>
      <w:footerReference w:type="default" r:id="rId20"/>
      <w:footerReference w:type="first" r:id="rId21"/>
      <w:pgSz w:w="11563" w:h="16488"/>
      <w:pgMar w:top="1003" w:right="1378" w:bottom="1546" w:left="1421" w:header="708" w:footer="11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DC9" w:rsidRDefault="00F56DC9">
      <w:pPr>
        <w:spacing w:after="0" w:line="240" w:lineRule="auto"/>
      </w:pPr>
      <w:r>
        <w:separator/>
      </w:r>
    </w:p>
  </w:endnote>
  <w:endnote w:type="continuationSeparator" w:id="0">
    <w:p w:rsidR="00F56DC9" w:rsidRDefault="00F5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BA8" w:rsidRDefault="00F56DC9">
    <w:pPr>
      <w:spacing w:after="0" w:line="259" w:lineRule="auto"/>
      <w:ind w:left="0" w:right="19" w:firstLine="0"/>
      <w:jc w:val="right"/>
    </w:pPr>
    <w:r>
      <w:rPr>
        <w:sz w:val="18"/>
      </w:rPr>
      <w:t xml:space="preserve">Stránka </w:t>
    </w:r>
    <w:r>
      <w:rPr>
        <w:sz w:val="14"/>
      </w:rPr>
      <w:fldChar w:fldCharType="begin"/>
    </w:r>
    <w:r>
      <w:rPr>
        <w:sz w:val="14"/>
      </w:rPr>
      <w:instrText xml:space="preserve"> PAGE   \* MERGEFORMAT </w:instrText>
    </w:r>
    <w:r>
      <w:rPr>
        <w:sz w:val="14"/>
      </w:rP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24"/>
      </w:rPr>
      <w:t xml:space="preserve">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sz w:val="18"/>
      </w:rPr>
      <w:t>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BA8" w:rsidRDefault="00F56DC9">
    <w:pPr>
      <w:spacing w:after="0" w:line="259" w:lineRule="auto"/>
      <w:ind w:left="0" w:right="19" w:firstLine="0"/>
      <w:jc w:val="right"/>
    </w:pPr>
    <w:r>
      <w:rPr>
        <w:sz w:val="18"/>
      </w:rPr>
      <w:t xml:space="preserve">Stránka </w:t>
    </w:r>
    <w:r>
      <w:rPr>
        <w:sz w:val="14"/>
      </w:rPr>
      <w:fldChar w:fldCharType="begin"/>
    </w:r>
    <w:r>
      <w:rPr>
        <w:sz w:val="14"/>
      </w:rPr>
      <w:instrText xml:space="preserve"> PAGE   \* MERGEFORMAT </w:instrText>
    </w:r>
    <w:r>
      <w:rPr>
        <w:sz w:val="14"/>
      </w:rP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24"/>
      </w:rPr>
      <w:t xml:space="preserve">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sz w:val="18"/>
      </w:rPr>
      <w:t>8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BA8" w:rsidRDefault="00F56DC9">
    <w:pPr>
      <w:spacing w:after="0" w:line="259" w:lineRule="auto"/>
      <w:ind w:left="0" w:right="19" w:firstLine="0"/>
      <w:jc w:val="right"/>
    </w:pPr>
    <w:r>
      <w:rPr>
        <w:sz w:val="18"/>
      </w:rPr>
      <w:t xml:space="preserve">Stránka </w:t>
    </w:r>
    <w:r>
      <w:rPr>
        <w:sz w:val="14"/>
      </w:rPr>
      <w:fldChar w:fldCharType="begin"/>
    </w:r>
    <w:r>
      <w:rPr>
        <w:sz w:val="14"/>
      </w:rPr>
      <w:instrText xml:space="preserve"> PAGE   \* MERGEFORMAT </w:instrText>
    </w:r>
    <w:r>
      <w:rPr>
        <w:sz w:val="14"/>
      </w:rP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24"/>
      </w:rPr>
      <w:t xml:space="preserve">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sz w:val="18"/>
      </w:rPr>
      <w:t>8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DC9" w:rsidRDefault="00F56DC9">
      <w:pPr>
        <w:spacing w:after="0" w:line="240" w:lineRule="auto"/>
      </w:pPr>
      <w:r>
        <w:separator/>
      </w:r>
    </w:p>
  </w:footnote>
  <w:footnote w:type="continuationSeparator" w:id="0">
    <w:p w:rsidR="00F56DC9" w:rsidRDefault="00F56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785"/>
    <w:multiLevelType w:val="hybridMultilevel"/>
    <w:tmpl w:val="330CD57E"/>
    <w:lvl w:ilvl="0" w:tplc="EE3AC3B2">
      <w:start w:val="1"/>
      <w:numFmt w:val="lowerLetter"/>
      <w:lvlText w:val="%1)"/>
      <w:lvlJc w:val="left"/>
      <w:pPr>
        <w:ind w:left="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4ABB4C">
      <w:start w:val="1"/>
      <w:numFmt w:val="decimal"/>
      <w:lvlText w:val="%2."/>
      <w:lvlJc w:val="left"/>
      <w:pPr>
        <w:ind w:left="1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321AD8">
      <w:start w:val="1"/>
      <w:numFmt w:val="lowerRoman"/>
      <w:lvlText w:val="%3"/>
      <w:lvlJc w:val="left"/>
      <w:pPr>
        <w:ind w:left="2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20FC6C">
      <w:start w:val="1"/>
      <w:numFmt w:val="decimal"/>
      <w:lvlText w:val="%4"/>
      <w:lvlJc w:val="left"/>
      <w:pPr>
        <w:ind w:left="2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26ECCE">
      <w:start w:val="1"/>
      <w:numFmt w:val="lowerLetter"/>
      <w:lvlText w:val="%5"/>
      <w:lvlJc w:val="left"/>
      <w:pPr>
        <w:ind w:left="3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825986">
      <w:start w:val="1"/>
      <w:numFmt w:val="lowerRoman"/>
      <w:lvlText w:val="%6"/>
      <w:lvlJc w:val="left"/>
      <w:pPr>
        <w:ind w:left="4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E421DC">
      <w:start w:val="1"/>
      <w:numFmt w:val="decimal"/>
      <w:lvlText w:val="%7"/>
      <w:lvlJc w:val="left"/>
      <w:pPr>
        <w:ind w:left="4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2EB8E2">
      <w:start w:val="1"/>
      <w:numFmt w:val="lowerLetter"/>
      <w:lvlText w:val="%8"/>
      <w:lvlJc w:val="left"/>
      <w:pPr>
        <w:ind w:left="5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E491E2">
      <w:start w:val="1"/>
      <w:numFmt w:val="lowerRoman"/>
      <w:lvlText w:val="%9"/>
      <w:lvlJc w:val="left"/>
      <w:pPr>
        <w:ind w:left="6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F352C"/>
    <w:multiLevelType w:val="hybridMultilevel"/>
    <w:tmpl w:val="3FFAED6A"/>
    <w:lvl w:ilvl="0" w:tplc="86CA6998">
      <w:start w:val="1"/>
      <w:numFmt w:val="lowerLetter"/>
      <w:lvlText w:val="%1)"/>
      <w:lvlJc w:val="left"/>
      <w:pPr>
        <w:ind w:left="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E61F94">
      <w:start w:val="1"/>
      <w:numFmt w:val="lowerLetter"/>
      <w:lvlText w:val="%2"/>
      <w:lvlJc w:val="left"/>
      <w:pPr>
        <w:ind w:left="1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FC1870">
      <w:start w:val="1"/>
      <w:numFmt w:val="lowerRoman"/>
      <w:lvlText w:val="%3"/>
      <w:lvlJc w:val="left"/>
      <w:pPr>
        <w:ind w:left="2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C0D154">
      <w:start w:val="1"/>
      <w:numFmt w:val="decimal"/>
      <w:lvlText w:val="%4"/>
      <w:lvlJc w:val="left"/>
      <w:pPr>
        <w:ind w:left="3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D20086">
      <w:start w:val="1"/>
      <w:numFmt w:val="lowerLetter"/>
      <w:lvlText w:val="%5"/>
      <w:lvlJc w:val="left"/>
      <w:pPr>
        <w:ind w:left="3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B0207E">
      <w:start w:val="1"/>
      <w:numFmt w:val="lowerRoman"/>
      <w:lvlText w:val="%6"/>
      <w:lvlJc w:val="left"/>
      <w:pPr>
        <w:ind w:left="4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68BB50">
      <w:start w:val="1"/>
      <w:numFmt w:val="decimal"/>
      <w:lvlText w:val="%7"/>
      <w:lvlJc w:val="left"/>
      <w:pPr>
        <w:ind w:left="5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069DEC">
      <w:start w:val="1"/>
      <w:numFmt w:val="lowerLetter"/>
      <w:lvlText w:val="%8"/>
      <w:lvlJc w:val="left"/>
      <w:pPr>
        <w:ind w:left="5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B49918">
      <w:start w:val="1"/>
      <w:numFmt w:val="lowerRoman"/>
      <w:lvlText w:val="%9"/>
      <w:lvlJc w:val="left"/>
      <w:pPr>
        <w:ind w:left="6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8021DF"/>
    <w:multiLevelType w:val="hybridMultilevel"/>
    <w:tmpl w:val="2A9022B4"/>
    <w:lvl w:ilvl="0" w:tplc="A1FCAA36">
      <w:start w:val="13"/>
      <w:numFmt w:val="decimal"/>
      <w:lvlText w:val="%1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7F8812FE">
      <w:start w:val="1"/>
      <w:numFmt w:val="decimal"/>
      <w:lvlText w:val="(%2)"/>
      <w:lvlJc w:val="left"/>
      <w:pPr>
        <w:ind w:left="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8493B4">
      <w:start w:val="1"/>
      <w:numFmt w:val="lowerRoman"/>
      <w:lvlText w:val="%3"/>
      <w:lvlJc w:val="left"/>
      <w:pPr>
        <w:ind w:left="2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020EC0">
      <w:start w:val="1"/>
      <w:numFmt w:val="decimal"/>
      <w:lvlText w:val="%4"/>
      <w:lvlJc w:val="left"/>
      <w:pPr>
        <w:ind w:left="2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E56B600">
      <w:start w:val="1"/>
      <w:numFmt w:val="lowerLetter"/>
      <w:lvlText w:val="%5"/>
      <w:lvlJc w:val="left"/>
      <w:pPr>
        <w:ind w:left="3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04C36E">
      <w:start w:val="1"/>
      <w:numFmt w:val="lowerRoman"/>
      <w:lvlText w:val="%6"/>
      <w:lvlJc w:val="left"/>
      <w:pPr>
        <w:ind w:left="4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D04CD8">
      <w:start w:val="1"/>
      <w:numFmt w:val="decimal"/>
      <w:lvlText w:val="%7"/>
      <w:lvlJc w:val="left"/>
      <w:pPr>
        <w:ind w:left="5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9E06C6">
      <w:start w:val="1"/>
      <w:numFmt w:val="lowerLetter"/>
      <w:lvlText w:val="%8"/>
      <w:lvlJc w:val="left"/>
      <w:pPr>
        <w:ind w:left="5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94D06C">
      <w:start w:val="1"/>
      <w:numFmt w:val="lowerRoman"/>
      <w:lvlText w:val="%9"/>
      <w:lvlJc w:val="left"/>
      <w:pPr>
        <w:ind w:left="6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09134C"/>
    <w:multiLevelType w:val="hybridMultilevel"/>
    <w:tmpl w:val="F3FCB0E0"/>
    <w:lvl w:ilvl="0" w:tplc="19E0E450">
      <w:start w:val="1"/>
      <w:numFmt w:val="lowerLetter"/>
      <w:lvlText w:val="%1)"/>
      <w:lvlJc w:val="left"/>
      <w:pPr>
        <w:ind w:left="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D665D0">
      <w:start w:val="1"/>
      <w:numFmt w:val="lowerLetter"/>
      <w:lvlText w:val="%2"/>
      <w:lvlJc w:val="left"/>
      <w:pPr>
        <w:ind w:left="1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CEBCD6">
      <w:start w:val="1"/>
      <w:numFmt w:val="lowerRoman"/>
      <w:lvlText w:val="%3"/>
      <w:lvlJc w:val="left"/>
      <w:pPr>
        <w:ind w:left="2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5C5966">
      <w:start w:val="1"/>
      <w:numFmt w:val="decimal"/>
      <w:lvlText w:val="%4"/>
      <w:lvlJc w:val="left"/>
      <w:pPr>
        <w:ind w:left="3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B00CE4">
      <w:start w:val="1"/>
      <w:numFmt w:val="lowerLetter"/>
      <w:lvlText w:val="%5"/>
      <w:lvlJc w:val="left"/>
      <w:pPr>
        <w:ind w:left="3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0E36F0">
      <w:start w:val="1"/>
      <w:numFmt w:val="lowerRoman"/>
      <w:lvlText w:val="%6"/>
      <w:lvlJc w:val="left"/>
      <w:pPr>
        <w:ind w:left="4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F67316">
      <w:start w:val="1"/>
      <w:numFmt w:val="decimal"/>
      <w:lvlText w:val="%7"/>
      <w:lvlJc w:val="left"/>
      <w:pPr>
        <w:ind w:left="5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E01F84">
      <w:start w:val="1"/>
      <w:numFmt w:val="lowerLetter"/>
      <w:lvlText w:val="%8"/>
      <w:lvlJc w:val="left"/>
      <w:pPr>
        <w:ind w:left="5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24432A">
      <w:start w:val="1"/>
      <w:numFmt w:val="lowerRoman"/>
      <w:lvlText w:val="%9"/>
      <w:lvlJc w:val="left"/>
      <w:pPr>
        <w:ind w:left="6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9402A1"/>
    <w:multiLevelType w:val="hybridMultilevel"/>
    <w:tmpl w:val="1F1CD8C4"/>
    <w:lvl w:ilvl="0" w:tplc="9088401C">
      <w:start w:val="5"/>
      <w:numFmt w:val="decimal"/>
      <w:lvlText w:val="(%1)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1EC588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78C64C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6842F6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2C8D04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E64C3C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A5A551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FE3A96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F0DA32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007E65"/>
    <w:multiLevelType w:val="hybridMultilevel"/>
    <w:tmpl w:val="971CB918"/>
    <w:lvl w:ilvl="0" w:tplc="5B3C88C8">
      <w:start w:val="1"/>
      <w:numFmt w:val="decimal"/>
      <w:lvlText w:val="(%1)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26C298">
      <w:start w:val="1"/>
      <w:numFmt w:val="lowerLetter"/>
      <w:lvlText w:val="%2)"/>
      <w:lvlJc w:val="left"/>
      <w:pPr>
        <w:ind w:left="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C2E076">
      <w:start w:val="1"/>
      <w:numFmt w:val="decimal"/>
      <w:lvlText w:val="%3."/>
      <w:lvlJc w:val="left"/>
      <w:pPr>
        <w:ind w:left="1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58932E">
      <w:start w:val="1"/>
      <w:numFmt w:val="decimal"/>
      <w:lvlText w:val="%4"/>
      <w:lvlJc w:val="left"/>
      <w:pPr>
        <w:ind w:left="2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5ED588">
      <w:start w:val="1"/>
      <w:numFmt w:val="lowerLetter"/>
      <w:lvlText w:val="%5"/>
      <w:lvlJc w:val="left"/>
      <w:pPr>
        <w:ind w:left="2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8C0A78">
      <w:start w:val="1"/>
      <w:numFmt w:val="lowerRoman"/>
      <w:lvlText w:val="%6"/>
      <w:lvlJc w:val="left"/>
      <w:pPr>
        <w:ind w:left="3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0C6500">
      <w:start w:val="1"/>
      <w:numFmt w:val="decimal"/>
      <w:lvlText w:val="%7"/>
      <w:lvlJc w:val="left"/>
      <w:pPr>
        <w:ind w:left="4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6A3720">
      <w:start w:val="1"/>
      <w:numFmt w:val="lowerLetter"/>
      <w:lvlText w:val="%8"/>
      <w:lvlJc w:val="left"/>
      <w:pPr>
        <w:ind w:left="4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7859F6">
      <w:start w:val="1"/>
      <w:numFmt w:val="lowerRoman"/>
      <w:lvlText w:val="%9"/>
      <w:lvlJc w:val="left"/>
      <w:pPr>
        <w:ind w:left="5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B6396A"/>
    <w:multiLevelType w:val="hybridMultilevel"/>
    <w:tmpl w:val="B3CE932C"/>
    <w:lvl w:ilvl="0" w:tplc="A4C24302">
      <w:start w:val="1"/>
      <w:numFmt w:val="decimal"/>
      <w:lvlText w:val="(%1)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EE233A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20D25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54F54E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62423FE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F6F652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9C9AB8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984114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EC8282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203774"/>
    <w:multiLevelType w:val="hybridMultilevel"/>
    <w:tmpl w:val="3718EF60"/>
    <w:lvl w:ilvl="0" w:tplc="F4DC35AE">
      <w:start w:val="1"/>
      <w:numFmt w:val="lowerLetter"/>
      <w:lvlText w:val="%1)"/>
      <w:lvlJc w:val="left"/>
      <w:pPr>
        <w:ind w:left="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C00F64">
      <w:start w:val="1"/>
      <w:numFmt w:val="lowerLetter"/>
      <w:lvlText w:val="%2"/>
      <w:lvlJc w:val="left"/>
      <w:pPr>
        <w:ind w:left="1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C845C0">
      <w:start w:val="1"/>
      <w:numFmt w:val="lowerRoman"/>
      <w:lvlText w:val="%3"/>
      <w:lvlJc w:val="left"/>
      <w:pPr>
        <w:ind w:left="2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5EA85A">
      <w:start w:val="1"/>
      <w:numFmt w:val="decimal"/>
      <w:lvlText w:val="%4"/>
      <w:lvlJc w:val="left"/>
      <w:pPr>
        <w:ind w:left="3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081D94">
      <w:start w:val="1"/>
      <w:numFmt w:val="lowerLetter"/>
      <w:lvlText w:val="%5"/>
      <w:lvlJc w:val="left"/>
      <w:pPr>
        <w:ind w:left="3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B05926">
      <w:start w:val="1"/>
      <w:numFmt w:val="lowerRoman"/>
      <w:lvlText w:val="%6"/>
      <w:lvlJc w:val="left"/>
      <w:pPr>
        <w:ind w:left="4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56CCC8">
      <w:start w:val="1"/>
      <w:numFmt w:val="decimal"/>
      <w:lvlText w:val="%7"/>
      <w:lvlJc w:val="left"/>
      <w:pPr>
        <w:ind w:left="5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B436E6">
      <w:start w:val="1"/>
      <w:numFmt w:val="lowerLetter"/>
      <w:lvlText w:val="%8"/>
      <w:lvlJc w:val="left"/>
      <w:pPr>
        <w:ind w:left="5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8C9606">
      <w:start w:val="1"/>
      <w:numFmt w:val="lowerRoman"/>
      <w:lvlText w:val="%9"/>
      <w:lvlJc w:val="left"/>
      <w:pPr>
        <w:ind w:left="6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2C2404"/>
    <w:multiLevelType w:val="hybridMultilevel"/>
    <w:tmpl w:val="C4B876E0"/>
    <w:lvl w:ilvl="0" w:tplc="0F7EBA5C">
      <w:start w:val="1"/>
      <w:numFmt w:val="lowerLetter"/>
      <w:lvlText w:val="%1)"/>
      <w:lvlJc w:val="left"/>
      <w:pPr>
        <w:ind w:left="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EE2F2E">
      <w:start w:val="1"/>
      <w:numFmt w:val="lowerLetter"/>
      <w:lvlText w:val="%2"/>
      <w:lvlJc w:val="left"/>
      <w:pPr>
        <w:ind w:left="1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7C84EE">
      <w:start w:val="1"/>
      <w:numFmt w:val="lowerRoman"/>
      <w:lvlText w:val="%3"/>
      <w:lvlJc w:val="left"/>
      <w:pPr>
        <w:ind w:left="2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A23B90">
      <w:start w:val="1"/>
      <w:numFmt w:val="decimal"/>
      <w:lvlText w:val="%4"/>
      <w:lvlJc w:val="left"/>
      <w:pPr>
        <w:ind w:left="3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3E2C48">
      <w:start w:val="1"/>
      <w:numFmt w:val="lowerLetter"/>
      <w:lvlText w:val="%5"/>
      <w:lvlJc w:val="left"/>
      <w:pPr>
        <w:ind w:left="3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5AF4B0">
      <w:start w:val="1"/>
      <w:numFmt w:val="lowerRoman"/>
      <w:lvlText w:val="%6"/>
      <w:lvlJc w:val="left"/>
      <w:pPr>
        <w:ind w:left="4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D65EB6">
      <w:start w:val="1"/>
      <w:numFmt w:val="decimal"/>
      <w:lvlText w:val="%7"/>
      <w:lvlJc w:val="left"/>
      <w:pPr>
        <w:ind w:left="5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83736">
      <w:start w:val="1"/>
      <w:numFmt w:val="lowerLetter"/>
      <w:lvlText w:val="%8"/>
      <w:lvlJc w:val="left"/>
      <w:pPr>
        <w:ind w:left="5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1EFF74">
      <w:start w:val="1"/>
      <w:numFmt w:val="lowerRoman"/>
      <w:lvlText w:val="%9"/>
      <w:lvlJc w:val="left"/>
      <w:pPr>
        <w:ind w:left="6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DE59BF"/>
    <w:multiLevelType w:val="hybridMultilevel"/>
    <w:tmpl w:val="64A0E80E"/>
    <w:lvl w:ilvl="0" w:tplc="FB5EE220">
      <w:start w:val="5"/>
      <w:numFmt w:val="lowerLetter"/>
      <w:lvlText w:val="%1)"/>
      <w:lvlJc w:val="left"/>
      <w:pPr>
        <w:ind w:left="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84A27A">
      <w:start w:val="1"/>
      <w:numFmt w:val="lowerLetter"/>
      <w:lvlText w:val="%2"/>
      <w:lvlJc w:val="left"/>
      <w:pPr>
        <w:ind w:left="1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E8542A">
      <w:start w:val="1"/>
      <w:numFmt w:val="lowerRoman"/>
      <w:lvlText w:val="%3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E85090">
      <w:start w:val="1"/>
      <w:numFmt w:val="decimal"/>
      <w:lvlText w:val="%4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206F8A">
      <w:start w:val="1"/>
      <w:numFmt w:val="lowerLetter"/>
      <w:lvlText w:val="%5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5209DA">
      <w:start w:val="1"/>
      <w:numFmt w:val="lowerRoman"/>
      <w:lvlText w:val="%6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0410A">
      <w:start w:val="1"/>
      <w:numFmt w:val="decimal"/>
      <w:lvlText w:val="%7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9A480C">
      <w:start w:val="1"/>
      <w:numFmt w:val="lowerLetter"/>
      <w:lvlText w:val="%8"/>
      <w:lvlJc w:val="left"/>
      <w:pPr>
        <w:ind w:left="5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DE2362">
      <w:start w:val="1"/>
      <w:numFmt w:val="lowerRoman"/>
      <w:lvlText w:val="%9"/>
      <w:lvlJc w:val="left"/>
      <w:pPr>
        <w:ind w:left="6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0A0263"/>
    <w:multiLevelType w:val="hybridMultilevel"/>
    <w:tmpl w:val="6B3E809A"/>
    <w:lvl w:ilvl="0" w:tplc="06F08414">
      <w:start w:val="4"/>
      <w:numFmt w:val="decimal"/>
      <w:lvlText w:val="(%1)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36E3B8">
      <w:start w:val="1"/>
      <w:numFmt w:val="lowerLetter"/>
      <w:lvlText w:val="%2"/>
      <w:lvlJc w:val="left"/>
      <w:pPr>
        <w:ind w:left="1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D82688">
      <w:start w:val="1"/>
      <w:numFmt w:val="lowerRoman"/>
      <w:lvlText w:val="%3"/>
      <w:lvlJc w:val="left"/>
      <w:pPr>
        <w:ind w:left="1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900966">
      <w:start w:val="1"/>
      <w:numFmt w:val="decimal"/>
      <w:lvlText w:val="%4"/>
      <w:lvlJc w:val="left"/>
      <w:pPr>
        <w:ind w:left="2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DE3CBA">
      <w:start w:val="1"/>
      <w:numFmt w:val="lowerLetter"/>
      <w:lvlText w:val="%5"/>
      <w:lvlJc w:val="left"/>
      <w:pPr>
        <w:ind w:left="3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7612E6">
      <w:start w:val="1"/>
      <w:numFmt w:val="lowerRoman"/>
      <w:lvlText w:val="%6"/>
      <w:lvlJc w:val="left"/>
      <w:pPr>
        <w:ind w:left="3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D0662C">
      <w:start w:val="1"/>
      <w:numFmt w:val="decimal"/>
      <w:lvlText w:val="%7"/>
      <w:lvlJc w:val="left"/>
      <w:pPr>
        <w:ind w:left="4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AA6CB8">
      <w:start w:val="1"/>
      <w:numFmt w:val="lowerLetter"/>
      <w:lvlText w:val="%8"/>
      <w:lvlJc w:val="left"/>
      <w:pPr>
        <w:ind w:left="5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0021F0">
      <w:start w:val="1"/>
      <w:numFmt w:val="lowerRoman"/>
      <w:lvlText w:val="%9"/>
      <w:lvlJc w:val="left"/>
      <w:pPr>
        <w:ind w:left="6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0066AC"/>
    <w:multiLevelType w:val="hybridMultilevel"/>
    <w:tmpl w:val="613CB358"/>
    <w:lvl w:ilvl="0" w:tplc="DB284D6E">
      <w:start w:val="2"/>
      <w:numFmt w:val="decimal"/>
      <w:lvlText w:val="%1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8D4E368">
      <w:start w:val="9"/>
      <w:numFmt w:val="lowerLetter"/>
      <w:lvlText w:val="%2)"/>
      <w:lvlJc w:val="left"/>
      <w:pPr>
        <w:ind w:left="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7EFEC2">
      <w:start w:val="1"/>
      <w:numFmt w:val="lowerRoman"/>
      <w:lvlText w:val="%3"/>
      <w:lvlJc w:val="left"/>
      <w:pPr>
        <w:ind w:left="1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14E35E">
      <w:start w:val="1"/>
      <w:numFmt w:val="decimal"/>
      <w:lvlText w:val="%4"/>
      <w:lvlJc w:val="left"/>
      <w:pPr>
        <w:ind w:left="2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AA522">
      <w:start w:val="1"/>
      <w:numFmt w:val="lowerLetter"/>
      <w:lvlText w:val="%5"/>
      <w:lvlJc w:val="left"/>
      <w:pPr>
        <w:ind w:left="3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0CCCA">
      <w:start w:val="1"/>
      <w:numFmt w:val="lowerRoman"/>
      <w:lvlText w:val="%6"/>
      <w:lvlJc w:val="left"/>
      <w:pPr>
        <w:ind w:left="3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1E3A42">
      <w:start w:val="1"/>
      <w:numFmt w:val="decimal"/>
      <w:lvlText w:val="%7"/>
      <w:lvlJc w:val="left"/>
      <w:pPr>
        <w:ind w:left="4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66A5F0">
      <w:start w:val="1"/>
      <w:numFmt w:val="lowerLetter"/>
      <w:lvlText w:val="%8"/>
      <w:lvlJc w:val="left"/>
      <w:pPr>
        <w:ind w:left="5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DA6CF0">
      <w:start w:val="1"/>
      <w:numFmt w:val="lowerRoman"/>
      <w:lvlText w:val="%9"/>
      <w:lvlJc w:val="left"/>
      <w:pPr>
        <w:ind w:left="5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7771AA"/>
    <w:multiLevelType w:val="hybridMultilevel"/>
    <w:tmpl w:val="A032242C"/>
    <w:lvl w:ilvl="0" w:tplc="306ADE9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D4BE14">
      <w:start w:val="1"/>
      <w:numFmt w:val="lowerLetter"/>
      <w:lvlText w:val="%2)"/>
      <w:lvlJc w:val="left"/>
      <w:pPr>
        <w:ind w:left="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7EC5C0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4C2C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408316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12AF3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8C41A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C40304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901C5A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900E05"/>
    <w:multiLevelType w:val="hybridMultilevel"/>
    <w:tmpl w:val="0AFA9CBC"/>
    <w:lvl w:ilvl="0" w:tplc="74AA226A">
      <w:start w:val="1"/>
      <w:numFmt w:val="decimal"/>
      <w:lvlText w:val="(%1)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EE2D5A">
      <w:start w:val="1"/>
      <w:numFmt w:val="lowerLetter"/>
      <w:lvlText w:val="%2)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3E4246">
      <w:start w:val="1"/>
      <w:numFmt w:val="lowerRoman"/>
      <w:lvlText w:val="%3"/>
      <w:lvlJc w:val="left"/>
      <w:pPr>
        <w:ind w:left="1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86184">
      <w:start w:val="1"/>
      <w:numFmt w:val="decimal"/>
      <w:lvlText w:val="%4"/>
      <w:lvlJc w:val="left"/>
      <w:pPr>
        <w:ind w:left="2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403350">
      <w:start w:val="1"/>
      <w:numFmt w:val="lowerLetter"/>
      <w:lvlText w:val="%5"/>
      <w:lvlJc w:val="left"/>
      <w:pPr>
        <w:ind w:left="3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90BFC6">
      <w:start w:val="1"/>
      <w:numFmt w:val="lowerRoman"/>
      <w:lvlText w:val="%6"/>
      <w:lvlJc w:val="left"/>
      <w:pPr>
        <w:ind w:left="3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422D24">
      <w:start w:val="1"/>
      <w:numFmt w:val="decimal"/>
      <w:lvlText w:val="%7"/>
      <w:lvlJc w:val="left"/>
      <w:pPr>
        <w:ind w:left="4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103158">
      <w:start w:val="1"/>
      <w:numFmt w:val="lowerLetter"/>
      <w:lvlText w:val="%8"/>
      <w:lvlJc w:val="left"/>
      <w:pPr>
        <w:ind w:left="5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E21A3C">
      <w:start w:val="1"/>
      <w:numFmt w:val="lowerRoman"/>
      <w:lvlText w:val="%9"/>
      <w:lvlJc w:val="left"/>
      <w:pPr>
        <w:ind w:left="5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9"/>
  </w:num>
  <w:num w:numId="6">
    <w:abstractNumId w:val="13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12"/>
  </w:num>
  <w:num w:numId="12">
    <w:abstractNumId w:val="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BA8"/>
    <w:rsid w:val="00BD4BFF"/>
    <w:rsid w:val="00E92BA8"/>
    <w:rsid w:val="00F5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5BF8B-E615-4879-924F-2DD7516E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2" w:line="227" w:lineRule="auto"/>
      <w:ind w:left="951" w:hanging="5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16" w:lineRule="auto"/>
      <w:ind w:left="2065" w:right="2113" w:firstLine="802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4095</Words>
  <Characters>24165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Sobotková</dc:creator>
  <cp:keywords/>
  <cp:lastModifiedBy>Daniela Sobotková</cp:lastModifiedBy>
  <cp:revision>2</cp:revision>
  <dcterms:created xsi:type="dcterms:W3CDTF">2019-02-12T08:44:00Z</dcterms:created>
  <dcterms:modified xsi:type="dcterms:W3CDTF">2019-02-12T08:44:00Z</dcterms:modified>
</cp:coreProperties>
</file>