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A0" w:rsidRDefault="00C57EA1">
      <w:pPr>
        <w:pStyle w:val="Zkladntext1"/>
        <w:shd w:val="clear" w:color="auto" w:fill="auto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Č.j.NG 143/2019</w:t>
      </w:r>
    </w:p>
    <w:p w:rsidR="00F462A0" w:rsidRDefault="00C57EA1">
      <w:pPr>
        <w:pStyle w:val="Zkladntext1"/>
        <w:shd w:val="clear" w:color="auto" w:fill="auto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F462A0" w:rsidRDefault="00C57EA1">
      <w:pPr>
        <w:pStyle w:val="Zkladntext1"/>
        <w:shd w:val="clear" w:color="auto" w:fill="auto"/>
        <w:spacing w:after="240"/>
        <w:jc w:val="both"/>
      </w:pPr>
      <w:r>
        <w:rPr>
          <w:b/>
          <w:bCs/>
        </w:rPr>
        <w:t>Smluvní strany:</w:t>
      </w:r>
    </w:p>
    <w:p w:rsidR="00F462A0" w:rsidRDefault="00C57EA1">
      <w:pPr>
        <w:pStyle w:val="Titulektabulky0"/>
        <w:shd w:val="clear" w:color="auto" w:fill="auto"/>
      </w:pPr>
      <w:r>
        <w:rPr>
          <w:b/>
          <w:bCs/>
        </w:rPr>
        <w:t>Národní galerie v Praze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6649"/>
      </w:tblGrid>
      <w:tr w:rsidR="00F462A0">
        <w:trPr>
          <w:trHeight w:hRule="exact" w:val="238"/>
        </w:trPr>
        <w:tc>
          <w:tcPr>
            <w:tcW w:w="1314" w:type="dxa"/>
            <w:shd w:val="clear" w:color="auto" w:fill="FFFFFF"/>
            <w:vAlign w:val="bottom"/>
          </w:tcPr>
          <w:p w:rsidR="00F462A0" w:rsidRDefault="00C57EA1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49" w:type="dxa"/>
            <w:shd w:val="clear" w:color="auto" w:fill="FFFFFF"/>
            <w:vAlign w:val="bottom"/>
          </w:tcPr>
          <w:p w:rsidR="00F462A0" w:rsidRDefault="00C57EA1">
            <w:pPr>
              <w:pStyle w:val="Jin0"/>
              <w:shd w:val="clear" w:color="auto" w:fill="auto"/>
            </w:pPr>
            <w:r>
              <w:t>Staroměstské nám. 12, 110 15 Praha 1</w:t>
            </w:r>
          </w:p>
        </w:tc>
      </w:tr>
      <w:tr w:rsidR="00F462A0">
        <w:trPr>
          <w:trHeight w:hRule="exact" w:val="511"/>
        </w:trPr>
        <w:tc>
          <w:tcPr>
            <w:tcW w:w="1314" w:type="dxa"/>
            <w:shd w:val="clear" w:color="auto" w:fill="FFFFFF"/>
          </w:tcPr>
          <w:p w:rsidR="00F462A0" w:rsidRDefault="00C57EA1">
            <w:pPr>
              <w:pStyle w:val="Jin0"/>
              <w:shd w:val="clear" w:color="auto" w:fill="auto"/>
            </w:pPr>
            <w:r>
              <w:t>IČ:</w:t>
            </w:r>
          </w:p>
          <w:p w:rsidR="00F462A0" w:rsidRDefault="00C57EA1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649" w:type="dxa"/>
            <w:shd w:val="clear" w:color="auto" w:fill="FFFFFF"/>
          </w:tcPr>
          <w:p w:rsidR="00F462A0" w:rsidRDefault="00C57EA1">
            <w:pPr>
              <w:pStyle w:val="Jin0"/>
              <w:shd w:val="clear" w:color="auto" w:fill="auto"/>
            </w:pPr>
            <w:r>
              <w:t>00023281</w:t>
            </w:r>
          </w:p>
          <w:p w:rsidR="00F462A0" w:rsidRDefault="00C57EA1">
            <w:pPr>
              <w:pStyle w:val="Jin0"/>
              <w:shd w:val="clear" w:color="auto" w:fill="auto"/>
            </w:pPr>
            <w:r>
              <w:t>CZ00023281</w:t>
            </w:r>
          </w:p>
        </w:tc>
      </w:tr>
      <w:tr w:rsidR="00F462A0">
        <w:trPr>
          <w:trHeight w:hRule="exact" w:val="270"/>
        </w:trPr>
        <w:tc>
          <w:tcPr>
            <w:tcW w:w="1314" w:type="dxa"/>
            <w:shd w:val="clear" w:color="auto" w:fill="FFFFFF"/>
            <w:vAlign w:val="bottom"/>
          </w:tcPr>
          <w:p w:rsidR="00F462A0" w:rsidRDefault="00C57EA1">
            <w:pPr>
              <w:pStyle w:val="Jin0"/>
              <w:shd w:val="clear" w:color="auto" w:fill="auto"/>
            </w:pPr>
            <w:r>
              <w:t>zastoupená:</w:t>
            </w:r>
          </w:p>
        </w:tc>
        <w:tc>
          <w:tcPr>
            <w:tcW w:w="6649" w:type="dxa"/>
            <w:shd w:val="clear" w:color="auto" w:fill="FFFFFF"/>
            <w:vAlign w:val="bottom"/>
          </w:tcPr>
          <w:p w:rsidR="00F462A0" w:rsidRDefault="00C57EA1">
            <w:pPr>
              <w:pStyle w:val="Jin0"/>
              <w:shd w:val="clear" w:color="auto" w:fill="auto"/>
            </w:pPr>
            <w:r>
              <w:t>PhDr. Markem Novobílskýn, vedoucím Obchodního odboru</w:t>
            </w:r>
          </w:p>
        </w:tc>
      </w:tr>
    </w:tbl>
    <w:p w:rsidR="00F462A0" w:rsidRDefault="00C57EA1">
      <w:pPr>
        <w:pStyle w:val="Titulektabulky0"/>
        <w:shd w:val="clear" w:color="auto" w:fill="auto"/>
      </w:pPr>
      <w:r>
        <w:t xml:space="preserve">bankovní spojení: </w:t>
      </w:r>
      <w:r w:rsidR="001C6300">
        <w:t>XXXXXXXXXX</w:t>
      </w:r>
    </w:p>
    <w:p w:rsidR="00F462A0" w:rsidRDefault="00C57EA1">
      <w:pPr>
        <w:pStyle w:val="Titulektabulky0"/>
        <w:shd w:val="clear" w:color="auto" w:fill="auto"/>
        <w:tabs>
          <w:tab w:val="left" w:pos="1411"/>
        </w:tabs>
      </w:pPr>
      <w:r>
        <w:t>č. účtu:</w:t>
      </w:r>
      <w:r>
        <w:tab/>
      </w:r>
      <w:r w:rsidR="001C6300">
        <w:t>XXXXXXXXXXXXX</w:t>
      </w:r>
    </w:p>
    <w:p w:rsidR="00F462A0" w:rsidRDefault="00F462A0">
      <w:pPr>
        <w:spacing w:after="299" w:line="1" w:lineRule="exact"/>
      </w:pPr>
    </w:p>
    <w:p w:rsidR="00F462A0" w:rsidRDefault="00C57EA1">
      <w:pPr>
        <w:pStyle w:val="Zkladntext1"/>
        <w:shd w:val="clear" w:color="auto" w:fill="auto"/>
        <w:spacing w:after="240"/>
        <w:jc w:val="both"/>
      </w:pPr>
      <w:r>
        <w:t xml:space="preserve">(dále jen </w:t>
      </w:r>
      <w:r>
        <w:rPr>
          <w:b/>
          <w:bCs/>
        </w:rPr>
        <w:t xml:space="preserve">„Pronajímatel“ </w:t>
      </w:r>
      <w:r>
        <w:t xml:space="preserve">nebo </w:t>
      </w:r>
      <w:r>
        <w:rPr>
          <w:b/>
          <w:bCs/>
        </w:rPr>
        <w:t>„NG“)</w:t>
      </w:r>
    </w:p>
    <w:p w:rsidR="00F462A0" w:rsidRDefault="00C57EA1">
      <w:pPr>
        <w:pStyle w:val="Zkladntext1"/>
        <w:shd w:val="clear" w:color="auto" w:fill="auto"/>
        <w:spacing w:after="300"/>
        <w:jc w:val="both"/>
      </w:pPr>
      <w:r>
        <w:t>a</w:t>
      </w:r>
    </w:p>
    <w:p w:rsidR="00F462A0" w:rsidRDefault="00C57EA1">
      <w:pPr>
        <w:pStyle w:val="Titulektabulky0"/>
        <w:shd w:val="clear" w:color="auto" w:fill="auto"/>
      </w:pPr>
      <w:r>
        <w:rPr>
          <w:b/>
          <w:bCs/>
        </w:rPr>
        <w:t>Golem, spol. s r.o.</w:t>
      </w:r>
    </w:p>
    <w:p w:rsidR="00F462A0" w:rsidRDefault="00C57EA1">
      <w:pPr>
        <w:pStyle w:val="Titulektabulky0"/>
        <w:shd w:val="clear" w:color="auto" w:fill="auto"/>
      </w:pPr>
      <w:r>
        <w:t>zapsaná v obchodním rejstříku vedeném Městským soudem v Praze, oddíl C, vložka 8815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6649"/>
      </w:tblGrid>
      <w:tr w:rsidR="00F462A0">
        <w:trPr>
          <w:trHeight w:hRule="exact" w:val="238"/>
        </w:trPr>
        <w:tc>
          <w:tcPr>
            <w:tcW w:w="1314" w:type="dxa"/>
            <w:shd w:val="clear" w:color="auto" w:fill="FFFFFF"/>
          </w:tcPr>
          <w:p w:rsidR="00F462A0" w:rsidRDefault="00C57EA1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49" w:type="dxa"/>
            <w:shd w:val="clear" w:color="auto" w:fill="FFFFFF"/>
          </w:tcPr>
          <w:p w:rsidR="00F462A0" w:rsidRDefault="00C57EA1">
            <w:pPr>
              <w:pStyle w:val="Jin0"/>
              <w:shd w:val="clear" w:color="auto" w:fill="auto"/>
            </w:pPr>
            <w:r>
              <w:t>Nad Vršovskou horou 88/4, 101 00 Praha 10</w:t>
            </w:r>
          </w:p>
        </w:tc>
      </w:tr>
      <w:tr w:rsidR="00F462A0">
        <w:trPr>
          <w:trHeight w:hRule="exact" w:val="490"/>
        </w:trPr>
        <w:tc>
          <w:tcPr>
            <w:tcW w:w="1314" w:type="dxa"/>
            <w:shd w:val="clear" w:color="auto" w:fill="FFFFFF"/>
          </w:tcPr>
          <w:p w:rsidR="00F462A0" w:rsidRDefault="00C57EA1">
            <w:pPr>
              <w:pStyle w:val="Jin0"/>
              <w:shd w:val="clear" w:color="auto" w:fill="auto"/>
            </w:pPr>
            <w:r>
              <w:t>IČ:</w:t>
            </w:r>
          </w:p>
          <w:p w:rsidR="00F462A0" w:rsidRDefault="00C57EA1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649" w:type="dxa"/>
            <w:shd w:val="clear" w:color="auto" w:fill="FFFFFF"/>
          </w:tcPr>
          <w:p w:rsidR="00F462A0" w:rsidRDefault="00C57EA1">
            <w:pPr>
              <w:pStyle w:val="Jin0"/>
              <w:shd w:val="clear" w:color="auto" w:fill="auto"/>
            </w:pPr>
            <w:r>
              <w:t>45311617</w:t>
            </w:r>
          </w:p>
          <w:p w:rsidR="00F462A0" w:rsidRDefault="00C57EA1">
            <w:pPr>
              <w:pStyle w:val="Jin0"/>
              <w:shd w:val="clear" w:color="auto" w:fill="auto"/>
            </w:pPr>
            <w:r>
              <w:t>CZ45311617</w:t>
            </w:r>
          </w:p>
        </w:tc>
      </w:tr>
    </w:tbl>
    <w:p w:rsidR="00F462A0" w:rsidRDefault="00C57EA1">
      <w:pPr>
        <w:pStyle w:val="Zkladntext1"/>
        <w:shd w:val="clear" w:color="auto" w:fill="auto"/>
        <w:tabs>
          <w:tab w:val="left" w:pos="1390"/>
        </w:tabs>
      </w:pPr>
      <w:r>
        <w:t>zastoupená:</w:t>
      </w:r>
      <w:r>
        <w:tab/>
      </w:r>
      <w:r w:rsidR="00986BC0">
        <w:t>XXXXXXXXXXXXXX</w:t>
      </w:r>
      <w:bookmarkStart w:id="0" w:name="_GoBack"/>
      <w:bookmarkEnd w:id="0"/>
      <w:r>
        <w:t>, jednatelem</w:t>
      </w:r>
    </w:p>
    <w:p w:rsidR="00F462A0" w:rsidRDefault="00C57EA1">
      <w:pPr>
        <w:pStyle w:val="Zkladntext1"/>
        <w:shd w:val="clear" w:color="auto" w:fill="auto"/>
      </w:pPr>
      <w:r>
        <w:t xml:space="preserve">bankovní spojení: </w:t>
      </w:r>
      <w:r w:rsidR="001C6300">
        <w:t>XXXXXX</w:t>
      </w:r>
    </w:p>
    <w:p w:rsidR="00F462A0" w:rsidRDefault="00C57EA1">
      <w:pPr>
        <w:pStyle w:val="Zkladntext1"/>
        <w:shd w:val="clear" w:color="auto" w:fill="auto"/>
        <w:tabs>
          <w:tab w:val="left" w:pos="1390"/>
        </w:tabs>
        <w:spacing w:after="240"/>
      </w:pPr>
      <w:r>
        <w:t>č. účtu:</w:t>
      </w:r>
      <w:r>
        <w:tab/>
      </w:r>
      <w:r w:rsidR="001C6300">
        <w:t>XXXXXXXXXXX</w:t>
      </w:r>
    </w:p>
    <w:p w:rsidR="00F462A0" w:rsidRDefault="00C57EA1">
      <w:pPr>
        <w:pStyle w:val="Zkladntext1"/>
        <w:shd w:val="clear" w:color="auto" w:fill="auto"/>
        <w:spacing w:after="860"/>
      </w:pPr>
      <w:r>
        <w:t xml:space="preserve">(dále jen </w:t>
      </w:r>
      <w:r>
        <w:rPr>
          <w:b/>
          <w:bCs/>
        </w:rPr>
        <w:t>„Nájemce“)</w:t>
      </w:r>
    </w:p>
    <w:p w:rsidR="00F462A0" w:rsidRDefault="00C57EA1">
      <w:pPr>
        <w:pStyle w:val="Zkladntext1"/>
        <w:shd w:val="clear" w:color="auto" w:fill="auto"/>
        <w:spacing w:after="80"/>
        <w:jc w:val="center"/>
      </w:pPr>
      <w:r>
        <w:rPr>
          <w:b/>
          <w:bCs/>
        </w:rPr>
        <w:t>dohodu o vypořádání bezdůvodného obohacení</w:t>
      </w:r>
    </w:p>
    <w:p w:rsidR="00F462A0" w:rsidRDefault="00C57EA1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F462A0" w:rsidRDefault="00C57EA1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t>Úvodní ustanovení</w:t>
      </w:r>
      <w:bookmarkEnd w:id="1"/>
      <w:bookmarkEnd w:id="2"/>
    </w:p>
    <w:p w:rsidR="00F462A0" w:rsidRDefault="00C57EA1">
      <w:pPr>
        <w:pStyle w:val="Zkladntext1"/>
        <w:numPr>
          <w:ilvl w:val="0"/>
          <w:numId w:val="1"/>
        </w:numPr>
        <w:shd w:val="clear" w:color="auto" w:fill="auto"/>
        <w:tabs>
          <w:tab w:val="left" w:pos="546"/>
        </w:tabs>
        <w:ind w:left="600" w:hanging="600"/>
        <w:jc w:val="both"/>
      </w:pPr>
      <w:r>
        <w:t>Na základě smlouvy o nájmu prostoru sloužícího k podnikání čj. NG 1617/2018 ze dne 17.9.2018 (dále jen smlouva), přenechala NG za sjednané nájemné Nájemci do krátkodobého nájmu prostory Anežského kláštera (dále jen „prostory sloužící k podnikání“), a to za účelem uspořádání akce blíže specifikované ve smlouvě.</w:t>
      </w:r>
    </w:p>
    <w:p w:rsidR="00F462A0" w:rsidRDefault="00C57EA1">
      <w:pPr>
        <w:pStyle w:val="Zkladntext1"/>
        <w:numPr>
          <w:ilvl w:val="0"/>
          <w:numId w:val="1"/>
        </w:numPr>
        <w:shd w:val="clear" w:color="auto" w:fill="auto"/>
        <w:tabs>
          <w:tab w:val="left" w:pos="546"/>
        </w:tabs>
      </w:pPr>
      <w:r>
        <w:t>Předmětná smlouva tvoří Přílohu této dohody.</w:t>
      </w:r>
    </w:p>
    <w:p w:rsidR="00F462A0" w:rsidRDefault="00C57EA1">
      <w:pPr>
        <w:pStyle w:val="Zkladntext1"/>
        <w:numPr>
          <w:ilvl w:val="0"/>
          <w:numId w:val="1"/>
        </w:numPr>
        <w:shd w:val="clear" w:color="auto" w:fill="auto"/>
        <w:tabs>
          <w:tab w:val="left" w:pos="546"/>
        </w:tabs>
        <w:ind w:left="600" w:hanging="600"/>
        <w:jc w:val="both"/>
      </w:pPr>
      <w:r>
        <w:t>Smluvní strany po uzavření smlouvy zahájily vzájemná plnění, dle smlouvy bylo řádně plněno a byl tak oboustranně naplněn účel smlouvy.</w:t>
      </w:r>
    </w:p>
    <w:p w:rsidR="00F462A0" w:rsidRDefault="00C57EA1">
      <w:pPr>
        <w:pStyle w:val="Zkladntext1"/>
        <w:numPr>
          <w:ilvl w:val="0"/>
          <w:numId w:val="1"/>
        </w:numPr>
        <w:shd w:val="clear" w:color="auto" w:fill="auto"/>
        <w:tabs>
          <w:tab w:val="left" w:pos="546"/>
        </w:tabs>
        <w:spacing w:after="240"/>
        <w:ind w:left="600" w:hanging="600"/>
        <w:jc w:val="both"/>
      </w:pPr>
      <w:r>
        <w:t>Dodatečně bylo ze strany NG zjištěno, že nebyla splněna podmínka uveřejnění smlouvy postupem podle zákona č. 340/2015 Sb., o zvláštních podmínkách účinnosti některých smluv, uveřejňování těchto smluv a registru smluv (dále jen „ZRS"), ve znění pozdějších předpisů, a došlo ke zrušení smlouvy od počátku dle § 7 odst. 1 ZRS.</w:t>
      </w:r>
    </w:p>
    <w:p w:rsidR="00F462A0" w:rsidRDefault="00C57EA1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F462A0" w:rsidRDefault="00C57EA1">
      <w:pPr>
        <w:pStyle w:val="Nadpis10"/>
        <w:keepNext/>
        <w:keepLines/>
        <w:shd w:val="clear" w:color="auto" w:fill="auto"/>
      </w:pPr>
      <w:bookmarkStart w:id="3" w:name="bookmark2"/>
      <w:bookmarkStart w:id="4" w:name="bookmark3"/>
      <w:r>
        <w:t>Vypořádání bezdůvodného obohacení</w:t>
      </w:r>
      <w:bookmarkEnd w:id="3"/>
      <w:bookmarkEnd w:id="4"/>
    </w:p>
    <w:p w:rsidR="00F462A0" w:rsidRDefault="00C57EA1">
      <w:pPr>
        <w:pStyle w:val="Zkladntext1"/>
        <w:numPr>
          <w:ilvl w:val="0"/>
          <w:numId w:val="2"/>
        </w:numPr>
        <w:shd w:val="clear" w:color="auto" w:fill="auto"/>
        <w:tabs>
          <w:tab w:val="left" w:pos="546"/>
        </w:tabs>
        <w:jc w:val="both"/>
      </w:pPr>
      <w:r>
        <w:t>Navzájem poskytnutá plnění ze smlouvy ve formě přenechání prostor sloužících k podnikání do</w:t>
      </w:r>
    </w:p>
    <w:p w:rsidR="00F462A0" w:rsidRDefault="00C57EA1">
      <w:pPr>
        <w:pStyle w:val="Zkladntext1"/>
        <w:shd w:val="clear" w:color="auto" w:fill="auto"/>
        <w:ind w:left="600" w:firstLine="20"/>
        <w:jc w:val="both"/>
      </w:pPr>
      <w:r>
        <w:t>krátkodobého nájmu (v termínu od 19.9.2018 do 20.9.2018) Pronajímatelem Nájemci a zaplacení částky v celkové výši 98.025,- Kč vč. DPH ze strany Nájemce Pronajímateli, jakožto ceny za nájemné a služby spojené s nájmem, představují bezdůvodné obohacení ve formě plnění ze zrušeného závazku ve smyslu ustanovení § 2993 OZ a strany této dohody mají povinnost si poskytnutá plnění vrátit.</w:t>
      </w:r>
    </w:p>
    <w:p w:rsidR="00F462A0" w:rsidRDefault="00C57EA1">
      <w:pPr>
        <w:pStyle w:val="Zkladntext1"/>
        <w:numPr>
          <w:ilvl w:val="0"/>
          <w:numId w:val="2"/>
        </w:numPr>
        <w:shd w:val="clear" w:color="auto" w:fill="auto"/>
        <w:tabs>
          <w:tab w:val="left" w:pos="546"/>
        </w:tabs>
        <w:ind w:left="600" w:hanging="600"/>
        <w:jc w:val="both"/>
      </w:pPr>
      <w:r>
        <w:t>Pronajímatel má povinnost vrátit Nájemci obdrženou cenu za nájemné a služby spojené s nájmem v celkové výši 98.025,- Kč vč. DPH.</w:t>
      </w:r>
    </w:p>
    <w:p w:rsidR="00F462A0" w:rsidRDefault="00C57EA1">
      <w:pPr>
        <w:pStyle w:val="Zkladntext1"/>
        <w:numPr>
          <w:ilvl w:val="0"/>
          <w:numId w:val="2"/>
        </w:numPr>
        <w:shd w:val="clear" w:color="auto" w:fill="auto"/>
        <w:tabs>
          <w:tab w:val="left" w:pos="546"/>
        </w:tabs>
        <w:ind w:left="600" w:hanging="600"/>
        <w:jc w:val="both"/>
      </w:pPr>
      <w:r>
        <w:t>Jelikož plnění Pronajímatele spočívající v přenechání prostor sloužících k podnikání do krátkodobého nájmu nelze ze strany Nájemce vrátit a Pronajímatel plnil za úplatu, má Pronajímatel</w:t>
      </w:r>
      <w:r>
        <w:br w:type="page"/>
      </w:r>
      <w:r>
        <w:lastRenderedPageBreak/>
        <w:t>dle ustanovení § 2999 odst. 2 OZ vůči Nájemci právo na poskytnutí náhrady za bezdůvodné obohacení ve výši sjednané úplaty. Nájemce má tedy povinnost poskytnout Pronajímateli náhradu ve výši úplaty v celkové výši 98.025,- Kč vč. DPH.</w:t>
      </w:r>
    </w:p>
    <w:p w:rsidR="00F462A0" w:rsidRDefault="00C57EA1">
      <w:pPr>
        <w:pStyle w:val="Zkladntext1"/>
        <w:numPr>
          <w:ilvl w:val="0"/>
          <w:numId w:val="2"/>
        </w:numPr>
        <w:shd w:val="clear" w:color="auto" w:fill="auto"/>
        <w:tabs>
          <w:tab w:val="left" w:pos="514"/>
        </w:tabs>
        <w:ind w:left="580" w:hanging="580"/>
        <w:jc w:val="both"/>
      </w:pPr>
      <w:r>
        <w:t xml:space="preserve">Strany dohody si tímto ujednaly vypořádání bezdůvodného obohacení dle odst. 1 tohoto čl. II této dohody tak, že v souladu s ustanovením § 1982 odst. 1 a 2 OZ tyto své vzájemné pohledávky, tj. pohledávku Nájemce vůči Pronajímateli ve výši 98.025,- Kč vč. DPH specifikovanou v odst. 2 tohoto čl. II této dohody a pohledávku Pronajímatele vůči Nájemci ve výši 98.025,- Kč vč. DPH specifikovanou v odst. </w:t>
      </w:r>
      <w:r>
        <w:rPr>
          <w:i/>
          <w:iCs/>
        </w:rPr>
        <w:t>3</w:t>
      </w:r>
      <w:r>
        <w:t xml:space="preserve"> tohoto čl. II této dohody, započtou beze zbytku.</w:t>
      </w:r>
    </w:p>
    <w:p w:rsidR="00F462A0" w:rsidRDefault="00C57EA1">
      <w:pPr>
        <w:pStyle w:val="Zkladntext1"/>
        <w:numPr>
          <w:ilvl w:val="0"/>
          <w:numId w:val="2"/>
        </w:numPr>
        <w:shd w:val="clear" w:color="auto" w:fill="auto"/>
        <w:tabs>
          <w:tab w:val="left" w:pos="514"/>
        </w:tabs>
        <w:ind w:left="580" w:hanging="580"/>
        <w:jc w:val="both"/>
      </w:pPr>
      <w:r>
        <w:t>Každá ze stran dohody prohlašuje, že se neobohatila na úkor druhé strany dohody a jednala v dobré víře.</w:t>
      </w:r>
    </w:p>
    <w:p w:rsidR="00F462A0" w:rsidRDefault="00C57EA1">
      <w:pPr>
        <w:pStyle w:val="Zkladntext1"/>
        <w:numPr>
          <w:ilvl w:val="0"/>
          <w:numId w:val="2"/>
        </w:numPr>
        <w:shd w:val="clear" w:color="auto" w:fill="auto"/>
        <w:tabs>
          <w:tab w:val="left" w:pos="514"/>
        </w:tabs>
        <w:spacing w:after="240"/>
        <w:ind w:left="580" w:hanging="580"/>
        <w:jc w:val="both"/>
      </w:pPr>
      <w:r>
        <w:t>Strany této dohody shodně prohlašují, že po splnění závazků z čl. II této dohody budou veškeré jejich vzájemné závazky a pohledávky vyplývající ze smlouvy zcela vypořádané, a že nebudou mít z uvedených titulů vůči sobě navzájem žádných dalších nároků, pohledávek a závazků.</w:t>
      </w:r>
    </w:p>
    <w:p w:rsidR="00F462A0" w:rsidRDefault="00C57EA1">
      <w:pPr>
        <w:pStyle w:val="Zkladntext1"/>
        <w:shd w:val="clear" w:color="auto" w:fill="auto"/>
        <w:jc w:val="center"/>
      </w:pPr>
      <w:r>
        <w:rPr>
          <w:b/>
          <w:bCs/>
        </w:rPr>
        <w:t>III</w:t>
      </w:r>
    </w:p>
    <w:p w:rsidR="00F462A0" w:rsidRDefault="00C57EA1">
      <w:pPr>
        <w:pStyle w:val="Nadpis10"/>
        <w:keepNext/>
        <w:keepLines/>
        <w:shd w:val="clear" w:color="auto" w:fill="auto"/>
      </w:pPr>
      <w:bookmarkStart w:id="5" w:name="bookmark4"/>
      <w:bookmarkStart w:id="6" w:name="bookmark5"/>
      <w:r>
        <w:t>Závěrečná ustanovení</w:t>
      </w:r>
      <w:bookmarkEnd w:id="5"/>
      <w:bookmarkEnd w:id="6"/>
    </w:p>
    <w:p w:rsidR="00F462A0" w:rsidRDefault="00C57EA1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580" w:hanging="580"/>
        <w:jc w:val="both"/>
      </w:pPr>
      <w:r>
        <w:t>Vzájemná práva a povinnost stran dohod v této dohodě výslovně neupravená se řídí příslušnými právními předpisy, zejména občanským zákoníkem.</w:t>
      </w:r>
    </w:p>
    <w:p w:rsidR="00F462A0" w:rsidRDefault="00C57EA1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t>Přílohou této dohody je smlouva (smlouva č.j. NG 1617/2018 ze dne 17.9.2018)</w:t>
      </w:r>
    </w:p>
    <w:p w:rsidR="00F462A0" w:rsidRDefault="00C57EA1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t>Tato dohoda podléhá uveřejnění v registru smluv dle § 2 odst. 1 písm. c) ZRS.</w:t>
      </w:r>
    </w:p>
    <w:p w:rsidR="00F462A0" w:rsidRDefault="00C57EA1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580" w:hanging="580"/>
        <w:jc w:val="both"/>
      </w:pPr>
      <w:r>
        <w:t>Strany dohody si ujednaly, že uveřejnění této dohody dle odst. 3 tohoto čl. III této dohody provede NG, a to ve lhůtě 30 dnů od jejího uzavření dle § 5 odst. 2 ZRS.</w:t>
      </w:r>
    </w:p>
    <w:p w:rsidR="00F462A0" w:rsidRDefault="00C57EA1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580" w:hanging="580"/>
        <w:jc w:val="both"/>
      </w:pPr>
      <w:r>
        <w:t>Tato dohoda je uzavřena k datu podpisu poslední strany dohody a nabývá účinnosti dnem uveřejnění v registru smluv dle § 6 odst. 1 ZRS.</w:t>
      </w:r>
    </w:p>
    <w:p w:rsidR="00F462A0" w:rsidRDefault="00C57EA1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580" w:hanging="580"/>
        <w:jc w:val="both"/>
        <w:sectPr w:rsidR="00F462A0">
          <w:footerReference w:type="default" r:id="rId7"/>
          <w:pgSz w:w="11900" w:h="16840"/>
          <w:pgMar w:top="628" w:right="1117" w:bottom="532" w:left="1343" w:header="200" w:footer="3" w:gutter="0"/>
          <w:pgNumType w:start="1"/>
          <w:cols w:space="720"/>
          <w:noEndnote/>
          <w:docGrid w:linePitch="360"/>
        </w:sectPr>
      </w:pPr>
      <w:r>
        <w:t>Tato dohoda je vyhotovena ve dvou stejnopisech, z nichž po jednom stejnopisu obdrží každá strana dohody.</w:t>
      </w:r>
    </w:p>
    <w:p w:rsidR="00F462A0" w:rsidRDefault="00F462A0">
      <w:pPr>
        <w:spacing w:line="240" w:lineRule="exact"/>
        <w:rPr>
          <w:sz w:val="19"/>
          <w:szCs w:val="19"/>
        </w:rPr>
      </w:pPr>
    </w:p>
    <w:p w:rsidR="00F462A0" w:rsidRDefault="00F462A0">
      <w:pPr>
        <w:spacing w:line="240" w:lineRule="exact"/>
        <w:rPr>
          <w:sz w:val="19"/>
          <w:szCs w:val="19"/>
        </w:rPr>
      </w:pPr>
    </w:p>
    <w:p w:rsidR="00F462A0" w:rsidRDefault="00F462A0">
      <w:pPr>
        <w:spacing w:before="69" w:after="69" w:line="240" w:lineRule="exact"/>
        <w:rPr>
          <w:sz w:val="19"/>
          <w:szCs w:val="19"/>
        </w:rPr>
      </w:pPr>
    </w:p>
    <w:p w:rsidR="00F462A0" w:rsidRDefault="00F462A0">
      <w:pPr>
        <w:spacing w:line="1" w:lineRule="exact"/>
        <w:sectPr w:rsidR="00F462A0">
          <w:type w:val="continuous"/>
          <w:pgSz w:w="11900" w:h="16840"/>
          <w:pgMar w:top="795" w:right="0" w:bottom="439" w:left="0" w:header="0" w:footer="3" w:gutter="0"/>
          <w:cols w:space="720"/>
          <w:noEndnote/>
          <w:docGrid w:linePitch="360"/>
        </w:sectPr>
      </w:pPr>
    </w:p>
    <w:p w:rsidR="00F462A0" w:rsidRDefault="00C57EA1" w:rsidP="001C6300">
      <w:pPr>
        <w:pStyle w:val="Titulekobrzku0"/>
        <w:framePr w:w="8995" w:h="3526" w:wrap="none" w:vAnchor="text" w:hAnchor="page" w:x="1368" w:y="18"/>
        <w:shd w:val="clear" w:color="auto" w:fill="auto"/>
      </w:pPr>
      <w:r>
        <w:t xml:space="preserve">V Praze dne: </w:t>
      </w:r>
      <w:r w:rsidR="001C6300">
        <w:t xml:space="preserve">  29/1/19</w:t>
      </w:r>
      <w:r w:rsidR="001C6300">
        <w:tab/>
      </w:r>
      <w:r w:rsidR="001C6300">
        <w:tab/>
      </w:r>
      <w:r w:rsidR="001C6300">
        <w:tab/>
      </w:r>
      <w:r w:rsidR="001C6300">
        <w:tab/>
      </w:r>
      <w:r w:rsidR="001C6300">
        <w:tab/>
      </w:r>
      <w:r w:rsidR="001C6300">
        <w:tab/>
      </w:r>
      <w:r w:rsidR="001C6300">
        <w:tab/>
        <w:t>V Praze dne:</w:t>
      </w:r>
    </w:p>
    <w:p w:rsidR="001C6300" w:rsidRDefault="001C6300" w:rsidP="001C6300">
      <w:pPr>
        <w:pStyle w:val="Titulekobrzku0"/>
        <w:framePr w:w="8995" w:h="3526" w:wrap="none" w:vAnchor="text" w:hAnchor="page" w:x="1368" w:y="18"/>
        <w:shd w:val="clear" w:color="auto" w:fill="auto"/>
      </w:pPr>
    </w:p>
    <w:p w:rsidR="001C6300" w:rsidRDefault="001C6300" w:rsidP="001C6300">
      <w:pPr>
        <w:pStyle w:val="Titulekobrzku0"/>
        <w:framePr w:w="8995" w:h="3526" w:wrap="none" w:vAnchor="text" w:hAnchor="page" w:x="1368" w:y="18"/>
        <w:shd w:val="clear" w:color="auto" w:fill="auto"/>
      </w:pPr>
    </w:p>
    <w:p w:rsidR="001C6300" w:rsidRDefault="001C6300" w:rsidP="001C6300">
      <w:pPr>
        <w:pStyle w:val="Titulekobrzku0"/>
        <w:framePr w:w="8995" w:h="3526" w:wrap="none" w:vAnchor="text" w:hAnchor="page" w:x="1368" w:y="18"/>
        <w:shd w:val="clear" w:color="auto" w:fill="auto"/>
      </w:pPr>
    </w:p>
    <w:p w:rsidR="001C6300" w:rsidRDefault="001C6300" w:rsidP="001C6300">
      <w:pPr>
        <w:pStyle w:val="Titulekobrzku0"/>
        <w:framePr w:w="8995" w:h="3526" w:wrap="none" w:vAnchor="text" w:hAnchor="page" w:x="1368" w:y="18"/>
        <w:shd w:val="clear" w:color="auto" w:fill="auto"/>
      </w:pPr>
    </w:p>
    <w:p w:rsidR="001C6300" w:rsidRDefault="001C6300" w:rsidP="001C6300">
      <w:pPr>
        <w:pStyle w:val="Titulekobrzku0"/>
        <w:framePr w:w="8995" w:h="3526" w:wrap="none" w:vAnchor="text" w:hAnchor="page" w:x="1368" w:y="18"/>
        <w:shd w:val="clear" w:color="auto" w:fill="auto"/>
      </w:pPr>
    </w:p>
    <w:p w:rsidR="001C6300" w:rsidRDefault="001C6300" w:rsidP="001C6300">
      <w:pPr>
        <w:pStyle w:val="Titulekobrzku0"/>
        <w:framePr w:w="8995" w:h="3526" w:wrap="none" w:vAnchor="text" w:hAnchor="page" w:x="1368" w:y="18"/>
        <w:shd w:val="clear" w:color="auto" w:fill="auto"/>
      </w:pPr>
    </w:p>
    <w:p w:rsidR="001C6300" w:rsidRDefault="001C6300" w:rsidP="001C6300">
      <w:pPr>
        <w:pStyle w:val="Titulekobrzku0"/>
        <w:framePr w:w="8995" w:h="3526" w:wrap="none" w:vAnchor="text" w:hAnchor="page" w:x="1368" w:y="18"/>
        <w:shd w:val="clear" w:color="auto" w:fill="auto"/>
      </w:pPr>
      <w:r>
        <w:t>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</w:t>
      </w:r>
      <w:r w:rsidR="007E3A1C">
        <w:t>á</w:t>
      </w:r>
      <w:r>
        <w:t>jemce</w:t>
      </w:r>
    </w:p>
    <w:p w:rsidR="00F462A0" w:rsidRDefault="00F462A0">
      <w:pPr>
        <w:spacing w:line="360" w:lineRule="exact"/>
      </w:pPr>
    </w:p>
    <w:p w:rsidR="00F462A0" w:rsidRDefault="00F462A0">
      <w:pPr>
        <w:spacing w:line="360" w:lineRule="exact"/>
      </w:pPr>
    </w:p>
    <w:p w:rsidR="00F462A0" w:rsidRDefault="00F462A0">
      <w:pPr>
        <w:spacing w:line="360" w:lineRule="exact"/>
      </w:pPr>
    </w:p>
    <w:p w:rsidR="00F462A0" w:rsidRDefault="00F462A0">
      <w:pPr>
        <w:spacing w:line="360" w:lineRule="exact"/>
      </w:pPr>
    </w:p>
    <w:p w:rsidR="00F462A0" w:rsidRDefault="00F462A0">
      <w:pPr>
        <w:spacing w:line="360" w:lineRule="exact"/>
      </w:pPr>
    </w:p>
    <w:p w:rsidR="00F462A0" w:rsidRDefault="00F462A0">
      <w:pPr>
        <w:spacing w:after="391" w:line="1" w:lineRule="exact"/>
      </w:pPr>
    </w:p>
    <w:p w:rsidR="00F462A0" w:rsidRDefault="00F462A0">
      <w:pPr>
        <w:spacing w:line="1" w:lineRule="exact"/>
      </w:pPr>
    </w:p>
    <w:sectPr w:rsidR="00F462A0">
      <w:type w:val="continuous"/>
      <w:pgSz w:w="11900" w:h="16840"/>
      <w:pgMar w:top="795" w:right="1094" w:bottom="439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A1" w:rsidRDefault="00352CA1">
      <w:r>
        <w:separator/>
      </w:r>
    </w:p>
  </w:endnote>
  <w:endnote w:type="continuationSeparator" w:id="0">
    <w:p w:rsidR="00352CA1" w:rsidRDefault="0035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A0" w:rsidRDefault="00C57E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10421620</wp:posOffset>
              </wp:positionV>
              <wp:extent cx="3429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62A0" w:rsidRDefault="00C57EA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86BC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9.35pt;margin-top:820.6pt;width:2.7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cjkgEAACADAAAOAAAAZHJzL2Uyb0RvYy54bWysUsFOwzAMvSPxD1HurN2G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" filled="f" stroked="f">
              <v:textbox style="mso-fit-shape-to-text:t" inset="0,0,0,0">
                <w:txbxContent>
                  <w:p w:rsidR="00F462A0" w:rsidRDefault="00C57EA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986BC0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A1" w:rsidRDefault="00352CA1"/>
  </w:footnote>
  <w:footnote w:type="continuationSeparator" w:id="0">
    <w:p w:rsidR="00352CA1" w:rsidRDefault="00352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7DEB"/>
    <w:multiLevelType w:val="multilevel"/>
    <w:tmpl w:val="D8BE8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85102"/>
    <w:multiLevelType w:val="multilevel"/>
    <w:tmpl w:val="0E74D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D42615"/>
    <w:multiLevelType w:val="multilevel"/>
    <w:tmpl w:val="5164E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A0"/>
    <w:rsid w:val="001C6300"/>
    <w:rsid w:val="00352CA1"/>
    <w:rsid w:val="007E3A1C"/>
    <w:rsid w:val="00986BC0"/>
    <w:rsid w:val="00C57EA1"/>
    <w:rsid w:val="00F4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69EB"/>
  <w15:docId w15:val="{2EF089A3-54D7-490D-B07C-2E2D684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kopirka1.PK-20190211111130</dc:title>
  <dc:subject/>
  <dc:creator/>
  <cp:keywords/>
  <cp:lastModifiedBy>Zdenka Šímová</cp:lastModifiedBy>
  <cp:revision>4</cp:revision>
  <dcterms:created xsi:type="dcterms:W3CDTF">2019-02-11T12:50:00Z</dcterms:created>
  <dcterms:modified xsi:type="dcterms:W3CDTF">2019-02-11T12:59:00Z</dcterms:modified>
</cp:coreProperties>
</file>