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D" w:rsidRPr="00E125E1" w:rsidRDefault="00982837" w:rsidP="00F5070D">
      <w:pPr>
        <w:pStyle w:val="cpNzevsmlouvy"/>
        <w:spacing w:after="0"/>
      </w:pPr>
      <w:r>
        <w:rPr>
          <w:rFonts w:cs="Tahoma"/>
        </w:rPr>
        <w:t xml:space="preserve">Dodatek </w:t>
      </w:r>
      <w:proofErr w:type="gramStart"/>
      <w:r>
        <w:rPr>
          <w:rFonts w:cs="Tahoma"/>
        </w:rPr>
        <w:t>č.</w:t>
      </w:r>
      <w:r w:rsidR="00A7302E">
        <w:rPr>
          <w:rFonts w:cs="Tahoma"/>
        </w:rPr>
        <w:t>2</w:t>
      </w:r>
      <w:r w:rsidR="00F5070D">
        <w:rPr>
          <w:rFonts w:cs="Tahoma"/>
        </w:rPr>
        <w:t xml:space="preserve"> k </w:t>
      </w:r>
      <w:r w:rsidR="00F5070D">
        <w:t>Dohodě</w:t>
      </w:r>
      <w:proofErr w:type="gramEnd"/>
      <w:r w:rsidR="00F5070D" w:rsidRPr="00E125E1">
        <w:t xml:space="preserve"> o podmínkách podávání </w:t>
      </w:r>
    </w:p>
    <w:p w:rsidR="00F5070D" w:rsidRPr="00E125E1" w:rsidRDefault="00F5070D" w:rsidP="00F5070D">
      <w:pPr>
        <w:pStyle w:val="cpNzevsmlouvy"/>
        <w:spacing w:after="0"/>
      </w:pPr>
      <w:r w:rsidRPr="00E125E1">
        <w:t xml:space="preserve">poštovních zásilek Balík Do ruky </w:t>
      </w:r>
      <w:r w:rsidR="00892856">
        <w:t>číslo</w:t>
      </w:r>
    </w:p>
    <w:p w:rsidR="00002C89" w:rsidRPr="00892856" w:rsidRDefault="00892856" w:rsidP="00F5070D">
      <w:pPr>
        <w:pStyle w:val="P-HLTITULEK"/>
        <w:outlineLvl w:val="0"/>
        <w:rPr>
          <w:rFonts w:ascii="Arial" w:hAnsi="Arial" w:cs="Arial"/>
          <w:sz w:val="36"/>
          <w:szCs w:val="36"/>
          <w:lang w:eastAsia="en-US"/>
        </w:rPr>
      </w:pPr>
      <w:r w:rsidRPr="00892856">
        <w:rPr>
          <w:rFonts w:ascii="Arial" w:hAnsi="Arial" w:cs="Arial"/>
          <w:sz w:val="36"/>
          <w:szCs w:val="36"/>
          <w:lang w:eastAsia="en-US"/>
        </w:rPr>
        <w:t>2012 / 1498</w:t>
      </w:r>
    </w:p>
    <w:p w:rsidR="00002C89" w:rsidRDefault="00002C89" w:rsidP="00002C89">
      <w:pPr>
        <w:pStyle w:val="P-NORMAL-TEXT"/>
        <w:rPr>
          <w:rFonts w:cs="Tahoma"/>
        </w:rPr>
      </w:pPr>
    </w:p>
    <w:p w:rsidR="00002C89" w:rsidRDefault="00002C89" w:rsidP="00002C89">
      <w:pPr>
        <w:pStyle w:val="P-NORMAL-TEXT"/>
        <w:rPr>
          <w:rFonts w:cs="Tahoma"/>
        </w:rPr>
      </w:pPr>
      <w:r>
        <w:rPr>
          <w:rFonts w:cs="Tahoma"/>
          <w:szCs w:val="22"/>
        </w:rPr>
        <w:t>Uzavřené mezi následujícími stranami:</w:t>
      </w:r>
    </w:p>
    <w:p w:rsidR="00002C89" w:rsidRDefault="00002C89" w:rsidP="00002C89">
      <w:pPr>
        <w:pStyle w:val="P-NORMAL-TEXT"/>
        <w:rPr>
          <w:rFonts w:cs="Tahoma"/>
        </w:rPr>
      </w:pPr>
    </w:p>
    <w:p w:rsidR="00002C89" w:rsidRDefault="00002C89" w:rsidP="00002C89">
      <w:pPr>
        <w:pStyle w:val="P-NORMAL-TEXT"/>
        <w:rPr>
          <w:rFonts w:cs="Tahoma"/>
        </w:rPr>
      </w:pPr>
    </w:p>
    <w:p w:rsidR="00002C89" w:rsidRPr="00892856" w:rsidRDefault="00002C89" w:rsidP="00002C89">
      <w:pPr>
        <w:pStyle w:val="P-HEAD-1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Česká pošta, </w:t>
      </w:r>
      <w:proofErr w:type="gramStart"/>
      <w:r w:rsidRPr="00892856">
        <w:rPr>
          <w:rFonts w:ascii="Times New Roman" w:hAnsi="Times New Roman"/>
          <w:bCs/>
          <w:sz w:val="22"/>
          <w:szCs w:val="22"/>
          <w:lang w:eastAsia="en-US"/>
        </w:rPr>
        <w:t>s.p.</w:t>
      </w:r>
      <w:proofErr w:type="gramEnd"/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sídlo: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 xml:space="preserve">Politických vězňů 909/4, 225 99 </w:t>
      </w:r>
      <w:smartTag w:uri="urn:schemas-microsoft-com:office:smarttags" w:element="PersonName">
        <w:r w:rsidRPr="00892856">
          <w:rPr>
            <w:rFonts w:ascii="Times New Roman" w:hAnsi="Times New Roman"/>
            <w:bCs/>
            <w:sz w:val="22"/>
            <w:szCs w:val="22"/>
            <w:lang w:eastAsia="en-US"/>
          </w:rPr>
          <w:t>Praha 1</w:t>
        </w:r>
      </w:smartTag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zastupuje: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Mgr. Martin Vránek, ředitel odboru VIP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IČ: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47114983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DIČ: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CZ47114983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bankovní spojení: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Československá obchodní banka, a. s.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BIC/SWIFT: CEKOCZPP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číslo účtu: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133700879/0300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IBAN: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CZ8803000000000133700879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korespondenční adresa: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 xml:space="preserve">Odbor VIP, Politických vězňů 909/4, 225 99 </w:t>
      </w:r>
      <w:smartTag w:uri="urn:schemas-microsoft-com:office:smarttags" w:element="PersonName">
        <w:r w:rsidRPr="00892856">
          <w:rPr>
            <w:rFonts w:ascii="Times New Roman" w:hAnsi="Times New Roman"/>
            <w:bCs/>
            <w:sz w:val="22"/>
            <w:szCs w:val="22"/>
            <w:lang w:eastAsia="en-US"/>
          </w:rPr>
          <w:t>Praha 1</w:t>
        </w:r>
      </w:smartTag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Zapsaná v obchodním rejstříku vedeném Městským soudem v Praze, oddíl A, vložka 7565</w:t>
      </w:r>
    </w:p>
    <w:p w:rsidR="00002C89" w:rsidRPr="00892856" w:rsidRDefault="00002C89" w:rsidP="00002C89">
      <w:pPr>
        <w:pStyle w:val="P-HEAD-WBULLETS"/>
        <w:rPr>
          <w:rFonts w:ascii="Times New Roman" w:hAnsi="Times New Roman"/>
          <w:bCs/>
          <w:sz w:val="22"/>
          <w:szCs w:val="22"/>
          <w:lang w:eastAsia="en-US"/>
        </w:rPr>
      </w:pPr>
    </w:p>
    <w:p w:rsidR="00002C89" w:rsidRPr="00892856" w:rsidRDefault="00002C89" w:rsidP="00002C89">
      <w:pPr>
        <w:pStyle w:val="P-HEAD-WBULLETS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(dále jen „ČP“)</w:t>
      </w:r>
    </w:p>
    <w:p w:rsidR="00002C89" w:rsidRPr="00892856" w:rsidRDefault="00002C89" w:rsidP="00002C89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</w:p>
    <w:p w:rsidR="00002C89" w:rsidRPr="00892856" w:rsidRDefault="00002C89" w:rsidP="00002C89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a</w:t>
      </w:r>
    </w:p>
    <w:p w:rsidR="00002C89" w:rsidRDefault="00002C89" w:rsidP="00002C89">
      <w:pPr>
        <w:pStyle w:val="P-NORMAL-TEXT"/>
        <w:rPr>
          <w:rFonts w:cs="Tahoma"/>
        </w:rPr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B6515" w:rsidRPr="002E4508" w:rsidTr="00427BBC">
        <w:tc>
          <w:tcPr>
            <w:tcW w:w="3528" w:type="dxa"/>
          </w:tcPr>
          <w:p w:rsidR="003B6515" w:rsidRPr="002E4508" w:rsidRDefault="0083044A" w:rsidP="003B6515">
            <w:pPr>
              <w:pStyle w:val="P-HEAD-1"/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323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se sídlem:</w:t>
            </w:r>
          </w:p>
        </w:tc>
        <w:tc>
          <w:tcPr>
            <w:tcW w:w="6323" w:type="dxa"/>
          </w:tcPr>
          <w:p w:rsidR="003B6515" w:rsidRPr="002E4508" w:rsidRDefault="0083044A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IČ:</w:t>
            </w:r>
          </w:p>
        </w:tc>
        <w:tc>
          <w:tcPr>
            <w:tcW w:w="6323" w:type="dxa"/>
          </w:tcPr>
          <w:p w:rsidR="003B6515" w:rsidRPr="002E4508" w:rsidRDefault="0083044A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DIČ:</w:t>
            </w:r>
          </w:p>
        </w:tc>
        <w:tc>
          <w:tcPr>
            <w:tcW w:w="6323" w:type="dxa"/>
          </w:tcPr>
          <w:p w:rsidR="003B6515" w:rsidRPr="002E4508" w:rsidRDefault="0083044A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jednající</w:t>
            </w:r>
          </w:p>
        </w:tc>
        <w:tc>
          <w:tcPr>
            <w:tcW w:w="6323" w:type="dxa"/>
          </w:tcPr>
          <w:p w:rsidR="003B6515" w:rsidRPr="002E4508" w:rsidRDefault="0083044A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zapsán/a v obchodním rejstříku</w:t>
            </w:r>
          </w:p>
        </w:tc>
        <w:tc>
          <w:tcPr>
            <w:tcW w:w="6323" w:type="dxa"/>
          </w:tcPr>
          <w:p w:rsidR="003B6515" w:rsidRPr="002E4508" w:rsidRDefault="0083044A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bankovní spojení:</w:t>
            </w:r>
          </w:p>
        </w:tc>
        <w:tc>
          <w:tcPr>
            <w:tcW w:w="6323" w:type="dxa"/>
          </w:tcPr>
          <w:p w:rsidR="003B6515" w:rsidRPr="002E4508" w:rsidRDefault="0083044A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  <w:r w:rsidR="003B6515">
              <w:t xml:space="preserve"> 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číslo účtu:</w:t>
            </w:r>
          </w:p>
        </w:tc>
        <w:tc>
          <w:tcPr>
            <w:tcW w:w="6323" w:type="dxa"/>
          </w:tcPr>
          <w:p w:rsidR="003B6515" w:rsidRPr="002E4508" w:rsidRDefault="0083044A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BIC/SWIFT:</w:t>
            </w:r>
          </w:p>
        </w:tc>
        <w:tc>
          <w:tcPr>
            <w:tcW w:w="6323" w:type="dxa"/>
          </w:tcPr>
          <w:p w:rsidR="003B6515" w:rsidRPr="002E4508" w:rsidRDefault="0083044A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IBAN: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Registrační číslo smlouvy – </w:t>
            </w:r>
            <w:r w:rsidR="0083044A">
              <w:t>x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ID CČK: </w:t>
            </w:r>
            <w:r w:rsidR="0083044A">
              <w:t>x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Technologické číslo: </w:t>
            </w:r>
            <w:r w:rsidR="0083044A">
              <w:t>x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dále jen „Odesílatel“</w:t>
            </w:r>
          </w:p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:rsidR="003B6515" w:rsidRDefault="0083044A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0D4D01" w:rsidRDefault="000D4D01" w:rsidP="00002C89"/>
    <w:p w:rsidR="000D4D01" w:rsidRDefault="000D4D01" w:rsidP="000D4D01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:rsidR="000F2ED5" w:rsidRPr="00892856" w:rsidRDefault="000F2ED5" w:rsidP="00892856">
      <w:pPr>
        <w:pStyle w:val="Perfekt"/>
        <w:numPr>
          <w:ilvl w:val="0"/>
          <w:numId w:val="35"/>
        </w:numPr>
        <w:tabs>
          <w:tab w:val="clear" w:pos="360"/>
          <w:tab w:val="num" w:pos="502"/>
          <w:tab w:val="num" w:pos="700"/>
        </w:tabs>
        <w:ind w:left="700"/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 xml:space="preserve">Po předchozím projednání oprávněných zástupců stran </w:t>
      </w:r>
      <w:r w:rsidR="00892856" w:rsidRPr="00892856">
        <w:rPr>
          <w:sz w:val="22"/>
          <w:szCs w:val="22"/>
          <w:lang w:eastAsia="en-US"/>
        </w:rPr>
        <w:t xml:space="preserve">dohody </w:t>
      </w:r>
      <w:r w:rsidRPr="00892856">
        <w:rPr>
          <w:sz w:val="22"/>
          <w:szCs w:val="22"/>
          <w:lang w:eastAsia="en-US"/>
        </w:rPr>
        <w:t xml:space="preserve">uzavírají tento Dodatek č. </w:t>
      </w:r>
      <w:r w:rsidR="00A7302E">
        <w:rPr>
          <w:sz w:val="22"/>
          <w:szCs w:val="22"/>
          <w:lang w:eastAsia="en-US"/>
        </w:rPr>
        <w:t>2</w:t>
      </w:r>
      <w:r w:rsidRPr="00892856">
        <w:rPr>
          <w:sz w:val="22"/>
          <w:szCs w:val="22"/>
          <w:lang w:eastAsia="en-US"/>
        </w:rPr>
        <w:t xml:space="preserve"> k </w:t>
      </w:r>
      <w:r w:rsidR="00F5070D" w:rsidRPr="00892856">
        <w:rPr>
          <w:sz w:val="22"/>
          <w:szCs w:val="22"/>
          <w:lang w:eastAsia="en-US"/>
        </w:rPr>
        <w:t xml:space="preserve">Dohodě o podmínkách podávání poštovních zásilek Balík Do ruky </w:t>
      </w:r>
      <w:r w:rsidR="00892856" w:rsidRPr="00892856">
        <w:rPr>
          <w:sz w:val="22"/>
          <w:szCs w:val="22"/>
          <w:lang w:eastAsia="en-US"/>
        </w:rPr>
        <w:t>č</w:t>
      </w:r>
      <w:r w:rsidR="00F5070D" w:rsidRPr="00892856">
        <w:rPr>
          <w:sz w:val="22"/>
          <w:szCs w:val="22"/>
          <w:lang w:eastAsia="en-US"/>
        </w:rPr>
        <w:t xml:space="preserve">íslo </w:t>
      </w:r>
      <w:r w:rsidR="00892856" w:rsidRPr="00892856">
        <w:rPr>
          <w:sz w:val="22"/>
          <w:szCs w:val="22"/>
          <w:lang w:eastAsia="en-US"/>
        </w:rPr>
        <w:t>2012 / 1498</w:t>
      </w:r>
      <w:r w:rsidR="00A7302E">
        <w:rPr>
          <w:sz w:val="22"/>
          <w:szCs w:val="22"/>
          <w:lang w:eastAsia="en-US"/>
        </w:rPr>
        <w:t xml:space="preserve"> ve znění dodatku č. 1 ze dne </w:t>
      </w:r>
      <w:proofErr w:type="gramStart"/>
      <w:r w:rsidR="00A7302E">
        <w:rPr>
          <w:sz w:val="22"/>
          <w:szCs w:val="22"/>
          <w:lang w:eastAsia="en-US"/>
        </w:rPr>
        <w:t>10.5.2013</w:t>
      </w:r>
      <w:proofErr w:type="gramEnd"/>
      <w:r w:rsidR="00892856" w:rsidRPr="00892856">
        <w:rPr>
          <w:sz w:val="22"/>
          <w:szCs w:val="22"/>
          <w:lang w:eastAsia="en-US"/>
        </w:rPr>
        <w:t xml:space="preserve"> </w:t>
      </w:r>
      <w:r w:rsidRPr="00892856">
        <w:rPr>
          <w:sz w:val="22"/>
          <w:szCs w:val="22"/>
          <w:lang w:eastAsia="en-US"/>
        </w:rPr>
        <w:t>(dále jen „Dohoda“), kterým se mění:</w:t>
      </w:r>
    </w:p>
    <w:p w:rsidR="000F2ED5" w:rsidRPr="00892856" w:rsidRDefault="000F2ED5" w:rsidP="000F2ED5">
      <w:pPr>
        <w:pStyle w:val="P-HEAD-WBULLETS"/>
        <w:rPr>
          <w:rFonts w:ascii="Times New Roman" w:hAnsi="Times New Roman"/>
          <w:bCs/>
          <w:sz w:val="22"/>
          <w:szCs w:val="22"/>
          <w:lang w:eastAsia="en-US"/>
        </w:rPr>
      </w:pPr>
    </w:p>
    <w:p w:rsidR="000D4D01" w:rsidRPr="00892856" w:rsidRDefault="000D4D01" w:rsidP="009A4749">
      <w:pPr>
        <w:pStyle w:val="Perfekt"/>
        <w:rPr>
          <w:sz w:val="22"/>
          <w:szCs w:val="22"/>
          <w:lang w:eastAsia="en-US"/>
        </w:rPr>
      </w:pPr>
    </w:p>
    <w:p w:rsidR="00892856" w:rsidRPr="00892856" w:rsidRDefault="00982837" w:rsidP="00892856">
      <w:pPr>
        <w:pStyle w:val="Perfekt"/>
        <w:numPr>
          <w:ilvl w:val="0"/>
          <w:numId w:val="35"/>
        </w:numPr>
        <w:tabs>
          <w:tab w:val="clear" w:pos="360"/>
          <w:tab w:val="num" w:pos="502"/>
          <w:tab w:val="num" w:pos="700"/>
        </w:tabs>
        <w:ind w:left="700"/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 xml:space="preserve">Strany se dohodly, že text </w:t>
      </w:r>
      <w:r w:rsidR="00892856" w:rsidRPr="00892856">
        <w:rPr>
          <w:sz w:val="22"/>
          <w:szCs w:val="22"/>
          <w:lang w:eastAsia="en-US"/>
        </w:rPr>
        <w:t xml:space="preserve">Přílohy č. 1 – Seznam provozoven Odesílatele, se </w:t>
      </w:r>
      <w:r w:rsidRPr="00892856">
        <w:rPr>
          <w:sz w:val="22"/>
          <w:szCs w:val="22"/>
          <w:lang w:eastAsia="en-US"/>
        </w:rPr>
        <w:t>ruší a nahrazuj</w:t>
      </w:r>
      <w:r w:rsidR="00892856" w:rsidRPr="00892856">
        <w:rPr>
          <w:sz w:val="22"/>
          <w:szCs w:val="22"/>
          <w:lang w:eastAsia="en-US"/>
        </w:rPr>
        <w:t>e</w:t>
      </w:r>
      <w:r w:rsidRPr="00892856">
        <w:rPr>
          <w:sz w:val="22"/>
          <w:szCs w:val="22"/>
          <w:lang w:eastAsia="en-US"/>
        </w:rPr>
        <w:t xml:space="preserve"> textem obsaženým v </w:t>
      </w:r>
      <w:r w:rsidR="00892856" w:rsidRPr="00892856">
        <w:rPr>
          <w:sz w:val="22"/>
          <w:szCs w:val="22"/>
          <w:lang w:eastAsia="en-US"/>
        </w:rPr>
        <w:t xml:space="preserve">Příloze č. 1 – Seznam provozoven Odesílatele. </w:t>
      </w:r>
    </w:p>
    <w:p w:rsidR="000D4D01" w:rsidRPr="00892856" w:rsidRDefault="000D4D01" w:rsidP="00892856">
      <w:pPr>
        <w:pStyle w:val="cpodstavecslovan1"/>
        <w:numPr>
          <w:ilvl w:val="0"/>
          <w:numId w:val="0"/>
        </w:numPr>
        <w:ind w:left="624" w:hanging="624"/>
        <w:rPr>
          <w:bCs/>
          <w:lang w:eastAsia="en-US"/>
        </w:rPr>
      </w:pPr>
    </w:p>
    <w:p w:rsidR="000D4D01" w:rsidRPr="00892856" w:rsidRDefault="000D4D01" w:rsidP="000D4D01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92856">
        <w:rPr>
          <w:rFonts w:cs="Tahoma"/>
        </w:rPr>
        <w:t>II. ZÁVĚREČNÁ USTANOVENÍ</w:t>
      </w: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Ostatní ujednání Dohody se nemění a zůstávají nadále v platnosti.</w:t>
      </w:r>
    </w:p>
    <w:p w:rsidR="000D4D01" w:rsidRPr="00892856" w:rsidRDefault="000D4D01" w:rsidP="000D4D01">
      <w:pPr>
        <w:pStyle w:val="Perfekt"/>
        <w:rPr>
          <w:sz w:val="22"/>
          <w:szCs w:val="22"/>
          <w:lang w:eastAsia="en-US"/>
        </w:rPr>
      </w:pPr>
    </w:p>
    <w:p w:rsidR="00F5070D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 xml:space="preserve">Dodatek nabývá platnosti </w:t>
      </w:r>
      <w:r w:rsidR="00F5070D" w:rsidRPr="00892856">
        <w:rPr>
          <w:sz w:val="22"/>
          <w:szCs w:val="22"/>
          <w:lang w:eastAsia="en-US"/>
        </w:rPr>
        <w:t xml:space="preserve">a účinnosti </w:t>
      </w:r>
      <w:r w:rsidRPr="00892856">
        <w:rPr>
          <w:sz w:val="22"/>
          <w:szCs w:val="22"/>
          <w:lang w:eastAsia="en-US"/>
        </w:rPr>
        <w:t>dnem podpisu</w:t>
      </w:r>
      <w:r w:rsidR="009A4749" w:rsidRPr="00892856">
        <w:rPr>
          <w:sz w:val="22"/>
          <w:szCs w:val="22"/>
          <w:lang w:eastAsia="en-US"/>
        </w:rPr>
        <w:t xml:space="preserve"> </w:t>
      </w:r>
      <w:r w:rsidR="00F5070D" w:rsidRPr="00892856">
        <w:rPr>
          <w:sz w:val="22"/>
          <w:szCs w:val="22"/>
          <w:lang w:eastAsia="en-US"/>
        </w:rPr>
        <w:t xml:space="preserve">stranami Dohody. Strany Dohody se dohodly, že na plnění poskytnutá od 1. </w:t>
      </w:r>
      <w:r w:rsidR="00A7302E">
        <w:rPr>
          <w:sz w:val="22"/>
          <w:szCs w:val="22"/>
          <w:lang w:eastAsia="en-US"/>
        </w:rPr>
        <w:t>7</w:t>
      </w:r>
      <w:r w:rsidR="00892856" w:rsidRPr="00892856">
        <w:rPr>
          <w:sz w:val="22"/>
          <w:szCs w:val="22"/>
          <w:lang w:eastAsia="en-US"/>
        </w:rPr>
        <w:t>. 2013</w:t>
      </w:r>
      <w:r w:rsidR="00F5070D" w:rsidRPr="00892856">
        <w:rPr>
          <w:sz w:val="22"/>
          <w:szCs w:val="22"/>
          <w:lang w:eastAsia="en-US"/>
        </w:rPr>
        <w:t xml:space="preserve"> do data nabytí účinnosti této Dohody se bude pohlížet jako na plnění dle této Dohody.</w:t>
      </w:r>
    </w:p>
    <w:p w:rsidR="000D4D01" w:rsidRPr="00892856" w:rsidRDefault="000D4D01" w:rsidP="00F5070D">
      <w:pPr>
        <w:pStyle w:val="Perfekt"/>
        <w:tabs>
          <w:tab w:val="num" w:pos="700"/>
        </w:tabs>
        <w:ind w:left="340"/>
        <w:rPr>
          <w:sz w:val="22"/>
          <w:szCs w:val="22"/>
          <w:lang w:eastAsia="en-US"/>
        </w:rPr>
      </w:pP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Dohoda je sepsána ve čtyřech vyhotoveních s platností originálu, z nichž každá ze stran obdrží po dvou výtiscích.</w:t>
      </w:r>
    </w:p>
    <w:p w:rsidR="000D4D01" w:rsidRPr="00892856" w:rsidRDefault="000D4D01" w:rsidP="000D4D01">
      <w:pPr>
        <w:pStyle w:val="Perfekt"/>
        <w:rPr>
          <w:sz w:val="22"/>
          <w:szCs w:val="22"/>
          <w:lang w:eastAsia="en-US"/>
        </w:rPr>
      </w:pP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Nedílnou součástí tohoto Dodatku jsou následující přílohy:</w:t>
      </w:r>
    </w:p>
    <w:p w:rsidR="009B54AA" w:rsidRDefault="000D4D01" w:rsidP="00453404">
      <w:pPr>
        <w:pStyle w:val="Perfekt"/>
        <w:ind w:left="720"/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 xml:space="preserve">Příloha č. </w:t>
      </w:r>
      <w:r w:rsidR="00892856" w:rsidRPr="00892856">
        <w:rPr>
          <w:sz w:val="22"/>
          <w:szCs w:val="22"/>
          <w:lang w:eastAsia="en-US"/>
        </w:rPr>
        <w:t>1</w:t>
      </w:r>
      <w:r w:rsidR="009B54AA" w:rsidRPr="00892856">
        <w:rPr>
          <w:sz w:val="22"/>
          <w:szCs w:val="22"/>
          <w:lang w:eastAsia="en-US"/>
        </w:rPr>
        <w:t xml:space="preserve"> - Seznam provozoven Odesílatele </w:t>
      </w:r>
    </w:p>
    <w:p w:rsidR="003B6515" w:rsidRPr="00892856" w:rsidRDefault="003B6515" w:rsidP="00453404">
      <w:pPr>
        <w:pStyle w:val="Perfekt"/>
        <w:ind w:left="720"/>
        <w:rPr>
          <w:sz w:val="22"/>
          <w:szCs w:val="22"/>
          <w:lang w:eastAsia="en-US"/>
        </w:rPr>
      </w:pPr>
    </w:p>
    <w:p w:rsidR="009A4749" w:rsidRPr="00892856" w:rsidRDefault="009A4749" w:rsidP="009A4749">
      <w:pPr>
        <w:pStyle w:val="Perfekt"/>
        <w:ind w:left="700"/>
        <w:rPr>
          <w:sz w:val="22"/>
          <w:szCs w:val="22"/>
          <w:lang w:eastAsia="en-US"/>
        </w:rPr>
      </w:pPr>
    </w:p>
    <w:p w:rsidR="002B0F4C" w:rsidRPr="00892856" w:rsidRDefault="002B0F4C" w:rsidP="002B0F4C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V Praze, dne .</w:t>
      </w:r>
      <w:r w:rsidR="0083044A">
        <w:rPr>
          <w:rFonts w:ascii="Times New Roman" w:hAnsi="Times New Roman"/>
          <w:bCs/>
          <w:sz w:val="22"/>
          <w:szCs w:val="22"/>
          <w:lang w:eastAsia="en-US"/>
        </w:rPr>
        <w:t>12.8.2013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3B6515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V Praze, dne </w:t>
      </w:r>
      <w:r w:rsidR="0083044A">
        <w:rPr>
          <w:rFonts w:ascii="Times New Roman" w:hAnsi="Times New Roman"/>
          <w:bCs/>
          <w:sz w:val="22"/>
          <w:szCs w:val="22"/>
          <w:lang w:eastAsia="en-US"/>
        </w:rPr>
        <w:t>16.7.2013</w:t>
      </w:r>
      <w:bookmarkStart w:id="0" w:name="_GoBack"/>
      <w:bookmarkEnd w:id="0"/>
    </w:p>
    <w:p w:rsidR="002B0F4C" w:rsidRPr="00892856" w:rsidRDefault="002B0F4C" w:rsidP="002B0F4C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</w:p>
    <w:p w:rsidR="002B0F4C" w:rsidRPr="00892856" w:rsidRDefault="002B0F4C" w:rsidP="002B0F4C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717"/>
      </w:tblGrid>
      <w:tr w:rsidR="00892856" w:rsidRPr="00892856" w:rsidTr="00523AB5">
        <w:trPr>
          <w:trHeight w:val="703"/>
        </w:trPr>
        <w:tc>
          <w:tcPr>
            <w:tcW w:w="4889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za ČP:</w:t>
            </w:r>
          </w:p>
        </w:tc>
        <w:tc>
          <w:tcPr>
            <w:tcW w:w="4717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za Odesílatele:</w:t>
            </w: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</w:p>
        </w:tc>
      </w:tr>
      <w:tr w:rsidR="00892856" w:rsidRPr="00892856" w:rsidTr="00523AB5">
        <w:trPr>
          <w:trHeight w:val="583"/>
        </w:trPr>
        <w:tc>
          <w:tcPr>
            <w:tcW w:w="4889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........................................</w:t>
            </w:r>
          </w:p>
        </w:tc>
        <w:tc>
          <w:tcPr>
            <w:tcW w:w="4717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………………………………</w:t>
            </w:r>
          </w:p>
        </w:tc>
      </w:tr>
      <w:tr w:rsidR="00892856" w:rsidRPr="00892856" w:rsidTr="00523AB5">
        <w:tc>
          <w:tcPr>
            <w:tcW w:w="4889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Mgr. Martin Vránek</w:t>
            </w: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Ředitel odboru VIP</w:t>
            </w:r>
          </w:p>
        </w:tc>
        <w:tc>
          <w:tcPr>
            <w:tcW w:w="4717" w:type="dxa"/>
          </w:tcPr>
          <w:p w:rsidR="003B6515" w:rsidRPr="00892856" w:rsidRDefault="0083044A" w:rsidP="003B651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  <w:p w:rsidR="003B6515" w:rsidRPr="00892856" w:rsidRDefault="003B6515" w:rsidP="003B6515">
            <w:pPr>
              <w:pStyle w:val="cpodstavecslovan1"/>
              <w:numPr>
                <w:ilvl w:val="0"/>
                <w:numId w:val="0"/>
              </w:numPr>
              <w:jc w:val="center"/>
              <w:rPr>
                <w:bCs/>
                <w:lang w:eastAsia="en-US"/>
              </w:rPr>
            </w:pPr>
          </w:p>
          <w:p w:rsidR="003B6515" w:rsidRPr="00892856" w:rsidRDefault="003B6515" w:rsidP="003B6515">
            <w:pPr>
              <w:pStyle w:val="cpodstavecslovan1"/>
              <w:numPr>
                <w:ilvl w:val="0"/>
                <w:numId w:val="0"/>
              </w:numPr>
              <w:jc w:val="center"/>
              <w:rPr>
                <w:bCs/>
                <w:lang w:eastAsia="en-US"/>
              </w:rPr>
            </w:pPr>
          </w:p>
          <w:p w:rsidR="003B6515" w:rsidRPr="00892856" w:rsidRDefault="003B6515" w:rsidP="003B651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…………………………………..</w:t>
            </w:r>
          </w:p>
          <w:p w:rsidR="003B6515" w:rsidRPr="00892856" w:rsidRDefault="0083044A" w:rsidP="003B651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  <w:p w:rsidR="00892856" w:rsidRPr="00892856" w:rsidRDefault="00892856" w:rsidP="00A7302E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</w:p>
        </w:tc>
      </w:tr>
    </w:tbl>
    <w:p w:rsidR="0083044A" w:rsidRDefault="0083044A" w:rsidP="0083044A">
      <w:pPr>
        <w:pStyle w:val="Perfekt"/>
        <w:tabs>
          <w:tab w:val="num" w:pos="700"/>
        </w:tabs>
        <w:ind w:left="3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Příloha</w:t>
      </w:r>
      <w:r w:rsidRPr="00892856">
        <w:rPr>
          <w:sz w:val="22"/>
          <w:szCs w:val="22"/>
          <w:lang w:eastAsia="en-US"/>
        </w:rPr>
        <w:t xml:space="preserve"> č. 1 – Seznam provozoven Odesílatele. </w:t>
      </w:r>
    </w:p>
    <w:p w:rsidR="0083044A" w:rsidRPr="00892856" w:rsidRDefault="0083044A" w:rsidP="0083044A">
      <w:pPr>
        <w:pStyle w:val="Perfekt"/>
        <w:tabs>
          <w:tab w:val="num" w:pos="700"/>
        </w:tabs>
        <w:ind w:left="3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x</w:t>
      </w:r>
    </w:p>
    <w:p w:rsidR="000D4D01" w:rsidRPr="00002C89" w:rsidRDefault="000D4D01" w:rsidP="00892856">
      <w:pPr>
        <w:pStyle w:val="P-NORMAL-TEXT"/>
      </w:pPr>
    </w:p>
    <w:sectPr w:rsidR="000D4D01" w:rsidRPr="00002C89" w:rsidSect="003C5BF8">
      <w:headerReference w:type="default" r:id="rId9"/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31" w:rsidRDefault="00BE1831" w:rsidP="00BB2C84">
      <w:pPr>
        <w:spacing w:after="0" w:line="240" w:lineRule="auto"/>
      </w:pPr>
      <w:r>
        <w:separator/>
      </w:r>
    </w:p>
  </w:endnote>
  <w:endnote w:type="continuationSeparator" w:id="0">
    <w:p w:rsidR="00BE1831" w:rsidRDefault="00BE183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D0" w:rsidRPr="00160A6D" w:rsidRDefault="00B20FD0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421F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421F0" w:rsidRPr="00160A6D">
      <w:rPr>
        <w:sz w:val="18"/>
        <w:szCs w:val="18"/>
      </w:rPr>
      <w:fldChar w:fldCharType="separate"/>
    </w:r>
    <w:r w:rsidR="0083044A">
      <w:rPr>
        <w:noProof/>
        <w:sz w:val="18"/>
        <w:szCs w:val="18"/>
      </w:rPr>
      <w:t>1</w:t>
    </w:r>
    <w:r w:rsidR="002421F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421F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421F0" w:rsidRPr="00160A6D">
      <w:rPr>
        <w:sz w:val="18"/>
        <w:szCs w:val="18"/>
      </w:rPr>
      <w:fldChar w:fldCharType="separate"/>
    </w:r>
    <w:r w:rsidR="0083044A">
      <w:rPr>
        <w:noProof/>
        <w:sz w:val="18"/>
        <w:szCs w:val="18"/>
      </w:rPr>
      <w:t>2</w:t>
    </w:r>
    <w:r w:rsidR="002421F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B20FD0" w:rsidRDefault="00B20F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31" w:rsidRDefault="00BE1831" w:rsidP="00BB2C84">
      <w:pPr>
        <w:spacing w:after="0" w:line="240" w:lineRule="auto"/>
      </w:pPr>
      <w:r>
        <w:separator/>
      </w:r>
    </w:p>
  </w:footnote>
  <w:footnote w:type="continuationSeparator" w:id="0">
    <w:p w:rsidR="00BE1831" w:rsidRDefault="00BE183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D0" w:rsidRPr="00E6080F" w:rsidRDefault="003B651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F5070D" w:rsidRPr="00892856" w:rsidRDefault="00A7302E" w:rsidP="00F5070D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 2</w:t>
    </w:r>
    <w:r w:rsidR="00002C89" w:rsidRPr="00892856">
      <w:rPr>
        <w:rFonts w:ascii="Arial" w:hAnsi="Arial" w:cs="Arial"/>
        <w:noProof/>
        <w:lang w:eastAsia="cs-CZ"/>
      </w:rPr>
      <w:t xml:space="preserve"> k </w:t>
    </w:r>
    <w:r w:rsidR="00F5070D" w:rsidRPr="00892856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70D" w:rsidRPr="00892856">
      <w:rPr>
        <w:rFonts w:ascii="Arial" w:hAnsi="Arial" w:cs="Arial"/>
        <w:noProof/>
        <w:lang w:eastAsia="cs-CZ"/>
      </w:rPr>
      <w:t xml:space="preserve">Dohodě o podmínkách podávání poštovních zásilek Balík Do ruky </w:t>
    </w:r>
    <w:r w:rsidR="00F5070D" w:rsidRPr="00892856"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70D" w:rsidRPr="00892856">
      <w:rPr>
        <w:rFonts w:ascii="Arial" w:hAnsi="Arial" w:cs="Arial"/>
        <w:noProof/>
        <w:lang w:eastAsia="cs-CZ"/>
      </w:rPr>
      <w:t xml:space="preserve"> číslo </w:t>
    </w:r>
    <w:r w:rsidR="00892856" w:rsidRPr="00892856">
      <w:rPr>
        <w:rFonts w:ascii="Arial" w:hAnsi="Arial" w:cs="Arial"/>
        <w:noProof/>
        <w:lang w:eastAsia="cs-CZ"/>
      </w:rPr>
      <w:t>2012 / 1498</w:t>
    </w:r>
  </w:p>
  <w:p w:rsidR="00B20FD0" w:rsidRPr="00BB2C84" w:rsidRDefault="00EA7BE8" w:rsidP="00F5070D">
    <w:pPr>
      <w:pStyle w:val="P-HLTITULEK"/>
      <w:outlineLvl w:val="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26905"/>
    <w:multiLevelType w:val="hybridMultilevel"/>
    <w:tmpl w:val="7CC8A07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E2647"/>
    <w:multiLevelType w:val="hybridMultilevel"/>
    <w:tmpl w:val="C86ED7F0"/>
    <w:lvl w:ilvl="0" w:tplc="BD307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14F6B"/>
    <w:multiLevelType w:val="hybridMultilevel"/>
    <w:tmpl w:val="17C41C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9764F"/>
    <w:multiLevelType w:val="hybridMultilevel"/>
    <w:tmpl w:val="C86ED7F0"/>
    <w:lvl w:ilvl="0" w:tplc="BD30702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  <w:rPr>
        <w:rFonts w:cs="Times New Roman"/>
      </w:rPr>
    </w:lvl>
  </w:abstractNum>
  <w:abstractNum w:abstractNumId="9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>
    <w:nsid w:val="72DA6832"/>
    <w:multiLevelType w:val="hybridMultilevel"/>
    <w:tmpl w:val="C86ED7F0"/>
    <w:lvl w:ilvl="0" w:tplc="BD307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9"/>
  </w:num>
  <w:num w:numId="20">
    <w:abstractNumId w:val="13"/>
  </w:num>
  <w:num w:numId="21">
    <w:abstractNumId w:val="7"/>
  </w:num>
  <w:num w:numId="22">
    <w:abstractNumId w:val="12"/>
  </w:num>
  <w:num w:numId="23">
    <w:abstractNumId w:val="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0"/>
  </w:num>
  <w:num w:numId="34">
    <w:abstractNumId w:val="1"/>
  </w:num>
  <w:num w:numId="35">
    <w:abstractNumId w:val="10"/>
  </w:num>
  <w:num w:numId="36">
    <w:abstractNumId w:val="4"/>
  </w:num>
  <w:num w:numId="37">
    <w:abstractNumId w:val="5"/>
  </w:num>
  <w:num w:numId="38">
    <w:abstractNumId w:val="0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2C89"/>
    <w:rsid w:val="00012164"/>
    <w:rsid w:val="000126DB"/>
    <w:rsid w:val="00023F60"/>
    <w:rsid w:val="00054997"/>
    <w:rsid w:val="00055FFC"/>
    <w:rsid w:val="00084E3F"/>
    <w:rsid w:val="000B7C09"/>
    <w:rsid w:val="000C0B03"/>
    <w:rsid w:val="000C6A07"/>
    <w:rsid w:val="000D0210"/>
    <w:rsid w:val="000D1698"/>
    <w:rsid w:val="000D4D01"/>
    <w:rsid w:val="000E2816"/>
    <w:rsid w:val="000F2ED5"/>
    <w:rsid w:val="000F4CC5"/>
    <w:rsid w:val="00123ECC"/>
    <w:rsid w:val="00125732"/>
    <w:rsid w:val="00160A6D"/>
    <w:rsid w:val="00160BAE"/>
    <w:rsid w:val="00184A48"/>
    <w:rsid w:val="001C2D26"/>
    <w:rsid w:val="001D4472"/>
    <w:rsid w:val="001E2190"/>
    <w:rsid w:val="001E712E"/>
    <w:rsid w:val="001F46E3"/>
    <w:rsid w:val="002068FF"/>
    <w:rsid w:val="002235CC"/>
    <w:rsid w:val="00232CBE"/>
    <w:rsid w:val="002407B3"/>
    <w:rsid w:val="002421F0"/>
    <w:rsid w:val="00266A84"/>
    <w:rsid w:val="0027517A"/>
    <w:rsid w:val="002A497D"/>
    <w:rsid w:val="002A4E43"/>
    <w:rsid w:val="002A5F6B"/>
    <w:rsid w:val="002B0F4C"/>
    <w:rsid w:val="003309CD"/>
    <w:rsid w:val="003317F4"/>
    <w:rsid w:val="0033314C"/>
    <w:rsid w:val="00355FFC"/>
    <w:rsid w:val="00367F2B"/>
    <w:rsid w:val="0037270C"/>
    <w:rsid w:val="0037547C"/>
    <w:rsid w:val="00376C5C"/>
    <w:rsid w:val="003904AA"/>
    <w:rsid w:val="00395BA6"/>
    <w:rsid w:val="003B11A0"/>
    <w:rsid w:val="003B6515"/>
    <w:rsid w:val="003C5BF8"/>
    <w:rsid w:val="003D3E09"/>
    <w:rsid w:val="003E0E92"/>
    <w:rsid w:val="003E2C93"/>
    <w:rsid w:val="003E78DD"/>
    <w:rsid w:val="00403B56"/>
    <w:rsid w:val="00407DEC"/>
    <w:rsid w:val="00415028"/>
    <w:rsid w:val="004254F0"/>
    <w:rsid w:val="0043028F"/>
    <w:rsid w:val="00443025"/>
    <w:rsid w:val="004433EA"/>
    <w:rsid w:val="00453404"/>
    <w:rsid w:val="00460E56"/>
    <w:rsid w:val="00464E01"/>
    <w:rsid w:val="00472CA1"/>
    <w:rsid w:val="004A5077"/>
    <w:rsid w:val="004C00BA"/>
    <w:rsid w:val="004D1488"/>
    <w:rsid w:val="004D73EB"/>
    <w:rsid w:val="004F4681"/>
    <w:rsid w:val="00562158"/>
    <w:rsid w:val="005746B6"/>
    <w:rsid w:val="00596717"/>
    <w:rsid w:val="005A41F7"/>
    <w:rsid w:val="005A5625"/>
    <w:rsid w:val="005D325A"/>
    <w:rsid w:val="005F73E1"/>
    <w:rsid w:val="00602989"/>
    <w:rsid w:val="00612237"/>
    <w:rsid w:val="00614381"/>
    <w:rsid w:val="00675251"/>
    <w:rsid w:val="00690D97"/>
    <w:rsid w:val="006B13BF"/>
    <w:rsid w:val="006C2ADC"/>
    <w:rsid w:val="006E328F"/>
    <w:rsid w:val="006E7F15"/>
    <w:rsid w:val="00705DEA"/>
    <w:rsid w:val="00716EBD"/>
    <w:rsid w:val="00731911"/>
    <w:rsid w:val="0073595F"/>
    <w:rsid w:val="00741D12"/>
    <w:rsid w:val="007428F0"/>
    <w:rsid w:val="00783F12"/>
    <w:rsid w:val="00786CBA"/>
    <w:rsid w:val="00786E3F"/>
    <w:rsid w:val="007C378A"/>
    <w:rsid w:val="007D2C36"/>
    <w:rsid w:val="007E36E6"/>
    <w:rsid w:val="00804163"/>
    <w:rsid w:val="0083044A"/>
    <w:rsid w:val="00834B01"/>
    <w:rsid w:val="00857729"/>
    <w:rsid w:val="00860291"/>
    <w:rsid w:val="008610AA"/>
    <w:rsid w:val="008662D5"/>
    <w:rsid w:val="008704F2"/>
    <w:rsid w:val="00892856"/>
    <w:rsid w:val="008A07A1"/>
    <w:rsid w:val="008A08ED"/>
    <w:rsid w:val="008A4ACF"/>
    <w:rsid w:val="008B6F47"/>
    <w:rsid w:val="008C3E23"/>
    <w:rsid w:val="008F78F4"/>
    <w:rsid w:val="009203EE"/>
    <w:rsid w:val="0095032E"/>
    <w:rsid w:val="00960137"/>
    <w:rsid w:val="00975A63"/>
    <w:rsid w:val="00982837"/>
    <w:rsid w:val="00983BEA"/>
    <w:rsid w:val="00993718"/>
    <w:rsid w:val="009A4749"/>
    <w:rsid w:val="009B033E"/>
    <w:rsid w:val="009B54AA"/>
    <w:rsid w:val="009D1692"/>
    <w:rsid w:val="009D2E04"/>
    <w:rsid w:val="009E3EF0"/>
    <w:rsid w:val="00A05A24"/>
    <w:rsid w:val="00A3091F"/>
    <w:rsid w:val="00A40F40"/>
    <w:rsid w:val="00A47954"/>
    <w:rsid w:val="00A50C0B"/>
    <w:rsid w:val="00A56E01"/>
    <w:rsid w:val="00A7302E"/>
    <w:rsid w:val="00A773CA"/>
    <w:rsid w:val="00A77E95"/>
    <w:rsid w:val="00A96A52"/>
    <w:rsid w:val="00AA0618"/>
    <w:rsid w:val="00AB284E"/>
    <w:rsid w:val="00AC2775"/>
    <w:rsid w:val="00AC7641"/>
    <w:rsid w:val="00AE127B"/>
    <w:rsid w:val="00AE5F91"/>
    <w:rsid w:val="00AE693B"/>
    <w:rsid w:val="00B0168C"/>
    <w:rsid w:val="00B1330F"/>
    <w:rsid w:val="00B20FD0"/>
    <w:rsid w:val="00B27BC8"/>
    <w:rsid w:val="00B313CF"/>
    <w:rsid w:val="00B31A1A"/>
    <w:rsid w:val="00B44352"/>
    <w:rsid w:val="00B555D4"/>
    <w:rsid w:val="00B65A13"/>
    <w:rsid w:val="00B66D64"/>
    <w:rsid w:val="00B732F7"/>
    <w:rsid w:val="00BA676E"/>
    <w:rsid w:val="00BB2C84"/>
    <w:rsid w:val="00BC02AB"/>
    <w:rsid w:val="00BE1831"/>
    <w:rsid w:val="00C1192F"/>
    <w:rsid w:val="00C11D59"/>
    <w:rsid w:val="00C340BF"/>
    <w:rsid w:val="00C342D1"/>
    <w:rsid w:val="00C37612"/>
    <w:rsid w:val="00C41149"/>
    <w:rsid w:val="00C51D1A"/>
    <w:rsid w:val="00C86954"/>
    <w:rsid w:val="00CA07C2"/>
    <w:rsid w:val="00CB1E2D"/>
    <w:rsid w:val="00CC416D"/>
    <w:rsid w:val="00CC7C74"/>
    <w:rsid w:val="00D11957"/>
    <w:rsid w:val="00D33AD6"/>
    <w:rsid w:val="00D37F53"/>
    <w:rsid w:val="00D837F0"/>
    <w:rsid w:val="00D856C6"/>
    <w:rsid w:val="00DA2C01"/>
    <w:rsid w:val="00DF6C1A"/>
    <w:rsid w:val="00E109A3"/>
    <w:rsid w:val="00E13657"/>
    <w:rsid w:val="00E17391"/>
    <w:rsid w:val="00E25713"/>
    <w:rsid w:val="00E517CC"/>
    <w:rsid w:val="00E5459E"/>
    <w:rsid w:val="00E55868"/>
    <w:rsid w:val="00E6080F"/>
    <w:rsid w:val="00E608B8"/>
    <w:rsid w:val="00E75510"/>
    <w:rsid w:val="00EA0DB4"/>
    <w:rsid w:val="00EA7BE8"/>
    <w:rsid w:val="00EC1BFE"/>
    <w:rsid w:val="00EE63AE"/>
    <w:rsid w:val="00F15FA1"/>
    <w:rsid w:val="00F339C7"/>
    <w:rsid w:val="00F44F2F"/>
    <w:rsid w:val="00F47DFA"/>
    <w:rsid w:val="00F5065B"/>
    <w:rsid w:val="00F5070D"/>
    <w:rsid w:val="00F53B0E"/>
    <w:rsid w:val="00F61D1B"/>
    <w:rsid w:val="00F8458D"/>
    <w:rsid w:val="00F85890"/>
    <w:rsid w:val="00FA7589"/>
    <w:rsid w:val="00FC283F"/>
    <w:rsid w:val="00FC6791"/>
    <w:rsid w:val="00FC79D7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C11D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C11D5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11D5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11D59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D1698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 w:cs="Times New Roman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E712E"/>
    <w:rPr>
      <w:rFonts w:ascii="Times New Roman" w:hAnsi="Times New Roman" w:cs="Times New Roman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C11D59"/>
    <w:pPr>
      <w:spacing w:after="0" w:line="240" w:lineRule="auto"/>
      <w:jc w:val="center"/>
    </w:pPr>
    <w:rPr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11D59"/>
    <w:rPr>
      <w:rFonts w:ascii="Times New Roman" w:hAnsi="Times New Roman" w:cs="Times New Roman"/>
      <w:b/>
      <w:sz w:val="44"/>
    </w:rPr>
  </w:style>
  <w:style w:type="paragraph" w:customStyle="1" w:styleId="P-HEAD-ODST">
    <w:name w:val="ČP-HEAD-ODST"/>
    <w:rsid w:val="00C11D59"/>
    <w:pPr>
      <w:numPr>
        <w:numId w:val="33"/>
      </w:numPr>
      <w:jc w:val="center"/>
    </w:pPr>
    <w:rPr>
      <w:rFonts w:ascii="Tahoma" w:hAnsi="Tahom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D59"/>
    <w:pPr>
      <w:spacing w:after="0" w:line="240" w:lineRule="auto"/>
      <w:ind w:left="708"/>
      <w:jc w:val="left"/>
    </w:pPr>
    <w:rPr>
      <w:sz w:val="20"/>
      <w:szCs w:val="20"/>
      <w:lang w:eastAsia="cs-CZ"/>
    </w:rPr>
  </w:style>
  <w:style w:type="numbering" w:customStyle="1" w:styleId="StylVcerovovTun">
    <w:name w:val="Styl Víceúrovňové Tučné"/>
    <w:rsid w:val="00BE073E"/>
    <w:pPr>
      <w:numPr>
        <w:numId w:val="4"/>
      </w:numPr>
    </w:pPr>
  </w:style>
  <w:style w:type="paragraph" w:customStyle="1" w:styleId="P-HLTITULEK">
    <w:name w:val="ČP - HL.TITULEK"/>
    <w:basedOn w:val="Normln"/>
    <w:rsid w:val="00002C89"/>
    <w:pPr>
      <w:spacing w:after="0" w:line="240" w:lineRule="auto"/>
      <w:jc w:val="center"/>
    </w:pPr>
    <w:rPr>
      <w:rFonts w:ascii="Tahoma" w:hAnsi="Tahoma"/>
      <w:b/>
      <w:sz w:val="28"/>
      <w:szCs w:val="20"/>
      <w:lang w:eastAsia="cs-CZ"/>
    </w:rPr>
  </w:style>
  <w:style w:type="paragraph" w:customStyle="1" w:styleId="P-HEAD-1">
    <w:name w:val="ČP-HEAD-1"/>
    <w:basedOn w:val="Normln"/>
    <w:next w:val="P-NORMAL-TEXT"/>
    <w:rsid w:val="00002C89"/>
    <w:pPr>
      <w:numPr>
        <w:numId w:val="36"/>
      </w:numPr>
      <w:spacing w:after="0" w:line="240" w:lineRule="auto"/>
      <w:jc w:val="left"/>
    </w:pPr>
    <w:rPr>
      <w:rFonts w:ascii="Tahoma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02C89"/>
    <w:pPr>
      <w:tabs>
        <w:tab w:val="clear" w:pos="1701"/>
        <w:tab w:val="left" w:pos="2835"/>
      </w:tabs>
      <w:ind w:left="340"/>
    </w:pPr>
  </w:style>
  <w:style w:type="paragraph" w:styleId="Podtitul">
    <w:name w:val="Subtitle"/>
    <w:basedOn w:val="Normln"/>
    <w:link w:val="PodtitulChar"/>
    <w:qFormat/>
    <w:locked/>
    <w:rsid w:val="0045340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3404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7C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7C74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C11D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C11D5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11D5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11D59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D1698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 w:cs="Times New Roman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E712E"/>
    <w:rPr>
      <w:rFonts w:ascii="Times New Roman" w:hAnsi="Times New Roman" w:cs="Times New Roman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C11D59"/>
    <w:pPr>
      <w:spacing w:after="0" w:line="240" w:lineRule="auto"/>
      <w:jc w:val="center"/>
    </w:pPr>
    <w:rPr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11D59"/>
    <w:rPr>
      <w:rFonts w:ascii="Times New Roman" w:hAnsi="Times New Roman" w:cs="Times New Roman"/>
      <w:b/>
      <w:sz w:val="44"/>
    </w:rPr>
  </w:style>
  <w:style w:type="paragraph" w:customStyle="1" w:styleId="P-HEAD-ODST">
    <w:name w:val="ČP-HEAD-ODST"/>
    <w:rsid w:val="00C11D59"/>
    <w:pPr>
      <w:numPr>
        <w:numId w:val="33"/>
      </w:numPr>
      <w:jc w:val="center"/>
    </w:pPr>
    <w:rPr>
      <w:rFonts w:ascii="Tahoma" w:hAnsi="Tahom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D59"/>
    <w:pPr>
      <w:spacing w:after="0" w:line="240" w:lineRule="auto"/>
      <w:ind w:left="708"/>
      <w:jc w:val="left"/>
    </w:pPr>
    <w:rPr>
      <w:sz w:val="20"/>
      <w:szCs w:val="20"/>
      <w:lang w:eastAsia="cs-CZ"/>
    </w:rPr>
  </w:style>
  <w:style w:type="numbering" w:customStyle="1" w:styleId="StylVcerovovTun">
    <w:name w:val="Styl Víceúrovňové Tučné"/>
    <w:rsid w:val="00BE073E"/>
    <w:pPr>
      <w:numPr>
        <w:numId w:val="4"/>
      </w:numPr>
    </w:pPr>
  </w:style>
  <w:style w:type="paragraph" w:customStyle="1" w:styleId="P-HLTITULEK">
    <w:name w:val="ČP - HL.TITULEK"/>
    <w:basedOn w:val="Normln"/>
    <w:rsid w:val="00002C89"/>
    <w:pPr>
      <w:spacing w:after="0" w:line="240" w:lineRule="auto"/>
      <w:jc w:val="center"/>
    </w:pPr>
    <w:rPr>
      <w:rFonts w:ascii="Tahoma" w:hAnsi="Tahoma"/>
      <w:b/>
      <w:sz w:val="28"/>
      <w:szCs w:val="20"/>
      <w:lang w:eastAsia="cs-CZ"/>
    </w:rPr>
  </w:style>
  <w:style w:type="paragraph" w:customStyle="1" w:styleId="P-HEAD-1">
    <w:name w:val="ČP-HEAD-1"/>
    <w:basedOn w:val="Normln"/>
    <w:next w:val="P-NORMAL-TEXT"/>
    <w:rsid w:val="00002C89"/>
    <w:pPr>
      <w:numPr>
        <w:numId w:val="36"/>
      </w:numPr>
      <w:spacing w:after="0" w:line="240" w:lineRule="auto"/>
      <w:jc w:val="left"/>
    </w:pPr>
    <w:rPr>
      <w:rFonts w:ascii="Tahoma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02C89"/>
    <w:pPr>
      <w:tabs>
        <w:tab w:val="clear" w:pos="1701"/>
        <w:tab w:val="left" w:pos="2835"/>
      </w:tabs>
      <w:ind w:left="340"/>
    </w:pPr>
  </w:style>
  <w:style w:type="paragraph" w:styleId="Podtitul">
    <w:name w:val="Subtitle"/>
    <w:basedOn w:val="Normln"/>
    <w:link w:val="PodtitulChar"/>
    <w:qFormat/>
    <w:locked/>
    <w:rsid w:val="0045340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3404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7C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7C74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7486-9CAB-4FDD-987A-B44AB08B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3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Dohody</vt:lpstr>
      <vt:lpstr>Název Dohody</vt:lpstr>
    </vt:vector>
  </TitlesOfParts>
  <Company>Česká pošta, s.p.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Chalašová Monika Ing.</cp:lastModifiedBy>
  <cp:revision>4</cp:revision>
  <dcterms:created xsi:type="dcterms:W3CDTF">2013-07-02T14:37:00Z</dcterms:created>
  <dcterms:modified xsi:type="dcterms:W3CDTF">2016-12-05T09:36:00Z</dcterms:modified>
</cp:coreProperties>
</file>