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84" w:rsidRPr="00D60E9F" w:rsidRDefault="00352F84" w:rsidP="00E07207">
      <w:pPr>
        <w:pStyle w:val="Nzev"/>
        <w:ind w:left="900" w:right="900" w:hanging="36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E07207" w:rsidRPr="00D60E9F" w:rsidRDefault="00E07207" w:rsidP="00E07207">
      <w:pPr>
        <w:pStyle w:val="Nzev"/>
        <w:ind w:left="900" w:right="900" w:hanging="360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SMLOUVA O POSKYTOVÁNÍ PRÁVNÍCH SLUŽEB</w:t>
      </w:r>
    </w:p>
    <w:p w:rsidR="00643872" w:rsidRPr="00D60E9F" w:rsidRDefault="00643872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H</w:t>
      </w:r>
      <w:r w:rsidR="00242AB4" w:rsidRPr="00D60E9F">
        <w:rPr>
          <w:rFonts w:ascii="Cambria" w:hAnsi="Cambria"/>
          <w:b/>
          <w:sz w:val="22"/>
          <w:szCs w:val="22"/>
        </w:rPr>
        <w:t>KR advokátní kancelář, s.r.o.</w:t>
      </w:r>
    </w:p>
    <w:p w:rsidR="00352F84" w:rsidRPr="00D60E9F" w:rsidRDefault="00E07207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se sídlem Praha 4, Na Pankráci 30a/404, </w:t>
      </w:r>
      <w:r w:rsidR="00352F84" w:rsidRPr="00D60E9F">
        <w:rPr>
          <w:rFonts w:ascii="Cambria" w:hAnsi="Cambria"/>
          <w:sz w:val="22"/>
          <w:szCs w:val="22"/>
        </w:rPr>
        <w:t>PSČ 140 00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IČO</w:t>
      </w:r>
      <w:r w:rsidR="00352F84" w:rsidRPr="00D60E9F">
        <w:rPr>
          <w:rFonts w:ascii="Cambria" w:hAnsi="Cambria"/>
          <w:sz w:val="22"/>
          <w:szCs w:val="22"/>
        </w:rPr>
        <w:t>:</w:t>
      </w:r>
      <w:r w:rsidR="00242AB4" w:rsidRPr="00D60E9F">
        <w:rPr>
          <w:rFonts w:ascii="Cambria" w:hAnsi="Cambria"/>
          <w:sz w:val="22"/>
          <w:szCs w:val="22"/>
        </w:rPr>
        <w:t xml:space="preserve"> 043 72 824</w:t>
      </w:r>
      <w:r w:rsidR="007D18F2">
        <w:rPr>
          <w:rFonts w:ascii="Cambria" w:hAnsi="Cambria" w:cs="Arial"/>
          <w:sz w:val="22"/>
          <w:szCs w:val="22"/>
        </w:rPr>
        <w:t xml:space="preserve">, DIČ: CZ </w:t>
      </w:r>
      <w:r w:rsidR="007D18F2" w:rsidRPr="00D60E9F">
        <w:rPr>
          <w:rFonts w:ascii="Cambria" w:hAnsi="Cambria"/>
          <w:sz w:val="22"/>
          <w:szCs w:val="22"/>
        </w:rPr>
        <w:t>043 72 824</w:t>
      </w:r>
    </w:p>
    <w:p w:rsidR="00FC344B" w:rsidRPr="00D60E9F" w:rsidRDefault="00352F84" w:rsidP="00E07207">
      <w:pPr>
        <w:ind w:left="900" w:right="900" w:hanging="360"/>
        <w:jc w:val="both"/>
        <w:rPr>
          <w:rFonts w:ascii="Cambria" w:hAnsi="Cambria"/>
          <w:color w:val="000000"/>
          <w:sz w:val="22"/>
          <w:szCs w:val="22"/>
        </w:rPr>
      </w:pPr>
      <w:r w:rsidRPr="00D60E9F">
        <w:rPr>
          <w:rFonts w:ascii="Cambria" w:hAnsi="Cambria"/>
          <w:color w:val="000000"/>
          <w:sz w:val="22"/>
          <w:szCs w:val="22"/>
          <w:lang w:eastAsia="cs-CZ"/>
        </w:rPr>
        <w:t>zapsaná</w:t>
      </w:r>
      <w:r w:rsidR="00FC344B" w:rsidRPr="00D60E9F">
        <w:rPr>
          <w:rFonts w:ascii="Cambria" w:hAnsi="Cambria"/>
          <w:color w:val="000000"/>
          <w:sz w:val="22"/>
          <w:szCs w:val="22"/>
          <w:lang w:eastAsia="cs-CZ"/>
        </w:rPr>
        <w:t xml:space="preserve"> v obchodním rejstříku u Městského soudu v</w:t>
      </w:r>
      <w:r w:rsidR="009C6407">
        <w:rPr>
          <w:rFonts w:ascii="Cambria" w:hAnsi="Cambria"/>
          <w:color w:val="000000"/>
          <w:sz w:val="22"/>
          <w:szCs w:val="22"/>
          <w:lang w:eastAsia="cs-CZ"/>
        </w:rPr>
        <w:t> </w:t>
      </w:r>
      <w:r w:rsidR="00FC344B" w:rsidRPr="00D60E9F">
        <w:rPr>
          <w:rFonts w:ascii="Cambria" w:hAnsi="Cambria"/>
          <w:color w:val="000000"/>
          <w:sz w:val="22"/>
          <w:szCs w:val="22"/>
          <w:lang w:eastAsia="cs-CZ"/>
        </w:rPr>
        <w:t>Praze</w:t>
      </w:r>
      <w:r w:rsidR="009C6407">
        <w:rPr>
          <w:rFonts w:ascii="Cambria" w:hAnsi="Cambria"/>
          <w:color w:val="000000"/>
          <w:sz w:val="22"/>
          <w:szCs w:val="22"/>
          <w:lang w:eastAsia="cs-CZ"/>
        </w:rPr>
        <w:t xml:space="preserve"> pod sp. zn.</w:t>
      </w:r>
      <w:r w:rsidR="00FC344B" w:rsidRPr="00D60E9F">
        <w:rPr>
          <w:rFonts w:ascii="Cambria" w:hAnsi="Cambria"/>
          <w:color w:val="000000"/>
          <w:sz w:val="22"/>
          <w:szCs w:val="22"/>
          <w:lang w:eastAsia="cs-CZ"/>
        </w:rPr>
        <w:t> </w:t>
      </w:r>
      <w:r w:rsidR="00FC344B" w:rsidRPr="00D60E9F">
        <w:rPr>
          <w:rFonts w:ascii="Cambria" w:hAnsi="Cambria"/>
          <w:bCs/>
          <w:color w:val="000000"/>
          <w:sz w:val="22"/>
          <w:szCs w:val="22"/>
        </w:rPr>
        <w:t>C </w:t>
      </w:r>
      <w:r w:rsidR="00242AB4" w:rsidRPr="00D60E9F">
        <w:rPr>
          <w:rFonts w:ascii="Cambria" w:hAnsi="Cambria"/>
          <w:bCs/>
          <w:color w:val="000000"/>
          <w:sz w:val="22"/>
          <w:szCs w:val="22"/>
        </w:rPr>
        <w:t>246583</w:t>
      </w:r>
      <w:r w:rsidR="00FC344B" w:rsidRPr="00D60E9F">
        <w:rPr>
          <w:rFonts w:ascii="Cambria" w:hAnsi="Cambria"/>
          <w:color w:val="000000"/>
          <w:sz w:val="22"/>
          <w:szCs w:val="22"/>
        </w:rPr>
        <w:t xml:space="preserve">  </w:t>
      </w:r>
    </w:p>
    <w:p w:rsidR="00E07207" w:rsidRPr="00D60E9F" w:rsidRDefault="00352F84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zastoupená </w:t>
      </w:r>
      <w:r w:rsidR="00927F6B" w:rsidRPr="00D60E9F">
        <w:rPr>
          <w:rFonts w:ascii="Cambria" w:hAnsi="Cambria"/>
          <w:sz w:val="22"/>
          <w:szCs w:val="22"/>
        </w:rPr>
        <w:t xml:space="preserve">Mgr. </w:t>
      </w:r>
      <w:r w:rsidR="000C23A1">
        <w:rPr>
          <w:rFonts w:ascii="Cambria" w:hAnsi="Cambria"/>
          <w:sz w:val="22"/>
          <w:szCs w:val="22"/>
        </w:rPr>
        <w:t>Jiřím Hnátem</w:t>
      </w:r>
      <w:r w:rsidRPr="00D60E9F">
        <w:rPr>
          <w:rFonts w:ascii="Cambria" w:hAnsi="Cambria"/>
          <w:sz w:val="22"/>
          <w:szCs w:val="22"/>
        </w:rPr>
        <w:t xml:space="preserve">, </w:t>
      </w:r>
      <w:r w:rsidR="00E07207" w:rsidRPr="00D60E9F">
        <w:rPr>
          <w:rFonts w:ascii="Cambria" w:hAnsi="Cambria"/>
          <w:sz w:val="22"/>
          <w:szCs w:val="22"/>
        </w:rPr>
        <w:t>advokát</w:t>
      </w:r>
      <w:r w:rsidR="00927F6B" w:rsidRPr="00D60E9F">
        <w:rPr>
          <w:rFonts w:ascii="Cambria" w:hAnsi="Cambria"/>
          <w:sz w:val="22"/>
          <w:szCs w:val="22"/>
        </w:rPr>
        <w:t>em</w:t>
      </w:r>
      <w:r w:rsidR="00E07207" w:rsidRPr="00D60E9F">
        <w:rPr>
          <w:rFonts w:ascii="Cambria" w:hAnsi="Cambria"/>
          <w:sz w:val="22"/>
          <w:szCs w:val="22"/>
        </w:rPr>
        <w:t>, jednatel</w:t>
      </w:r>
      <w:r w:rsidR="00927F6B" w:rsidRPr="00D60E9F">
        <w:rPr>
          <w:rFonts w:ascii="Cambria" w:hAnsi="Cambria"/>
          <w:sz w:val="22"/>
          <w:szCs w:val="22"/>
        </w:rPr>
        <w:t>em</w:t>
      </w:r>
    </w:p>
    <w:p w:rsidR="00643872" w:rsidRPr="00D60E9F" w:rsidRDefault="00643872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dále jen »</w:t>
      </w:r>
      <w:r w:rsidRPr="00D60E9F">
        <w:rPr>
          <w:rFonts w:ascii="Cambria" w:hAnsi="Cambria"/>
          <w:b/>
          <w:sz w:val="22"/>
          <w:szCs w:val="22"/>
        </w:rPr>
        <w:t>advokátní kancelář</w:t>
      </w:r>
      <w:r w:rsidRPr="00D60E9F">
        <w:rPr>
          <w:rFonts w:ascii="Cambria" w:hAnsi="Cambria"/>
          <w:sz w:val="22"/>
          <w:szCs w:val="22"/>
        </w:rPr>
        <w:t xml:space="preserve"> nebo </w:t>
      </w:r>
      <w:r w:rsidRPr="00D60E9F">
        <w:rPr>
          <w:rFonts w:ascii="Cambria" w:hAnsi="Cambria"/>
          <w:b/>
          <w:sz w:val="22"/>
          <w:szCs w:val="22"/>
        </w:rPr>
        <w:t>advokát</w:t>
      </w:r>
      <w:r w:rsidRPr="00D60E9F">
        <w:rPr>
          <w:rFonts w:ascii="Cambria" w:hAnsi="Cambria"/>
          <w:sz w:val="22"/>
          <w:szCs w:val="22"/>
        </w:rPr>
        <w:t xml:space="preserve"> «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b/>
          <w:smallCaps/>
          <w:sz w:val="22"/>
          <w:szCs w:val="22"/>
        </w:rPr>
      </w:pPr>
    </w:p>
    <w:p w:rsidR="00643872" w:rsidRPr="00D60E9F" w:rsidRDefault="00242AB4" w:rsidP="006024FA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a</w:t>
      </w:r>
    </w:p>
    <w:p w:rsidR="006024FA" w:rsidRPr="00D60E9F" w:rsidRDefault="006024FA" w:rsidP="00527B7C">
      <w:pPr>
        <w:tabs>
          <w:tab w:val="left" w:pos="7680"/>
        </w:tabs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0C23A1" w:rsidRPr="00FC7B60" w:rsidRDefault="000C23A1" w:rsidP="006B3043">
      <w:pPr>
        <w:ind w:left="900" w:right="900" w:hanging="36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FC7B60">
        <w:rPr>
          <w:rFonts w:ascii="Cambria" w:hAnsi="Cambria"/>
          <w:b/>
          <w:color w:val="000000" w:themeColor="text1"/>
          <w:sz w:val="22"/>
          <w:szCs w:val="22"/>
        </w:rPr>
        <w:t>Thermal Pasohlávky a.s.</w:t>
      </w:r>
    </w:p>
    <w:p w:rsidR="00FC7B60" w:rsidRPr="00FC7B60" w:rsidRDefault="00FC7B60" w:rsidP="00FC7B60">
      <w:pPr>
        <w:ind w:left="900" w:right="900" w:hanging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C7B60">
        <w:rPr>
          <w:rFonts w:ascii="Cambria" w:hAnsi="Cambria"/>
          <w:color w:val="000000" w:themeColor="text1"/>
          <w:sz w:val="22"/>
          <w:szCs w:val="22"/>
        </w:rPr>
        <w:t>se sídlem č.p. 1, 691 22 Pasohlávky</w:t>
      </w:r>
    </w:p>
    <w:p w:rsidR="00D60E9F" w:rsidRPr="00FC7B60" w:rsidRDefault="00D60E9F" w:rsidP="006B3043">
      <w:pPr>
        <w:ind w:left="900" w:right="900" w:hanging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C7B60">
        <w:rPr>
          <w:rFonts w:ascii="Cambria" w:hAnsi="Cambria"/>
          <w:color w:val="000000" w:themeColor="text1"/>
          <w:sz w:val="22"/>
          <w:szCs w:val="22"/>
        </w:rPr>
        <w:t xml:space="preserve">IČO: </w:t>
      </w:r>
      <w:r w:rsidR="006B3043" w:rsidRPr="00FC7B60">
        <w:rPr>
          <w:rFonts w:ascii="Cambria" w:hAnsi="Cambria"/>
          <w:color w:val="000000" w:themeColor="text1"/>
          <w:sz w:val="22"/>
          <w:szCs w:val="22"/>
        </w:rPr>
        <w:t>27714608</w:t>
      </w:r>
      <w:r w:rsidR="007D18F2" w:rsidRPr="00FC7B60">
        <w:rPr>
          <w:rFonts w:ascii="Cambria" w:hAnsi="Cambria"/>
          <w:color w:val="000000" w:themeColor="text1"/>
          <w:sz w:val="22"/>
          <w:szCs w:val="22"/>
        </w:rPr>
        <w:t xml:space="preserve">, DIČ: CZ </w:t>
      </w:r>
      <w:r w:rsidR="006B3043" w:rsidRPr="00FC7B60">
        <w:rPr>
          <w:rFonts w:ascii="Cambria" w:hAnsi="Cambria"/>
          <w:color w:val="000000" w:themeColor="text1"/>
          <w:sz w:val="22"/>
          <w:szCs w:val="22"/>
        </w:rPr>
        <w:t>27714608</w:t>
      </w:r>
    </w:p>
    <w:p w:rsidR="00D60E9F" w:rsidRPr="00FC7B60" w:rsidRDefault="00D60E9F" w:rsidP="006B3043">
      <w:pPr>
        <w:ind w:left="900" w:right="900" w:hanging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C7B60">
        <w:rPr>
          <w:rFonts w:ascii="Cambria" w:hAnsi="Cambria"/>
          <w:color w:val="000000" w:themeColor="text1"/>
          <w:sz w:val="22"/>
          <w:szCs w:val="22"/>
        </w:rPr>
        <w:t xml:space="preserve">zapsaná v obchodním rejstříku vedeném u </w:t>
      </w:r>
      <w:r w:rsidR="006B3043" w:rsidRPr="00FC7B60">
        <w:rPr>
          <w:rFonts w:ascii="Cambria" w:hAnsi="Cambria"/>
          <w:color w:val="000000" w:themeColor="text1"/>
          <w:sz w:val="22"/>
          <w:szCs w:val="22"/>
        </w:rPr>
        <w:t xml:space="preserve">Krajského soudu v </w:t>
      </w:r>
      <w:r w:rsidR="009C6407">
        <w:rPr>
          <w:rFonts w:ascii="Cambria" w:hAnsi="Cambria"/>
          <w:color w:val="000000" w:themeColor="text1"/>
          <w:sz w:val="22"/>
          <w:szCs w:val="22"/>
        </w:rPr>
        <w:t>Brně</w:t>
      </w:r>
      <w:r w:rsidRPr="00FC7B60">
        <w:rPr>
          <w:rFonts w:ascii="Cambria" w:hAnsi="Cambria"/>
          <w:color w:val="000000" w:themeColor="text1"/>
          <w:sz w:val="22"/>
          <w:szCs w:val="22"/>
        </w:rPr>
        <w:t xml:space="preserve"> pod sp.zn. B  </w:t>
      </w:r>
      <w:r w:rsidR="006B3043" w:rsidRPr="00FC7B60">
        <w:rPr>
          <w:rFonts w:ascii="Cambria" w:hAnsi="Cambria"/>
          <w:color w:val="000000" w:themeColor="text1"/>
          <w:sz w:val="22"/>
          <w:szCs w:val="22"/>
        </w:rPr>
        <w:t>4822</w:t>
      </w:r>
    </w:p>
    <w:p w:rsidR="00D60E9F" w:rsidRPr="00FC7B60" w:rsidRDefault="00D60E9F" w:rsidP="006B3043">
      <w:pPr>
        <w:ind w:left="900" w:right="900" w:hanging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C7B60">
        <w:rPr>
          <w:rFonts w:ascii="Cambria" w:hAnsi="Cambria"/>
          <w:color w:val="000000" w:themeColor="text1"/>
          <w:sz w:val="22"/>
          <w:szCs w:val="22"/>
        </w:rPr>
        <w:t>zastoupená</w:t>
      </w:r>
      <w:r w:rsidRPr="00FC7B60">
        <w:rPr>
          <w:rFonts w:ascii="Cambria" w:hAnsi="Cambria"/>
          <w:color w:val="000000" w:themeColor="text1"/>
          <w:sz w:val="22"/>
          <w:szCs w:val="22"/>
        </w:rPr>
        <w:tab/>
      </w:r>
      <w:r w:rsidR="006B3043" w:rsidRPr="00FC7B60">
        <w:rPr>
          <w:rFonts w:ascii="Cambria" w:hAnsi="Cambria"/>
          <w:color w:val="000000" w:themeColor="text1"/>
          <w:sz w:val="22"/>
          <w:szCs w:val="22"/>
        </w:rPr>
        <w:t xml:space="preserve">Ing, Martinem Itterheimem, předsedou představenstva </w:t>
      </w:r>
    </w:p>
    <w:p w:rsidR="00D60E9F" w:rsidRPr="00FC7B60" w:rsidRDefault="006B3043" w:rsidP="006B3043">
      <w:pPr>
        <w:ind w:left="1608" w:right="900" w:firstLine="51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C7B60">
        <w:rPr>
          <w:rFonts w:ascii="Cambria" w:hAnsi="Cambria"/>
          <w:color w:val="000000" w:themeColor="text1"/>
          <w:sz w:val="22"/>
          <w:szCs w:val="22"/>
        </w:rPr>
        <w:t xml:space="preserve">JUDr. Jiřím Olivou, členem představenstva  </w:t>
      </w:r>
    </w:p>
    <w:p w:rsidR="00FC7B60" w:rsidRDefault="00FC7B60" w:rsidP="00D60E9F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D60E9F">
      <w:pPr>
        <w:ind w:left="900" w:right="900" w:hanging="360"/>
        <w:jc w:val="both"/>
        <w:rPr>
          <w:rFonts w:ascii="Cambria" w:hAnsi="Cambria"/>
          <w:b/>
          <w:bCs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dále jen </w:t>
      </w:r>
      <w:r w:rsidRPr="00D60E9F">
        <w:rPr>
          <w:rFonts w:ascii="Cambria" w:hAnsi="Cambria"/>
          <w:b/>
          <w:bCs/>
          <w:sz w:val="22"/>
          <w:szCs w:val="22"/>
        </w:rPr>
        <w:t>»klient«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uzavřeli dnešního dne podle zákona č. 85/1996 Sb., o advokacii,</w:t>
      </w:r>
      <w:r w:rsidR="00D60E9F">
        <w:rPr>
          <w:rFonts w:ascii="Cambria" w:hAnsi="Cambria"/>
          <w:sz w:val="22"/>
          <w:szCs w:val="22"/>
        </w:rPr>
        <w:t xml:space="preserve"> v platném znění, </w:t>
      </w:r>
      <w:r w:rsidRPr="00D60E9F">
        <w:rPr>
          <w:rFonts w:ascii="Cambria" w:hAnsi="Cambria"/>
          <w:sz w:val="22"/>
          <w:szCs w:val="22"/>
        </w:rPr>
        <w:t xml:space="preserve">tuto </w:t>
      </w:r>
    </w:p>
    <w:p w:rsidR="00643872" w:rsidRPr="00D60E9F" w:rsidRDefault="00643872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352F84">
      <w:pPr>
        <w:ind w:left="900" w:right="900" w:hanging="360"/>
        <w:jc w:val="center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  <w:u w:val="single"/>
        </w:rPr>
        <w:t>Smlouvu o poskytování právních služeb</w:t>
      </w:r>
      <w:r w:rsidRPr="00D60E9F">
        <w:rPr>
          <w:rFonts w:ascii="Cambria" w:hAnsi="Cambria"/>
          <w:sz w:val="22"/>
          <w:szCs w:val="22"/>
        </w:rPr>
        <w:t>:</w:t>
      </w:r>
    </w:p>
    <w:p w:rsidR="00FC344B" w:rsidRDefault="00FC344B" w:rsidP="00E07207">
      <w:pPr>
        <w:spacing w:line="360" w:lineRule="auto"/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I.</w:t>
      </w: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PŘEDMĚT SMLOUVY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741B2B" w:rsidRDefault="00741B2B" w:rsidP="00741B2B">
      <w:pPr>
        <w:pStyle w:val="Default"/>
      </w:pPr>
    </w:p>
    <w:p w:rsidR="00352F84" w:rsidRPr="00DE056C" w:rsidRDefault="00741B2B" w:rsidP="00741B2B">
      <w:pPr>
        <w:numPr>
          <w:ilvl w:val="0"/>
          <w:numId w:val="2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E056C">
        <w:rPr>
          <w:rFonts w:ascii="Cambria" w:hAnsi="Cambria"/>
          <w:sz w:val="22"/>
          <w:szCs w:val="22"/>
        </w:rPr>
        <w:t xml:space="preserve">Předmětem této smlouvy je poskytování právních služeb advokátem klientovi ve věci </w:t>
      </w:r>
      <w:r w:rsidR="00C471E0" w:rsidRPr="00DE056C">
        <w:rPr>
          <w:rFonts w:ascii="Cambria" w:hAnsi="Cambria"/>
          <w:sz w:val="22"/>
          <w:szCs w:val="22"/>
        </w:rPr>
        <w:t xml:space="preserve">týkající se </w:t>
      </w:r>
      <w:r w:rsidRPr="00DE056C">
        <w:rPr>
          <w:rFonts w:ascii="Cambria" w:hAnsi="Cambria"/>
          <w:sz w:val="22"/>
          <w:szCs w:val="22"/>
        </w:rPr>
        <w:t>smlouvy o dílo</w:t>
      </w:r>
      <w:r w:rsidR="00C471E0" w:rsidRPr="00DE056C">
        <w:rPr>
          <w:rFonts w:ascii="Cambria" w:hAnsi="Cambria"/>
          <w:sz w:val="22"/>
          <w:szCs w:val="22"/>
        </w:rPr>
        <w:t xml:space="preserve"> </w:t>
      </w:r>
      <w:r w:rsidR="009C6407" w:rsidRPr="00DE056C">
        <w:rPr>
          <w:rFonts w:ascii="Cambria" w:hAnsi="Cambria"/>
          <w:sz w:val="22"/>
          <w:szCs w:val="22"/>
        </w:rPr>
        <w:t xml:space="preserve">č. DZ 13010032/St </w:t>
      </w:r>
      <w:r w:rsidR="00C471E0" w:rsidRPr="00DE056C">
        <w:rPr>
          <w:rFonts w:ascii="Cambria" w:hAnsi="Cambria"/>
          <w:sz w:val="22"/>
          <w:szCs w:val="22"/>
        </w:rPr>
        <w:t>uzavřené dne 19. 3. 2013 mezi klientem a sdružením s názvem „</w:t>
      </w:r>
      <w:r w:rsidR="00C471E0" w:rsidRPr="00DE056C">
        <w:rPr>
          <w:rFonts w:ascii="Cambria" w:hAnsi="Cambria"/>
          <w:i/>
          <w:sz w:val="22"/>
          <w:szCs w:val="22"/>
        </w:rPr>
        <w:t>Sdružení Thermal Pasohlávky – páteřní, technická a dopravní infrastruktura</w:t>
      </w:r>
      <w:r w:rsidR="00C471E0" w:rsidRPr="00DE056C">
        <w:rPr>
          <w:rFonts w:ascii="Cambria" w:hAnsi="Cambria"/>
          <w:sz w:val="22"/>
          <w:szCs w:val="22"/>
        </w:rPr>
        <w:t>“</w:t>
      </w:r>
      <w:r w:rsidRPr="00DE056C">
        <w:rPr>
          <w:rFonts w:ascii="Cambria" w:hAnsi="Cambria"/>
          <w:sz w:val="22"/>
          <w:szCs w:val="22"/>
        </w:rPr>
        <w:t xml:space="preserve">. </w:t>
      </w:r>
      <w:r w:rsidR="00C471E0" w:rsidRPr="00DE056C">
        <w:rPr>
          <w:rFonts w:ascii="Cambria" w:hAnsi="Cambria"/>
          <w:sz w:val="22"/>
          <w:szCs w:val="22"/>
        </w:rPr>
        <w:t xml:space="preserve">Právními službami </w:t>
      </w:r>
      <w:r w:rsidR="00352F84" w:rsidRPr="00DE056C">
        <w:rPr>
          <w:rFonts w:ascii="Cambria" w:hAnsi="Cambria"/>
          <w:sz w:val="22"/>
          <w:szCs w:val="22"/>
        </w:rPr>
        <w:t xml:space="preserve">se rozumí </w:t>
      </w:r>
      <w:r w:rsidR="00C471E0" w:rsidRPr="00DE056C">
        <w:rPr>
          <w:rFonts w:ascii="Cambria" w:hAnsi="Cambria"/>
          <w:sz w:val="22"/>
          <w:szCs w:val="22"/>
        </w:rPr>
        <w:t xml:space="preserve">především </w:t>
      </w:r>
      <w:r w:rsidR="00352F84" w:rsidRPr="00DE056C">
        <w:rPr>
          <w:rFonts w:ascii="Cambria" w:hAnsi="Cambria"/>
          <w:sz w:val="22"/>
          <w:szCs w:val="22"/>
        </w:rPr>
        <w:t>udělování právních rad, sepisování listin, zpracovávání právních rozborů a další formy právní pomoci</w:t>
      </w:r>
      <w:r w:rsidR="00BD3A7A" w:rsidRPr="00DE056C">
        <w:rPr>
          <w:rFonts w:ascii="Cambria" w:hAnsi="Cambria"/>
          <w:sz w:val="22"/>
          <w:szCs w:val="22"/>
        </w:rPr>
        <w:t>.</w:t>
      </w:r>
    </w:p>
    <w:p w:rsidR="00643872" w:rsidRPr="00D60E9F" w:rsidRDefault="00643872" w:rsidP="00643872">
      <w:p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</w:p>
    <w:p w:rsidR="00643872" w:rsidRPr="00D60E9F" w:rsidRDefault="00352F84" w:rsidP="00352F84">
      <w:pPr>
        <w:numPr>
          <w:ilvl w:val="0"/>
          <w:numId w:val="2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je oprávněn poskytovat p</w:t>
      </w:r>
      <w:r w:rsidR="00C471E0">
        <w:rPr>
          <w:rFonts w:ascii="Cambria" w:hAnsi="Cambria"/>
          <w:sz w:val="22"/>
          <w:szCs w:val="22"/>
        </w:rPr>
        <w:t>rávní služby ve všech právních oblastech</w:t>
      </w:r>
      <w:r w:rsidRPr="00D60E9F">
        <w:rPr>
          <w:rFonts w:ascii="Cambria" w:hAnsi="Cambria"/>
          <w:sz w:val="22"/>
          <w:szCs w:val="22"/>
        </w:rPr>
        <w:t>.</w:t>
      </w:r>
    </w:p>
    <w:p w:rsidR="00643872" w:rsidRPr="00D60E9F" w:rsidRDefault="00643872" w:rsidP="00643872">
      <w:pPr>
        <w:pStyle w:val="Odstavecseseznamem"/>
        <w:rPr>
          <w:rFonts w:ascii="Cambria" w:hAnsi="Cambria"/>
          <w:sz w:val="22"/>
          <w:szCs w:val="22"/>
        </w:rPr>
      </w:pPr>
    </w:p>
    <w:p w:rsidR="00352F84" w:rsidRPr="00D60E9F" w:rsidRDefault="00352F84" w:rsidP="00352F84">
      <w:pPr>
        <w:numPr>
          <w:ilvl w:val="0"/>
          <w:numId w:val="2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Advokát bude poskytovat právní </w:t>
      </w:r>
      <w:r w:rsidR="00C471E0">
        <w:rPr>
          <w:rFonts w:ascii="Cambria" w:hAnsi="Cambria"/>
          <w:sz w:val="22"/>
          <w:szCs w:val="22"/>
        </w:rPr>
        <w:t>služby</w:t>
      </w:r>
      <w:r w:rsidRPr="00D60E9F">
        <w:rPr>
          <w:rFonts w:ascii="Cambria" w:hAnsi="Cambria"/>
          <w:sz w:val="22"/>
          <w:szCs w:val="22"/>
        </w:rPr>
        <w:t xml:space="preserve"> na základě pokynů klienta.</w:t>
      </w:r>
    </w:p>
    <w:p w:rsidR="00D65610" w:rsidRPr="00D60E9F" w:rsidRDefault="00D65610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II.</w:t>
      </w: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POSKYTOVÁNÍ PRÁVNÍCH SLUŽEB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4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je při poskytování právních služeb nezávislý; je vázán právními předpisy a v jejich mezích příkazy klienta.</w:t>
      </w:r>
    </w:p>
    <w:p w:rsidR="00643872" w:rsidRPr="00D60E9F" w:rsidRDefault="00643872" w:rsidP="00643872">
      <w:p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4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lastRenderedPageBreak/>
        <w:t>Advokát je povinen chránit a prosazovat práva a oprávněné zájmy klienta a řídit se jeho pokyny. Pokyny klienta však není vázán, jsou-li v rozporu se zákonem nebo stavovským předpisem; o tom je advokát povinen klienta přiměřeně poučit.</w:t>
      </w:r>
    </w:p>
    <w:p w:rsidR="00643872" w:rsidRPr="00D60E9F" w:rsidRDefault="00643872" w:rsidP="00643872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4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Při výkonu advokacie je advokát povinen jednat čestně a svědomitě; je povinen využívat důsledně všechny zákonné prostředky a v jejich rámci uplatnit v zájmu klienta vše, co podle svého přesvědčení pokládá za prospěšné.</w:t>
      </w:r>
    </w:p>
    <w:p w:rsidR="00643872" w:rsidRPr="00D60E9F" w:rsidRDefault="00643872" w:rsidP="00643872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4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postupuje při výkonu advokacie tak, aby nesnižoval důstojnost advokátního stavu; za tím účelem je zejména povinen dodržovat pravidla profesionální etiky a pravidla soutěže. Pravidla profesionální etiky a pravidla soutěže stanoví stavovský předpis.</w:t>
      </w:r>
    </w:p>
    <w:p w:rsidR="00643872" w:rsidRPr="00D60E9F" w:rsidRDefault="00643872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III.</w:t>
      </w: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ODMÍTNUTÍ PRÁVNÍCH SLUŽEB, ODSTOUPENÍ OD SMLOUVY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19370C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851" w:right="900" w:hanging="284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je povinen poskytování právních služeb odmítnout, jestliže</w:t>
      </w:r>
    </w:p>
    <w:p w:rsidR="00E07207" w:rsidRPr="00D60E9F" w:rsidRDefault="00E07207" w:rsidP="0019370C">
      <w:pPr>
        <w:numPr>
          <w:ilvl w:val="0"/>
          <w:numId w:val="5"/>
        </w:numPr>
        <w:tabs>
          <w:tab w:val="clear" w:pos="567"/>
          <w:tab w:val="left" w:pos="1134"/>
          <w:tab w:val="left" w:pos="1183"/>
        </w:tabs>
        <w:ind w:left="851" w:right="900" w:firstLine="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v téže věci nebo věci související již poskytl právní služby jinému, jehož zájmy jsou v rozporu se zájmy klienta,</w:t>
      </w:r>
    </w:p>
    <w:p w:rsidR="00E07207" w:rsidRPr="00D60E9F" w:rsidRDefault="00E07207" w:rsidP="0019370C">
      <w:pPr>
        <w:numPr>
          <w:ilvl w:val="0"/>
          <w:numId w:val="5"/>
        </w:numPr>
        <w:tabs>
          <w:tab w:val="clear" w:pos="567"/>
          <w:tab w:val="left" w:pos="1134"/>
          <w:tab w:val="left" w:pos="1183"/>
        </w:tabs>
        <w:ind w:left="851" w:right="900" w:firstLine="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osobě, jejíž zájmy jsou v rozporu se zájmy klienta, poskytl již v téže věci nebo věci související právní služby advokát, s nímž vykonává advokacii </w:t>
      </w:r>
      <w:r w:rsidR="00DE056C">
        <w:rPr>
          <w:rFonts w:ascii="Cambria" w:hAnsi="Cambria"/>
          <w:sz w:val="22"/>
          <w:szCs w:val="22"/>
        </w:rPr>
        <w:t>v</w:t>
      </w:r>
      <w:r w:rsidRPr="00D60E9F">
        <w:rPr>
          <w:rFonts w:ascii="Cambria" w:hAnsi="Cambria"/>
          <w:sz w:val="22"/>
          <w:szCs w:val="22"/>
        </w:rPr>
        <w:t>e</w:t>
      </w:r>
      <w:r w:rsidR="00DE056C">
        <w:rPr>
          <w:rFonts w:ascii="Cambria" w:hAnsi="Cambria"/>
          <w:sz w:val="22"/>
          <w:szCs w:val="22"/>
        </w:rPr>
        <w:t xml:space="preserve"> </w:t>
      </w:r>
      <w:r w:rsidRPr="00D60E9F">
        <w:rPr>
          <w:rFonts w:ascii="Cambria" w:hAnsi="Cambria"/>
          <w:sz w:val="22"/>
          <w:szCs w:val="22"/>
        </w:rPr>
        <w:t>společnosti,</w:t>
      </w:r>
    </w:p>
    <w:p w:rsidR="00E07207" w:rsidRPr="00D60E9F" w:rsidRDefault="00E07207" w:rsidP="0019370C">
      <w:pPr>
        <w:numPr>
          <w:ilvl w:val="0"/>
          <w:numId w:val="5"/>
        </w:numPr>
        <w:tabs>
          <w:tab w:val="clear" w:pos="567"/>
          <w:tab w:val="left" w:pos="1134"/>
          <w:tab w:val="left" w:pos="1183"/>
        </w:tabs>
        <w:ind w:left="851" w:right="900" w:firstLine="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by informace, kterou má o jiném klientovi nebo o bývalém klientovi, mohla klienta neoprávněně zvýhodnit,</w:t>
      </w:r>
    </w:p>
    <w:p w:rsidR="00E07207" w:rsidRPr="00D60E9F" w:rsidRDefault="00E07207" w:rsidP="0019370C">
      <w:pPr>
        <w:numPr>
          <w:ilvl w:val="0"/>
          <w:numId w:val="5"/>
        </w:numPr>
        <w:tabs>
          <w:tab w:val="clear" w:pos="567"/>
          <w:tab w:val="left" w:pos="1134"/>
          <w:tab w:val="left" w:pos="1183"/>
        </w:tabs>
        <w:ind w:left="851" w:right="900" w:firstLine="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projednání věci se zúčastnil advokát, případně osoba advokátovi blízká, </w:t>
      </w:r>
    </w:p>
    <w:p w:rsidR="00E07207" w:rsidRPr="00D60E9F" w:rsidRDefault="00E07207" w:rsidP="0019370C">
      <w:pPr>
        <w:numPr>
          <w:ilvl w:val="0"/>
          <w:numId w:val="5"/>
        </w:numPr>
        <w:tabs>
          <w:tab w:val="clear" w:pos="567"/>
          <w:tab w:val="left" w:pos="1134"/>
          <w:tab w:val="left" w:pos="1183"/>
        </w:tabs>
        <w:ind w:left="851" w:right="900" w:firstLine="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zájmy klienta jsou v rozporu se zájmy advokáta nebo osoby advokátovi blízké.</w:t>
      </w:r>
    </w:p>
    <w:p w:rsidR="00643872" w:rsidRPr="00D60E9F" w:rsidRDefault="00643872" w:rsidP="00643872">
      <w:pPr>
        <w:tabs>
          <w:tab w:val="left" w:pos="1134"/>
          <w:tab w:val="left" w:pos="1183"/>
        </w:tabs>
        <w:ind w:left="851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19370C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851" w:right="900" w:hanging="284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je povinen poskytnutí právních služeb v dané věci odmítnout, zjistí-li dodatečně skutečnosti uvedené výše.</w:t>
      </w:r>
    </w:p>
    <w:p w:rsidR="00643872" w:rsidRPr="00D60E9F" w:rsidRDefault="00643872" w:rsidP="00643872">
      <w:pPr>
        <w:tabs>
          <w:tab w:val="left" w:pos="851"/>
        </w:tabs>
        <w:ind w:left="851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19370C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851" w:right="900" w:hanging="284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je oprávněn odstoupit od smlouvy o poskytování právních služeb, dojde-li k narušení nezbytné důvěry mezi ním a klientem nebo neposkytuje-li klient potřebnou součinnost. Poskytováním potřebné součinnosti klientem se rozumí zejména včasné informování advokáta o podstatných skutečnost majících vliv na poskytování právních služeb a včasné předání potřebných podkladů tak, aby měl advokát dostatek času se s nimi seznámit a případně na ně reagovat, dále včasné a úplné poskytování potřebných informací a potřebných originálů advokátovi.</w:t>
      </w:r>
    </w:p>
    <w:p w:rsidR="00643872" w:rsidRPr="00D60E9F" w:rsidRDefault="00643872" w:rsidP="00643872">
      <w:pPr>
        <w:pStyle w:val="Odstavecseseznamem"/>
        <w:rPr>
          <w:rFonts w:ascii="Cambria" w:hAnsi="Cambria"/>
          <w:sz w:val="22"/>
          <w:szCs w:val="22"/>
        </w:rPr>
      </w:pPr>
    </w:p>
    <w:p w:rsidR="00E07207" w:rsidRPr="00D60E9F" w:rsidRDefault="00E07207" w:rsidP="0019370C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851" w:right="900" w:hanging="284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je oprávněn odstoupit od smlouvy o poskytování právních služeb:</w:t>
      </w:r>
    </w:p>
    <w:p w:rsidR="00E07207" w:rsidRPr="00D60E9F" w:rsidRDefault="00E07207" w:rsidP="0019370C">
      <w:pPr>
        <w:numPr>
          <w:ilvl w:val="0"/>
          <w:numId w:val="6"/>
        </w:numPr>
        <w:tabs>
          <w:tab w:val="num" w:pos="851"/>
          <w:tab w:val="left" w:pos="1515"/>
        </w:tabs>
        <w:ind w:left="851" w:right="900" w:firstLine="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nesložil-li klient přiměřenou zálohu na odměnu za poskytnutí právních služeb, ačkoliv byl o to advokátem požádán.</w:t>
      </w:r>
    </w:p>
    <w:p w:rsidR="00E07207" w:rsidRPr="00D60E9F" w:rsidRDefault="00E07207" w:rsidP="0019370C">
      <w:pPr>
        <w:numPr>
          <w:ilvl w:val="0"/>
          <w:numId w:val="6"/>
        </w:numPr>
        <w:tabs>
          <w:tab w:val="num" w:pos="851"/>
          <w:tab w:val="left" w:pos="1515"/>
        </w:tabs>
        <w:ind w:left="851" w:right="900" w:firstLine="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jel-li klient v prodlení s úhradou dohodnuté odměny za poskytnutí právních služeb.</w:t>
      </w:r>
    </w:p>
    <w:p w:rsidR="00643872" w:rsidRPr="00D60E9F" w:rsidRDefault="00643872" w:rsidP="00643872">
      <w:pPr>
        <w:tabs>
          <w:tab w:val="left" w:pos="1515"/>
        </w:tabs>
        <w:ind w:left="851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19370C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851" w:right="900" w:hanging="284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Nedohodne-li se advokát s klientem jinak, nebo neučiní-li klient jiné opatření, je advokát povinen po dobu 15 dnů ode dne, kdy podle odstavců </w:t>
      </w:r>
      <w:smartTag w:uri="urn:schemas-microsoft-com:office:smarttags" w:element="metricconverter">
        <w:smartTagPr>
          <w:attr w:name="ProductID" w:val="3 a"/>
        </w:smartTagPr>
        <w:r w:rsidRPr="00D60E9F">
          <w:rPr>
            <w:rFonts w:ascii="Cambria" w:hAnsi="Cambria"/>
            <w:sz w:val="22"/>
            <w:szCs w:val="22"/>
          </w:rPr>
          <w:t>3 a</w:t>
        </w:r>
      </w:smartTag>
      <w:r w:rsidRPr="00D60E9F">
        <w:rPr>
          <w:rFonts w:ascii="Cambria" w:hAnsi="Cambria"/>
          <w:sz w:val="22"/>
          <w:szCs w:val="22"/>
        </w:rPr>
        <w:t xml:space="preserve"> 4 tohoto článku odstoupil od smlouvy o poskytování právních služeb, činit veškeré neodkladné úkony tak, aby klient neutrpěl na svých právech nebo oprávněných zájmech újmu. To neplatí, pokud klient advokátovi sdělí, že na splnění této povinnosti netrvá.</w:t>
      </w:r>
    </w:p>
    <w:p w:rsidR="00643872" w:rsidRPr="00D60E9F" w:rsidRDefault="00643872" w:rsidP="00643872">
      <w:pPr>
        <w:tabs>
          <w:tab w:val="left" w:pos="851"/>
        </w:tabs>
        <w:ind w:left="851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19370C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851" w:right="900" w:hanging="284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Klient je oprávněn vypovědět tuto smlouvu kdykoliv, a to i bez udání důvodu. Výpovědní lhůta činí </w:t>
      </w:r>
      <w:r w:rsidR="007442F3" w:rsidRPr="00D60E9F">
        <w:rPr>
          <w:rFonts w:ascii="Cambria" w:hAnsi="Cambria"/>
          <w:sz w:val="22"/>
          <w:szCs w:val="22"/>
        </w:rPr>
        <w:t>dva</w:t>
      </w:r>
      <w:r w:rsidRPr="00D60E9F">
        <w:rPr>
          <w:rFonts w:ascii="Cambria" w:hAnsi="Cambria"/>
          <w:sz w:val="22"/>
          <w:szCs w:val="22"/>
        </w:rPr>
        <w:t xml:space="preserve"> měsíc</w:t>
      </w:r>
      <w:r w:rsidR="007442F3" w:rsidRPr="00D60E9F">
        <w:rPr>
          <w:rFonts w:ascii="Cambria" w:hAnsi="Cambria"/>
          <w:sz w:val="22"/>
          <w:szCs w:val="22"/>
        </w:rPr>
        <w:t>e</w:t>
      </w:r>
      <w:r w:rsidRPr="00D60E9F">
        <w:rPr>
          <w:rFonts w:ascii="Cambria" w:hAnsi="Cambria"/>
          <w:sz w:val="22"/>
          <w:szCs w:val="22"/>
        </w:rPr>
        <w:t xml:space="preserve"> a počíná běžet ode dne, kdy vypovězení smlouvy dojde advokátovi.</w:t>
      </w: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lastRenderedPageBreak/>
        <w:t>IV.</w:t>
      </w: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POVINNOST MLČENLIVOSTI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je povinen zachovávat mlčenlivost o všech skutečnostech, o nichž se dozvěděl v souvislosti s poskytováním právních služeb.</w:t>
      </w:r>
    </w:p>
    <w:p w:rsidR="00643872" w:rsidRPr="00D60E9F" w:rsidRDefault="00643872" w:rsidP="00643872">
      <w:p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Povinnosti mlčenlivosti může advokáta zprostit pouze klient a po jeho smrti či zániku právní nástupce; i poté je však advokát povinen zachovávat mlčenlivost, je-li z okolností případu zřejmé, že jej klient nebo jeho právní nástupce této povinnosti zprostil pod nátlakem nebo v tísni.</w:t>
      </w:r>
    </w:p>
    <w:p w:rsidR="00643872" w:rsidRPr="00D60E9F" w:rsidRDefault="00643872" w:rsidP="00643872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nemá povinnost mlčenlivosti ve vztahu k osobě, kterou pověřuje provedením jednotlivých úkonů právních služeb, pokud je tato osoba povinna tuto povinnost zachovávat.</w:t>
      </w:r>
    </w:p>
    <w:p w:rsidR="00643872" w:rsidRPr="00D60E9F" w:rsidRDefault="00643872" w:rsidP="00643872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Povinností mlčenlivosti není advokát vázán v rozsahu nezbytném pro řízení před soudem nebo jiným orgánem, je-li předmětem řízení spor mezi ním a klientem nebo jeho právním nástupcem.</w:t>
      </w:r>
    </w:p>
    <w:p w:rsidR="00643872" w:rsidRPr="00D60E9F" w:rsidRDefault="00643872" w:rsidP="00643872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Povinností mlčenlivosti advokáta nejsou dotčeny povinnosti stanovené zvláštními předpisy o správě daní a poplatků; i v tomto případě je však advokát povinen zachovávat mlčenlivost o totožnosti klienta, jakož i o povaze věci, ve které právní služby poskytl nebo poskytuje.</w:t>
      </w:r>
    </w:p>
    <w:p w:rsidR="00BD3A7A" w:rsidRPr="00D60E9F" w:rsidRDefault="00BD3A7A" w:rsidP="00BD3A7A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Povinnosti mlčenlivosti se advokát nemůže dovolat v kárném řízení podle zákona o advokacii; podrobnosti stanoví vyhláška č. 244/1996 Sb., kterou se podle zákona č. 85/1996 Sb., o advokacii, stanoví kárný řád (advokátní kárný řád).</w:t>
      </w:r>
    </w:p>
    <w:p w:rsidR="00BD3A7A" w:rsidRPr="00D60E9F" w:rsidRDefault="00BD3A7A" w:rsidP="00BD3A7A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Povinnosti mlčenlivosti není dotčena zákonem uložená povinnost překazit spáchání trestného činu.</w:t>
      </w:r>
    </w:p>
    <w:p w:rsidR="00BD3A7A" w:rsidRPr="00D60E9F" w:rsidRDefault="00BD3A7A" w:rsidP="00BD3A7A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Povinnost mlčenlivosti trvá i po vyškrtnutí ze seznamu advokátů.</w:t>
      </w:r>
    </w:p>
    <w:p w:rsidR="00BD3A7A" w:rsidRPr="00D60E9F" w:rsidRDefault="00BD3A7A" w:rsidP="00BD3A7A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011659" w:rsidRPr="00D60E9F" w:rsidRDefault="00E07207" w:rsidP="00011659">
      <w:pPr>
        <w:numPr>
          <w:ilvl w:val="0"/>
          <w:numId w:val="7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Povinnost mlčenlivosti v rozsahu výše uvedeném se obdobně vztahuje i na zaměstnance advokáta, jakož i na jiné osoby, které se podílejí na poskytování právních služeb.</w:t>
      </w:r>
    </w:p>
    <w:p w:rsidR="00BD3A7A" w:rsidRPr="00D60E9F" w:rsidRDefault="00BD3A7A" w:rsidP="00BD3A7A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011659" w:rsidRPr="00D60E9F" w:rsidRDefault="00011659" w:rsidP="00011659">
      <w:pPr>
        <w:numPr>
          <w:ilvl w:val="0"/>
          <w:numId w:val="7"/>
        </w:numPr>
        <w:ind w:left="851" w:right="900" w:hanging="311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Klient uděluje výslovně advokátovi souhlas k tomu, aby o skutečnosti že je klientem advokáta, advokát informoval třetí osoby zejména formou uvedení názvu klienta případně obecnou charakteristikou poskytnutých služeb ve svých propagačních či nabídkových materiálech</w:t>
      </w:r>
      <w:r w:rsidR="002F4401" w:rsidRPr="00D60E9F">
        <w:rPr>
          <w:rFonts w:ascii="Cambria" w:hAnsi="Cambria"/>
          <w:sz w:val="22"/>
          <w:szCs w:val="22"/>
        </w:rPr>
        <w:t>, webových stránkách, jakož i</w:t>
      </w:r>
      <w:r w:rsidRPr="00D60E9F">
        <w:rPr>
          <w:rFonts w:ascii="Cambria" w:hAnsi="Cambria"/>
          <w:sz w:val="22"/>
          <w:szCs w:val="22"/>
        </w:rPr>
        <w:t xml:space="preserve"> v rámci výběrových řízení (reference).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V.</w:t>
      </w: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ODMĚNA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BD3A7A" w:rsidRPr="00D60E9F" w:rsidRDefault="00CE59E8" w:rsidP="000E0FA6">
      <w:pPr>
        <w:numPr>
          <w:ilvl w:val="1"/>
          <w:numId w:val="7"/>
        </w:numPr>
        <w:tabs>
          <w:tab w:val="clear" w:pos="1080"/>
          <w:tab w:val="left" w:pos="823"/>
          <w:tab w:val="left" w:pos="851"/>
        </w:tabs>
        <w:ind w:left="900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Advokátovi přísluší za poskytování právních služeb </w:t>
      </w:r>
      <w:r w:rsidR="00E63A5E">
        <w:rPr>
          <w:rFonts w:ascii="Cambria" w:hAnsi="Cambria"/>
          <w:sz w:val="22"/>
          <w:szCs w:val="22"/>
        </w:rPr>
        <w:t xml:space="preserve">dle této smlouvy </w:t>
      </w:r>
      <w:r w:rsidRPr="00D60E9F">
        <w:rPr>
          <w:rFonts w:ascii="Cambria" w:hAnsi="Cambria"/>
          <w:sz w:val="22"/>
          <w:szCs w:val="22"/>
        </w:rPr>
        <w:t xml:space="preserve">odměna ve výši </w:t>
      </w:r>
      <w:r w:rsidR="007E3BBC">
        <w:rPr>
          <w:rFonts w:ascii="Cambria" w:hAnsi="Cambria"/>
          <w:b/>
          <w:sz w:val="22"/>
          <w:szCs w:val="22"/>
        </w:rPr>
        <w:t>1</w:t>
      </w:r>
      <w:r w:rsidRPr="00D60E9F">
        <w:rPr>
          <w:rFonts w:ascii="Cambria" w:hAnsi="Cambria"/>
          <w:b/>
          <w:sz w:val="22"/>
          <w:szCs w:val="22"/>
        </w:rPr>
        <w:t>.</w:t>
      </w:r>
      <w:r w:rsidR="007E3BBC">
        <w:rPr>
          <w:rFonts w:ascii="Cambria" w:hAnsi="Cambria"/>
          <w:b/>
          <w:sz w:val="22"/>
          <w:szCs w:val="22"/>
        </w:rPr>
        <w:t>9</w:t>
      </w:r>
      <w:r w:rsidRPr="00D60E9F">
        <w:rPr>
          <w:rFonts w:ascii="Cambria" w:hAnsi="Cambria"/>
          <w:b/>
          <w:sz w:val="22"/>
          <w:szCs w:val="22"/>
        </w:rPr>
        <w:t>0</w:t>
      </w:r>
      <w:r w:rsidR="00741B2B">
        <w:rPr>
          <w:rFonts w:ascii="Cambria" w:hAnsi="Cambria"/>
          <w:b/>
          <w:sz w:val="22"/>
          <w:szCs w:val="22"/>
        </w:rPr>
        <w:t>0</w:t>
      </w:r>
      <w:r w:rsidRPr="00D60E9F">
        <w:rPr>
          <w:rFonts w:ascii="Cambria" w:hAnsi="Cambria"/>
          <w:b/>
          <w:sz w:val="22"/>
          <w:szCs w:val="22"/>
        </w:rPr>
        <w:t>,-</w:t>
      </w:r>
      <w:r w:rsidR="00E63A5E">
        <w:rPr>
          <w:rFonts w:ascii="Cambria" w:hAnsi="Cambria"/>
          <w:b/>
          <w:sz w:val="22"/>
          <w:szCs w:val="22"/>
        </w:rPr>
        <w:t xml:space="preserve"> </w:t>
      </w:r>
      <w:r w:rsidRPr="00D60E9F">
        <w:rPr>
          <w:rFonts w:ascii="Cambria" w:hAnsi="Cambria"/>
          <w:b/>
          <w:sz w:val="22"/>
          <w:szCs w:val="22"/>
        </w:rPr>
        <w:t>Kč</w:t>
      </w:r>
      <w:r w:rsidRPr="00D60E9F">
        <w:rPr>
          <w:rFonts w:ascii="Cambria" w:hAnsi="Cambria"/>
          <w:sz w:val="22"/>
          <w:szCs w:val="22"/>
        </w:rPr>
        <w:t xml:space="preserve"> za každou </w:t>
      </w:r>
      <w:r w:rsidR="00C87487">
        <w:rPr>
          <w:rFonts w:ascii="Cambria" w:hAnsi="Cambria"/>
          <w:sz w:val="22"/>
          <w:szCs w:val="22"/>
        </w:rPr>
        <w:t xml:space="preserve">započatou </w:t>
      </w:r>
      <w:r w:rsidRPr="00D60E9F">
        <w:rPr>
          <w:rFonts w:ascii="Cambria" w:hAnsi="Cambria"/>
          <w:sz w:val="22"/>
          <w:szCs w:val="22"/>
        </w:rPr>
        <w:t>hodinu poskytování právních služeb plus DPH v zákonem stanovené výši</w:t>
      </w:r>
      <w:r w:rsidR="009D2C9F">
        <w:rPr>
          <w:rFonts w:ascii="Cambria" w:hAnsi="Cambria"/>
          <w:sz w:val="22"/>
          <w:szCs w:val="22"/>
        </w:rPr>
        <w:t xml:space="preserve">, přičemž celková výše </w:t>
      </w:r>
      <w:r w:rsidR="00E63A5E">
        <w:rPr>
          <w:rFonts w:ascii="Cambria" w:hAnsi="Cambria"/>
          <w:sz w:val="22"/>
          <w:szCs w:val="22"/>
        </w:rPr>
        <w:t xml:space="preserve">takto stanovené </w:t>
      </w:r>
      <w:r w:rsidR="009D2C9F">
        <w:rPr>
          <w:rFonts w:ascii="Cambria" w:hAnsi="Cambria"/>
          <w:sz w:val="22"/>
          <w:szCs w:val="22"/>
        </w:rPr>
        <w:t xml:space="preserve">odměny advokáta </w:t>
      </w:r>
      <w:r w:rsidR="00E63A5E">
        <w:rPr>
          <w:rFonts w:ascii="Cambria" w:hAnsi="Cambria"/>
          <w:sz w:val="22"/>
          <w:szCs w:val="22"/>
        </w:rPr>
        <w:t xml:space="preserve">v </w:t>
      </w:r>
      <w:r w:rsidR="009D2C9F">
        <w:rPr>
          <w:rFonts w:ascii="Cambria" w:hAnsi="Cambria"/>
          <w:sz w:val="22"/>
          <w:szCs w:val="22"/>
        </w:rPr>
        <w:t xml:space="preserve">součtu nepřekročí </w:t>
      </w:r>
      <w:r w:rsidR="009D2C9F" w:rsidRPr="009D2C9F">
        <w:rPr>
          <w:rFonts w:ascii="Cambria" w:hAnsi="Cambria"/>
          <w:b/>
          <w:sz w:val="22"/>
          <w:szCs w:val="22"/>
        </w:rPr>
        <w:t xml:space="preserve">300.000,- Kč </w:t>
      </w:r>
      <w:r w:rsidR="009D2C9F" w:rsidRPr="009D2C9F">
        <w:rPr>
          <w:rFonts w:ascii="Cambria" w:hAnsi="Cambria"/>
          <w:sz w:val="22"/>
          <w:szCs w:val="22"/>
        </w:rPr>
        <w:t>plus DPH</w:t>
      </w:r>
      <w:r w:rsidR="009D2C9F" w:rsidRPr="00D60E9F">
        <w:rPr>
          <w:rFonts w:ascii="Cambria" w:hAnsi="Cambria"/>
          <w:sz w:val="22"/>
          <w:szCs w:val="22"/>
        </w:rPr>
        <w:t xml:space="preserve"> v zákonem stanovené výši</w:t>
      </w:r>
      <w:r w:rsidR="009D2C9F">
        <w:rPr>
          <w:rFonts w:ascii="Cambria" w:hAnsi="Cambria"/>
          <w:sz w:val="22"/>
          <w:szCs w:val="22"/>
        </w:rPr>
        <w:t xml:space="preserve">. </w:t>
      </w:r>
      <w:r w:rsidRPr="00D60E9F">
        <w:rPr>
          <w:rFonts w:ascii="Cambria" w:hAnsi="Cambria"/>
          <w:sz w:val="22"/>
          <w:szCs w:val="22"/>
        </w:rPr>
        <w:t xml:space="preserve">Jednotlivé dílčí právní služby budou poskytnuty výhradně na základě ústního nebo písemného pokynu klienta, přičemž u každého </w:t>
      </w:r>
      <w:r w:rsidR="00C87487">
        <w:rPr>
          <w:rFonts w:ascii="Cambria" w:hAnsi="Cambria"/>
          <w:sz w:val="22"/>
          <w:szCs w:val="22"/>
        </w:rPr>
        <w:t>takového pokynu bude ze strany a</w:t>
      </w:r>
      <w:r w:rsidRPr="00D60E9F">
        <w:rPr>
          <w:rFonts w:ascii="Cambria" w:hAnsi="Cambria"/>
          <w:sz w:val="22"/>
          <w:szCs w:val="22"/>
        </w:rPr>
        <w:t>dvokáta před poskytnutím konkrétní služby klient</w:t>
      </w:r>
      <w:r w:rsidR="00C87487">
        <w:rPr>
          <w:rFonts w:ascii="Cambria" w:hAnsi="Cambria"/>
          <w:sz w:val="22"/>
          <w:szCs w:val="22"/>
        </w:rPr>
        <w:t>ovi</w:t>
      </w:r>
      <w:r w:rsidRPr="00D60E9F">
        <w:rPr>
          <w:rFonts w:ascii="Cambria" w:hAnsi="Cambria"/>
          <w:sz w:val="22"/>
          <w:szCs w:val="22"/>
        </w:rPr>
        <w:t xml:space="preserve"> zaslán e</w:t>
      </w:r>
      <w:r w:rsidR="007E3BBC">
        <w:rPr>
          <w:rFonts w:ascii="Cambria" w:hAnsi="Cambria"/>
          <w:sz w:val="22"/>
          <w:szCs w:val="22"/>
        </w:rPr>
        <w:t>-</w:t>
      </w:r>
      <w:r w:rsidRPr="00D60E9F">
        <w:rPr>
          <w:rFonts w:ascii="Cambria" w:hAnsi="Cambria"/>
          <w:sz w:val="22"/>
          <w:szCs w:val="22"/>
        </w:rPr>
        <w:lastRenderedPageBreak/>
        <w:t xml:space="preserve">mailem maximální hodinový rozsah poskytované právní služby. Klient své </w:t>
      </w:r>
      <w:r w:rsidR="00F8131B" w:rsidRPr="00D60E9F">
        <w:rPr>
          <w:rFonts w:ascii="Cambria" w:hAnsi="Cambria"/>
          <w:sz w:val="22"/>
          <w:szCs w:val="22"/>
        </w:rPr>
        <w:t xml:space="preserve">případné </w:t>
      </w:r>
      <w:r w:rsidRPr="00D60E9F">
        <w:rPr>
          <w:rFonts w:ascii="Cambria" w:hAnsi="Cambria"/>
          <w:sz w:val="22"/>
          <w:szCs w:val="22"/>
        </w:rPr>
        <w:t xml:space="preserve">výhrady k takto zaslanému určení </w:t>
      </w:r>
      <w:r w:rsidR="00F8131B" w:rsidRPr="00D60E9F">
        <w:rPr>
          <w:rFonts w:ascii="Cambria" w:hAnsi="Cambria"/>
          <w:sz w:val="22"/>
          <w:szCs w:val="22"/>
        </w:rPr>
        <w:t xml:space="preserve">maximálního </w:t>
      </w:r>
      <w:r w:rsidRPr="00D60E9F">
        <w:rPr>
          <w:rFonts w:ascii="Cambria" w:hAnsi="Cambria"/>
          <w:sz w:val="22"/>
          <w:szCs w:val="22"/>
        </w:rPr>
        <w:t>rozsahu právní služby sdělí obratem.</w:t>
      </w:r>
    </w:p>
    <w:p w:rsidR="00883AE2" w:rsidRPr="00D60E9F" w:rsidRDefault="00883AE2" w:rsidP="00883AE2">
      <w:pPr>
        <w:tabs>
          <w:tab w:val="left" w:pos="823"/>
          <w:tab w:val="left" w:pos="851"/>
        </w:tabs>
        <w:ind w:left="900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1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Advokátovi dále přísluší náhrada hotových výdajů</w:t>
      </w:r>
      <w:r w:rsidR="008A3659" w:rsidRPr="00D60E9F">
        <w:rPr>
          <w:rFonts w:ascii="Cambria" w:hAnsi="Cambria"/>
          <w:sz w:val="22"/>
          <w:szCs w:val="22"/>
        </w:rPr>
        <w:t xml:space="preserve"> a externích nákladů vynaložených při poskytování právních služeb ve prospěch klienta, zejména odměna notáře, náklady na překlady, náklady na externí právní zastoupení v</w:t>
      </w:r>
      <w:r w:rsidR="002F4401" w:rsidRPr="00D60E9F">
        <w:rPr>
          <w:rFonts w:ascii="Cambria" w:hAnsi="Cambria"/>
          <w:sz w:val="22"/>
          <w:szCs w:val="22"/>
        </w:rPr>
        <w:t> </w:t>
      </w:r>
      <w:r w:rsidR="008A3659" w:rsidRPr="00D60E9F">
        <w:rPr>
          <w:rFonts w:ascii="Cambria" w:hAnsi="Cambria"/>
          <w:sz w:val="22"/>
          <w:szCs w:val="22"/>
        </w:rPr>
        <w:t>cizině</w:t>
      </w:r>
      <w:r w:rsidR="002F4401" w:rsidRPr="00D60E9F">
        <w:rPr>
          <w:rFonts w:ascii="Cambria" w:hAnsi="Cambria"/>
          <w:sz w:val="22"/>
          <w:szCs w:val="22"/>
        </w:rPr>
        <w:t xml:space="preserve"> apod</w:t>
      </w:r>
      <w:r w:rsidRPr="00D60E9F">
        <w:rPr>
          <w:rFonts w:ascii="Cambria" w:hAnsi="Cambria"/>
          <w:sz w:val="22"/>
          <w:szCs w:val="22"/>
        </w:rPr>
        <w:t>.</w:t>
      </w:r>
    </w:p>
    <w:p w:rsidR="00BD3A7A" w:rsidRPr="00D60E9F" w:rsidRDefault="00BD3A7A" w:rsidP="00BD3A7A">
      <w:p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1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je oprávněn přerušit poskytování právních služeb v případě, že bude klient v prodlení se zaplacením faktury za dříve poskytnutou právní službu delším než dva týdny. V tomto případě se postupuje analogicky podle čl. III odst.</w:t>
      </w:r>
      <w:r w:rsidR="00D60E9F">
        <w:rPr>
          <w:rFonts w:ascii="Cambria" w:hAnsi="Cambria"/>
          <w:sz w:val="22"/>
          <w:szCs w:val="22"/>
        </w:rPr>
        <w:t xml:space="preserve"> </w:t>
      </w:r>
      <w:r w:rsidRPr="00D60E9F">
        <w:rPr>
          <w:rFonts w:ascii="Cambria" w:hAnsi="Cambria"/>
          <w:sz w:val="22"/>
          <w:szCs w:val="22"/>
        </w:rPr>
        <w:t xml:space="preserve">5 </w:t>
      </w:r>
      <w:r w:rsidR="002F4401" w:rsidRPr="00D60E9F">
        <w:rPr>
          <w:rFonts w:ascii="Cambria" w:hAnsi="Cambria"/>
          <w:sz w:val="22"/>
          <w:szCs w:val="22"/>
        </w:rPr>
        <w:t xml:space="preserve">této </w:t>
      </w:r>
      <w:r w:rsidRPr="00D60E9F">
        <w:rPr>
          <w:rFonts w:ascii="Cambria" w:hAnsi="Cambria"/>
          <w:sz w:val="22"/>
          <w:szCs w:val="22"/>
        </w:rPr>
        <w:t>smlouvy.</w:t>
      </w:r>
    </w:p>
    <w:p w:rsidR="002363A3" w:rsidRPr="00D60E9F" w:rsidRDefault="002363A3" w:rsidP="000E0FA6">
      <w:pPr>
        <w:pStyle w:val="Odstavecseseznamem"/>
        <w:rPr>
          <w:rFonts w:ascii="Cambria" w:hAnsi="Cambria"/>
          <w:sz w:val="22"/>
          <w:szCs w:val="22"/>
        </w:rPr>
      </w:pPr>
    </w:p>
    <w:p w:rsidR="002363A3" w:rsidRPr="00D60E9F" w:rsidRDefault="002363A3" w:rsidP="00E07207">
      <w:pPr>
        <w:numPr>
          <w:ilvl w:val="0"/>
          <w:numId w:val="1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Odměna bude klientovi fakturována zpravidla jedenkrát za každý kalendářní měsíc na základě daňového dokladu vystaveného advokátem v souladu se zákonem č. 235/2004 Sb., o dani z přidané hodnoty, </w:t>
      </w:r>
      <w:r w:rsidR="00D60E9F">
        <w:rPr>
          <w:rFonts w:ascii="Cambria" w:hAnsi="Cambria"/>
          <w:sz w:val="22"/>
          <w:szCs w:val="22"/>
        </w:rPr>
        <w:t xml:space="preserve">v platném znění, </w:t>
      </w:r>
      <w:r w:rsidRPr="00D60E9F">
        <w:rPr>
          <w:rFonts w:ascii="Cambria" w:hAnsi="Cambria"/>
          <w:sz w:val="22"/>
          <w:szCs w:val="22"/>
        </w:rPr>
        <w:t>a v souladu s ostatními právními předpisy. Daňový doklad bude vystaven se splatností 1</w:t>
      </w:r>
      <w:r w:rsidR="00530673">
        <w:rPr>
          <w:rFonts w:ascii="Cambria" w:hAnsi="Cambria"/>
          <w:sz w:val="22"/>
          <w:szCs w:val="22"/>
        </w:rPr>
        <w:t>4</w:t>
      </w:r>
      <w:r w:rsidRPr="00D60E9F">
        <w:rPr>
          <w:rFonts w:ascii="Cambria" w:hAnsi="Cambria"/>
          <w:sz w:val="22"/>
          <w:szCs w:val="22"/>
        </w:rPr>
        <w:t xml:space="preserve"> kalendářních dnů od doručení daňového dokladu klientovi na adresu uvedenou v úvodních ustanoveních této smlouvy. Každý daňový doklad bude obsahovat popis služeb poskytnutých klientovi v příslušném období, včetně uvedení počtu hodin, </w:t>
      </w:r>
      <w:r w:rsidR="00530673">
        <w:rPr>
          <w:rFonts w:ascii="Cambria" w:hAnsi="Cambria"/>
          <w:sz w:val="22"/>
          <w:szCs w:val="22"/>
        </w:rPr>
        <w:t xml:space="preserve">a </w:t>
      </w:r>
      <w:r w:rsidRPr="00D60E9F">
        <w:rPr>
          <w:rFonts w:ascii="Cambria" w:hAnsi="Cambria"/>
          <w:sz w:val="22"/>
          <w:szCs w:val="22"/>
        </w:rPr>
        <w:t>kdy byly služby poskytovány.</w:t>
      </w:r>
    </w:p>
    <w:p w:rsidR="002363A3" w:rsidRPr="00D60E9F" w:rsidRDefault="002363A3" w:rsidP="000E0FA6">
      <w:pPr>
        <w:pStyle w:val="Odstavecseseznamem"/>
        <w:rPr>
          <w:rFonts w:ascii="Cambria" w:hAnsi="Cambria"/>
          <w:sz w:val="22"/>
          <w:szCs w:val="22"/>
        </w:rPr>
      </w:pPr>
    </w:p>
    <w:p w:rsidR="002363A3" w:rsidRPr="00D60E9F" w:rsidRDefault="002363A3" w:rsidP="00E07207">
      <w:pPr>
        <w:numPr>
          <w:ilvl w:val="0"/>
          <w:numId w:val="1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V případě, že daňový doklad nebude splňovat veškeré náležitosti předepsané zákonem o dani z přidané hodnoty a ostatními právními předpisy, je klient oprávněn tento daňový doklad vrátit advokátní kanceláři, přičemž lhůta splatnosti (opětovně 1</w:t>
      </w:r>
      <w:r w:rsidR="00530673">
        <w:rPr>
          <w:rFonts w:ascii="Cambria" w:hAnsi="Cambria"/>
          <w:sz w:val="22"/>
          <w:szCs w:val="22"/>
        </w:rPr>
        <w:t>4</w:t>
      </w:r>
      <w:r w:rsidRPr="00D60E9F">
        <w:rPr>
          <w:rFonts w:ascii="Cambria" w:hAnsi="Cambria"/>
          <w:sz w:val="22"/>
          <w:szCs w:val="22"/>
        </w:rPr>
        <w:t xml:space="preserve"> kalendářních dnů) začne běžet od doručení opravného daňového dokladu splňujícího požadavky stanové právními předpisy.</w:t>
      </w:r>
    </w:p>
    <w:p w:rsidR="00F16B81" w:rsidRDefault="00F16B81" w:rsidP="000E0FA6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VI.</w:t>
      </w: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ODPOVĚDNOST ZA ŠKODU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9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odpovídá klientovi za škodu, kterou mu způsobil v souvislosti s výkonem advokacie. Advokát odpovídá za škodu způsobenou klientovi i tehdy, byla-li škoda způsobena v souvislosti s výkonem advokacie jeho zástupcem nebo jeho zaměstnancem; případná odpovědnost těchto osob podle zvláštních předpisů tím není dotčena.</w:t>
      </w:r>
    </w:p>
    <w:p w:rsidR="00BD3A7A" w:rsidRPr="00D60E9F" w:rsidRDefault="00BD3A7A" w:rsidP="00BD3A7A">
      <w:p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9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se odpovědnosti dle předchozího odstavce zprostí, prokáže-li, že škodě nemohlo být zabráněno ani při vynaložení veškerého úsilí, které lze na něm požadovat.</w:t>
      </w:r>
    </w:p>
    <w:p w:rsidR="00BD3A7A" w:rsidRPr="00D60E9F" w:rsidRDefault="00BD3A7A" w:rsidP="00BD3A7A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010CE9" w:rsidP="00E07207">
      <w:pPr>
        <w:numPr>
          <w:ilvl w:val="0"/>
          <w:numId w:val="9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Ve výše uvedené souvislosti advokát prohlašuje, že je pojištěn formou pojištění profesní odpovědnosti za škodu s maximálním limitem ročního pojistného plnění 300.000.000,-Kč. Advokát se zavazuje udržovat uvedený limit pojistného plnění nejméně v této výši po celou dobu trvání této smlouvy.</w:t>
      </w:r>
    </w:p>
    <w:p w:rsidR="00883AE2" w:rsidRPr="00D60E9F" w:rsidRDefault="00883AE2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VII.</w:t>
      </w:r>
    </w:p>
    <w:p w:rsidR="00E07207" w:rsidRPr="00D60E9F" w:rsidRDefault="00E07207" w:rsidP="00E07207">
      <w:pPr>
        <w:ind w:left="900" w:right="900" w:hanging="360"/>
        <w:jc w:val="center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b/>
          <w:sz w:val="22"/>
          <w:szCs w:val="22"/>
        </w:rPr>
        <w:t>ZÁVĚREČNÁ USTANOVENÍ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10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Advokát se v rámci svého pověření může dát zastoupit jiným advokátem.  Podmínky této smlouvy v tomto případě zůstávají nezměněny a osoba jiného advokáta musí být předem odsouhlasena klientem, ledaže by věc nesnesla odkladu. Nestanoví-li právní předpis jinak, může advokáta při jednotlivých úkonech právní pomoci zastoupit i jeho advokátní koncipient nebo jeho jiný zaměstnanec.</w:t>
      </w:r>
    </w:p>
    <w:p w:rsidR="00BD3A7A" w:rsidRPr="00D60E9F" w:rsidRDefault="00BD3A7A" w:rsidP="00BD3A7A">
      <w:p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</w:p>
    <w:p w:rsidR="009C12E8" w:rsidRPr="00D60E9F" w:rsidRDefault="009C12E8" w:rsidP="00E07207">
      <w:pPr>
        <w:numPr>
          <w:ilvl w:val="0"/>
          <w:numId w:val="10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Smluvní strany se dohodly, že </w:t>
      </w:r>
      <w:r w:rsidR="000D596D" w:rsidRPr="00D60E9F">
        <w:rPr>
          <w:rFonts w:ascii="Cambria" w:hAnsi="Cambria"/>
          <w:sz w:val="22"/>
          <w:szCs w:val="22"/>
        </w:rPr>
        <w:t>povinnosti vztahující se k této smlouvě dle zákona č. 340/2015 Sb., o zvláštních podmínkách účinnosti některých smluv, uveřejňování těchto smluv a o registru smluv (zákon o registru smluv)</w:t>
      </w:r>
      <w:r w:rsidR="00D60E9F">
        <w:rPr>
          <w:rFonts w:ascii="Cambria" w:hAnsi="Cambria"/>
          <w:sz w:val="22"/>
          <w:szCs w:val="22"/>
        </w:rPr>
        <w:t>, v platném znění,</w:t>
      </w:r>
      <w:r w:rsidR="000D596D" w:rsidRPr="00D60E9F">
        <w:rPr>
          <w:rFonts w:ascii="Cambria" w:hAnsi="Cambria"/>
          <w:sz w:val="22"/>
          <w:szCs w:val="22"/>
        </w:rPr>
        <w:t xml:space="preserve"> splní klient. P</w:t>
      </w:r>
      <w:r w:rsidR="00797F66">
        <w:rPr>
          <w:rFonts w:ascii="Cambria" w:hAnsi="Cambria"/>
          <w:sz w:val="22"/>
          <w:szCs w:val="22"/>
        </w:rPr>
        <w:t xml:space="preserve">ři </w:t>
      </w:r>
      <w:r w:rsidR="000D596D" w:rsidRPr="00D60E9F">
        <w:rPr>
          <w:rFonts w:ascii="Cambria" w:hAnsi="Cambria"/>
          <w:sz w:val="22"/>
          <w:szCs w:val="22"/>
        </w:rPr>
        <w:t xml:space="preserve">zveřejnění smlouvy v registru smluv bude údaj o </w:t>
      </w:r>
      <w:r w:rsidR="004F4629" w:rsidRPr="00D60E9F">
        <w:rPr>
          <w:rFonts w:ascii="Cambria" w:hAnsi="Cambria"/>
          <w:sz w:val="22"/>
          <w:szCs w:val="22"/>
        </w:rPr>
        <w:t xml:space="preserve">hodinové sazbě </w:t>
      </w:r>
      <w:r w:rsidR="000D596D" w:rsidRPr="00D60E9F">
        <w:rPr>
          <w:rFonts w:ascii="Cambria" w:hAnsi="Cambria"/>
          <w:sz w:val="22"/>
          <w:szCs w:val="22"/>
        </w:rPr>
        <w:t>odměn</w:t>
      </w:r>
      <w:r w:rsidR="004F4629" w:rsidRPr="00D60E9F">
        <w:rPr>
          <w:rFonts w:ascii="Cambria" w:hAnsi="Cambria"/>
          <w:sz w:val="22"/>
          <w:szCs w:val="22"/>
        </w:rPr>
        <w:t>y</w:t>
      </w:r>
      <w:r w:rsidR="000D596D" w:rsidRPr="00D60E9F">
        <w:rPr>
          <w:rFonts w:ascii="Cambria" w:hAnsi="Cambria"/>
          <w:sz w:val="22"/>
          <w:szCs w:val="22"/>
        </w:rPr>
        <w:t xml:space="preserve"> advokáta považován za obchodní tajemství</w:t>
      </w:r>
      <w:r w:rsidR="00C21208">
        <w:rPr>
          <w:rFonts w:ascii="Cambria" w:hAnsi="Cambria"/>
          <w:sz w:val="22"/>
          <w:szCs w:val="22"/>
        </w:rPr>
        <w:t xml:space="preserve"> advokáta</w:t>
      </w:r>
      <w:r w:rsidR="004F4629" w:rsidRPr="00D60E9F">
        <w:rPr>
          <w:rFonts w:ascii="Cambria" w:hAnsi="Cambria"/>
          <w:sz w:val="22"/>
          <w:szCs w:val="22"/>
        </w:rPr>
        <w:t xml:space="preserve">. </w:t>
      </w:r>
    </w:p>
    <w:p w:rsidR="00BD3A7A" w:rsidRPr="00D60E9F" w:rsidRDefault="00BD3A7A" w:rsidP="00BD3A7A">
      <w:pPr>
        <w:pStyle w:val="Odstavecseseznamem"/>
        <w:rPr>
          <w:rFonts w:ascii="Cambria" w:hAnsi="Cambria"/>
          <w:sz w:val="22"/>
          <w:szCs w:val="22"/>
        </w:rPr>
      </w:pPr>
    </w:p>
    <w:p w:rsidR="00D65610" w:rsidRPr="00D60E9F" w:rsidRDefault="00E07207" w:rsidP="00D65610">
      <w:pPr>
        <w:numPr>
          <w:ilvl w:val="0"/>
          <w:numId w:val="10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Klient bere na vědomí, že žádný zaměstnanec advokáta není oprávněn vést s klientem samostatně jakékoli jednání, přebírat od klienta jakékoliv věci, přislíbit pro klienta poskytnutí jakékoliv právní služby a advokáta jakýmkoliv způsobem zavazovat, pokud k tomu nebyl písemně zmocněn advokátem, nebo se advokát s klientem nedohodl jinak.</w:t>
      </w:r>
    </w:p>
    <w:p w:rsidR="00BD3A7A" w:rsidRPr="00D60E9F" w:rsidRDefault="00BD3A7A" w:rsidP="00BD3A7A">
      <w:p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</w:p>
    <w:p w:rsidR="00352F84" w:rsidRPr="00D60E9F" w:rsidRDefault="00E07207" w:rsidP="00D65610">
      <w:pPr>
        <w:numPr>
          <w:ilvl w:val="0"/>
          <w:numId w:val="10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Tato smlouva se uzavírá na dobu </w:t>
      </w:r>
      <w:r w:rsidR="00352F84" w:rsidRPr="00D60E9F">
        <w:rPr>
          <w:rFonts w:ascii="Cambria" w:hAnsi="Cambria"/>
          <w:sz w:val="22"/>
          <w:szCs w:val="22"/>
        </w:rPr>
        <w:t>neurčitou</w:t>
      </w:r>
      <w:r w:rsidR="00352F84" w:rsidRPr="00D60E9F">
        <w:rPr>
          <w:rFonts w:ascii="Cambria" w:hAnsi="Cambria"/>
          <w:sz w:val="22"/>
          <w:szCs w:val="22"/>
          <w:lang w:eastAsia="cs-CZ"/>
        </w:rPr>
        <w:t>.</w:t>
      </w:r>
      <w:r w:rsidR="00E63A5E" w:rsidRPr="00E63A5E">
        <w:rPr>
          <w:rFonts w:ascii="Cambria" w:hAnsi="Cambria"/>
          <w:sz w:val="22"/>
          <w:szCs w:val="22"/>
        </w:rPr>
        <w:t xml:space="preserve"> </w:t>
      </w:r>
      <w:r w:rsidR="00E63A5E" w:rsidRPr="00D60E9F">
        <w:rPr>
          <w:rFonts w:ascii="Cambria" w:hAnsi="Cambria"/>
          <w:sz w:val="22"/>
          <w:szCs w:val="22"/>
        </w:rPr>
        <w:t>Tato smlouva se</w:t>
      </w:r>
      <w:r w:rsidR="00E63A5E">
        <w:rPr>
          <w:rFonts w:ascii="Cambria" w:hAnsi="Cambria"/>
          <w:sz w:val="22"/>
          <w:szCs w:val="22"/>
        </w:rPr>
        <w:t xml:space="preserve"> vyhotovuje ve dvou stejnopisech.</w:t>
      </w:r>
    </w:p>
    <w:p w:rsidR="00BD3A7A" w:rsidRPr="00D60E9F" w:rsidRDefault="00BD3A7A" w:rsidP="00BD3A7A">
      <w:pPr>
        <w:tabs>
          <w:tab w:val="left" w:pos="823"/>
        </w:tabs>
        <w:ind w:right="90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E07207">
      <w:pPr>
        <w:numPr>
          <w:ilvl w:val="0"/>
          <w:numId w:val="10"/>
        </w:numPr>
        <w:tabs>
          <w:tab w:val="left" w:pos="823"/>
        </w:tabs>
        <w:ind w:left="823" w:right="90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Tato smlouva nabývá platnosti dnem jejího podpisu oběma smluvními stranami</w:t>
      </w:r>
      <w:r w:rsidR="006307F4" w:rsidRPr="00D60E9F">
        <w:rPr>
          <w:rFonts w:ascii="Cambria" w:hAnsi="Cambria"/>
          <w:sz w:val="22"/>
          <w:szCs w:val="22"/>
        </w:rPr>
        <w:t>.</w:t>
      </w:r>
    </w:p>
    <w:p w:rsidR="00E07207" w:rsidRPr="00D60E9F" w:rsidRDefault="00E07207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643872" w:rsidRPr="00D60E9F" w:rsidRDefault="00643872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643872" w:rsidRPr="00D60E9F" w:rsidRDefault="00643872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643872" w:rsidRPr="00D60E9F" w:rsidRDefault="00643872" w:rsidP="00E07207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352F84" w:rsidRPr="00D60E9F" w:rsidRDefault="00352F84" w:rsidP="00352F84">
      <w:pPr>
        <w:ind w:left="900" w:right="900" w:hanging="36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>V </w:t>
      </w:r>
      <w:r w:rsidR="007E3BBC">
        <w:rPr>
          <w:rFonts w:ascii="Cambria" w:hAnsi="Cambria"/>
          <w:sz w:val="22"/>
          <w:szCs w:val="22"/>
        </w:rPr>
        <w:t>Brně</w:t>
      </w:r>
      <w:r w:rsidRPr="00D60E9F">
        <w:rPr>
          <w:rFonts w:ascii="Cambria" w:hAnsi="Cambria"/>
          <w:sz w:val="22"/>
          <w:szCs w:val="22"/>
        </w:rPr>
        <w:t xml:space="preserve"> dne </w:t>
      </w:r>
      <w:r w:rsidR="00BD3A7A" w:rsidRPr="00D60E9F">
        <w:rPr>
          <w:rFonts w:ascii="Cambria" w:hAnsi="Cambria"/>
          <w:sz w:val="22"/>
          <w:szCs w:val="22"/>
        </w:rPr>
        <w:t xml:space="preserve"> </w:t>
      </w:r>
    </w:p>
    <w:p w:rsidR="00352F84" w:rsidRPr="00D60E9F" w:rsidRDefault="00352F84" w:rsidP="00352F84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352F84" w:rsidRPr="00D60E9F" w:rsidRDefault="00352F84" w:rsidP="00352F84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6024FA" w:rsidRPr="00D60E9F" w:rsidRDefault="006024FA" w:rsidP="00352F84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6024FA" w:rsidRPr="007E3BBC" w:rsidRDefault="006024FA" w:rsidP="00352F84">
      <w:pPr>
        <w:ind w:left="900" w:right="900" w:hanging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352F84" w:rsidRPr="007E3BBC" w:rsidRDefault="007E3BBC" w:rsidP="00FC7B60">
      <w:pPr>
        <w:ind w:left="900" w:right="900" w:hanging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7E3BBC">
        <w:rPr>
          <w:rFonts w:ascii="Cambria" w:hAnsi="Cambria"/>
          <w:color w:val="000000" w:themeColor="text1"/>
          <w:sz w:val="22"/>
          <w:szCs w:val="22"/>
        </w:rPr>
        <w:t>_________</w:t>
      </w:r>
      <w:r w:rsidR="00352F84" w:rsidRPr="007E3BBC">
        <w:rPr>
          <w:rFonts w:ascii="Cambria" w:hAnsi="Cambria"/>
          <w:color w:val="000000" w:themeColor="text1"/>
          <w:sz w:val="22"/>
          <w:szCs w:val="22"/>
        </w:rPr>
        <w:t>_</w:t>
      </w:r>
      <w:r w:rsidR="007D18F2" w:rsidRPr="007E3BBC">
        <w:rPr>
          <w:rFonts w:ascii="Cambria" w:hAnsi="Cambria"/>
          <w:color w:val="000000" w:themeColor="text1"/>
          <w:sz w:val="22"/>
          <w:szCs w:val="22"/>
        </w:rPr>
        <w:t>___</w:t>
      </w:r>
      <w:r w:rsidR="00352F84" w:rsidRPr="007E3BBC">
        <w:rPr>
          <w:rFonts w:ascii="Cambria" w:hAnsi="Cambria"/>
          <w:color w:val="000000" w:themeColor="text1"/>
          <w:sz w:val="22"/>
          <w:szCs w:val="22"/>
        </w:rPr>
        <w:t>_________________________</w:t>
      </w:r>
      <w:r w:rsidR="00DB5EB7" w:rsidRPr="007E3BBC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FC7B60" w:rsidRPr="007E3BBC">
        <w:rPr>
          <w:rFonts w:ascii="Cambria" w:hAnsi="Cambria"/>
          <w:b/>
          <w:color w:val="000000" w:themeColor="text1"/>
          <w:sz w:val="22"/>
          <w:szCs w:val="22"/>
        </w:rPr>
        <w:t>Thermal Pasohlávky a.s.</w:t>
      </w:r>
      <w:r w:rsidR="00DB5EB7" w:rsidRPr="007E3BBC">
        <w:rPr>
          <w:rFonts w:ascii="Cambria" w:hAnsi="Cambria" w:cs="Arial"/>
          <w:b/>
          <w:color w:val="000000" w:themeColor="text1"/>
          <w:sz w:val="22"/>
          <w:szCs w:val="22"/>
        </w:rPr>
        <w:t>_______</w:t>
      </w:r>
      <w:r w:rsidRPr="007E3BBC">
        <w:rPr>
          <w:rFonts w:ascii="Cambria" w:hAnsi="Cambria" w:cs="Arial"/>
          <w:b/>
          <w:color w:val="000000" w:themeColor="text1"/>
          <w:sz w:val="22"/>
          <w:szCs w:val="22"/>
        </w:rPr>
        <w:t>________________</w:t>
      </w:r>
      <w:r w:rsidR="00DB5EB7" w:rsidRPr="007E3BBC">
        <w:rPr>
          <w:rFonts w:ascii="Cambria" w:hAnsi="Cambria" w:cs="Arial"/>
          <w:b/>
          <w:color w:val="000000" w:themeColor="text1"/>
          <w:sz w:val="22"/>
          <w:szCs w:val="22"/>
        </w:rPr>
        <w:t>______</w:t>
      </w:r>
      <w:r w:rsidR="007D18F2" w:rsidRPr="007E3BBC">
        <w:rPr>
          <w:rFonts w:ascii="Cambria" w:hAnsi="Cambria" w:cs="Arial"/>
          <w:b/>
          <w:color w:val="000000" w:themeColor="text1"/>
          <w:sz w:val="22"/>
          <w:szCs w:val="22"/>
        </w:rPr>
        <w:t>_____</w:t>
      </w:r>
      <w:r w:rsidR="00DB5EB7" w:rsidRPr="007E3BBC">
        <w:rPr>
          <w:rFonts w:ascii="Cambria" w:hAnsi="Cambria" w:cs="Arial"/>
          <w:b/>
          <w:color w:val="000000" w:themeColor="text1"/>
          <w:sz w:val="22"/>
          <w:szCs w:val="22"/>
        </w:rPr>
        <w:t>__</w:t>
      </w:r>
    </w:p>
    <w:p w:rsidR="00FC7B60" w:rsidRPr="007E3BBC" w:rsidRDefault="00FC7B60" w:rsidP="00FC7B60">
      <w:pPr>
        <w:ind w:left="900" w:right="900" w:hanging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7E3BBC">
        <w:rPr>
          <w:rFonts w:ascii="Cambria" w:hAnsi="Cambria"/>
          <w:color w:val="000000" w:themeColor="text1"/>
          <w:sz w:val="22"/>
          <w:szCs w:val="22"/>
        </w:rPr>
        <w:t xml:space="preserve">Ing, Martin Itterheim </w:t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Pr="007E3BBC">
        <w:rPr>
          <w:rFonts w:ascii="Cambria" w:hAnsi="Cambria"/>
          <w:color w:val="000000" w:themeColor="text1"/>
          <w:sz w:val="22"/>
          <w:szCs w:val="22"/>
        </w:rPr>
        <w:t>JUDr. Jiří Oliva</w:t>
      </w:r>
    </w:p>
    <w:p w:rsidR="00FC7B60" w:rsidRPr="007E3BBC" w:rsidRDefault="00FC7B60" w:rsidP="007E3BBC">
      <w:pPr>
        <w:ind w:right="900" w:firstLine="54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7E3BBC">
        <w:rPr>
          <w:rFonts w:ascii="Cambria" w:hAnsi="Cambria"/>
          <w:color w:val="000000" w:themeColor="text1"/>
          <w:sz w:val="22"/>
          <w:szCs w:val="22"/>
        </w:rPr>
        <w:t xml:space="preserve">předseda představenstva  </w:t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="007E3BBC" w:rsidRPr="007E3BBC">
        <w:rPr>
          <w:rFonts w:ascii="Cambria" w:hAnsi="Cambria"/>
          <w:color w:val="000000" w:themeColor="text1"/>
          <w:sz w:val="22"/>
          <w:szCs w:val="22"/>
        </w:rPr>
        <w:tab/>
      </w:r>
      <w:r w:rsidRPr="007E3BBC">
        <w:rPr>
          <w:rFonts w:ascii="Cambria" w:hAnsi="Cambria"/>
          <w:color w:val="000000" w:themeColor="text1"/>
          <w:sz w:val="22"/>
          <w:szCs w:val="22"/>
        </w:rPr>
        <w:t xml:space="preserve">člen představenstva  </w:t>
      </w:r>
    </w:p>
    <w:p w:rsidR="00FC7B60" w:rsidRPr="006B3043" w:rsidRDefault="00FC7B60" w:rsidP="00FC7B60">
      <w:pPr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352F84" w:rsidRPr="00D60E9F" w:rsidRDefault="00352F84" w:rsidP="00827B08">
      <w:pPr>
        <w:tabs>
          <w:tab w:val="left" w:pos="5529"/>
        </w:tabs>
        <w:ind w:left="900" w:right="900" w:hanging="360"/>
        <w:jc w:val="both"/>
        <w:rPr>
          <w:rFonts w:ascii="Cambria" w:hAnsi="Cambria"/>
          <w:sz w:val="22"/>
          <w:szCs w:val="22"/>
        </w:rPr>
      </w:pPr>
    </w:p>
    <w:p w:rsidR="00E07207" w:rsidRPr="00D60E9F" w:rsidRDefault="00E07207" w:rsidP="00827B08">
      <w:pPr>
        <w:ind w:right="900"/>
        <w:jc w:val="both"/>
        <w:rPr>
          <w:rFonts w:ascii="Cambria" w:hAnsi="Cambria"/>
          <w:sz w:val="22"/>
          <w:szCs w:val="22"/>
        </w:rPr>
      </w:pPr>
    </w:p>
    <w:p w:rsidR="00DB5EB7" w:rsidRPr="00D60E9F" w:rsidRDefault="00DB5EB7" w:rsidP="00DB5EB7">
      <w:pPr>
        <w:ind w:left="900" w:right="900" w:hanging="360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V Praze dne  </w:t>
      </w:r>
    </w:p>
    <w:p w:rsidR="000E0FA6" w:rsidRPr="00D60E9F" w:rsidRDefault="00DB5EB7" w:rsidP="000E0FA6">
      <w:pPr>
        <w:tabs>
          <w:tab w:val="left" w:pos="5529"/>
        </w:tabs>
        <w:ind w:left="900" w:right="90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D60E9F" w:rsidRDefault="006024FA" w:rsidP="00D60E9F">
      <w:pPr>
        <w:tabs>
          <w:tab w:val="left" w:pos="5529"/>
        </w:tabs>
        <w:overflowPunct w:val="0"/>
        <w:ind w:left="900" w:right="900" w:hanging="360"/>
        <w:jc w:val="both"/>
        <w:rPr>
          <w:rFonts w:ascii="Cambria" w:hAnsi="Cambria"/>
          <w:b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ab/>
      </w:r>
      <w:r w:rsidR="007D18F2">
        <w:rPr>
          <w:rFonts w:ascii="Cambria" w:hAnsi="Cambria"/>
          <w:sz w:val="22"/>
          <w:szCs w:val="22"/>
        </w:rPr>
        <w:tab/>
      </w:r>
      <w:r w:rsidR="007D18F2">
        <w:rPr>
          <w:rFonts w:ascii="Cambria" w:hAnsi="Cambria"/>
          <w:sz w:val="22"/>
          <w:szCs w:val="22"/>
        </w:rPr>
        <w:tab/>
      </w:r>
      <w:r w:rsidR="007D18F2">
        <w:rPr>
          <w:rFonts w:ascii="Cambria" w:hAnsi="Cambria"/>
          <w:sz w:val="22"/>
          <w:szCs w:val="22"/>
        </w:rPr>
        <w:tab/>
        <w:t>____________</w:t>
      </w:r>
      <w:r w:rsidR="00D60E9F" w:rsidRPr="00D60E9F">
        <w:rPr>
          <w:rFonts w:ascii="Cambria" w:hAnsi="Cambria"/>
          <w:sz w:val="22"/>
          <w:szCs w:val="22"/>
        </w:rPr>
        <w:t>_________________________</w:t>
      </w:r>
      <w:r w:rsidR="00D60E9F" w:rsidRPr="00D60E9F">
        <w:rPr>
          <w:rFonts w:ascii="Cambria" w:hAnsi="Cambria"/>
          <w:b/>
          <w:sz w:val="22"/>
          <w:szCs w:val="22"/>
        </w:rPr>
        <w:t xml:space="preserve"> </w:t>
      </w:r>
    </w:p>
    <w:p w:rsidR="00D60E9F" w:rsidRPr="00D60E9F" w:rsidRDefault="007D18F2" w:rsidP="00D60E9F">
      <w:pPr>
        <w:tabs>
          <w:tab w:val="left" w:pos="5529"/>
        </w:tabs>
        <w:overflowPunct w:val="0"/>
        <w:ind w:left="900" w:right="900" w:hanging="360"/>
        <w:jc w:val="both"/>
        <w:rPr>
          <w:rFonts w:ascii="Cambria" w:hAnsi="Cambria" w:cs="Tahoma"/>
          <w:b/>
          <w:sz w:val="22"/>
          <w:szCs w:val="22"/>
          <w:shd w:val="clear" w:color="auto" w:fill="FFFFFF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D60E9F" w:rsidRPr="00D60E9F">
        <w:rPr>
          <w:rFonts w:ascii="Cambria" w:hAnsi="Cambria"/>
          <w:b/>
          <w:sz w:val="22"/>
          <w:szCs w:val="22"/>
        </w:rPr>
        <w:t>HKR advokátní kancelář, s.r.o.</w:t>
      </w:r>
    </w:p>
    <w:p w:rsidR="000E0FA6" w:rsidRPr="00D60E9F" w:rsidRDefault="00D60E9F" w:rsidP="007D18F2">
      <w:pPr>
        <w:ind w:left="5664" w:right="900" w:firstLine="708"/>
        <w:jc w:val="both"/>
        <w:rPr>
          <w:rFonts w:ascii="Cambria" w:hAnsi="Cambria"/>
          <w:sz w:val="22"/>
          <w:szCs w:val="22"/>
        </w:rPr>
      </w:pPr>
      <w:r w:rsidRPr="00D60E9F">
        <w:rPr>
          <w:rFonts w:ascii="Cambria" w:hAnsi="Cambria"/>
          <w:sz w:val="22"/>
          <w:szCs w:val="22"/>
        </w:rPr>
        <w:t xml:space="preserve">Mgr. </w:t>
      </w:r>
      <w:r w:rsidR="007E3BBC">
        <w:rPr>
          <w:rFonts w:ascii="Cambria" w:hAnsi="Cambria"/>
          <w:sz w:val="22"/>
          <w:szCs w:val="22"/>
        </w:rPr>
        <w:t>Jiří Hnát</w:t>
      </w:r>
      <w:r w:rsidRPr="00D60E9F">
        <w:rPr>
          <w:rFonts w:ascii="Cambria" w:hAnsi="Cambria"/>
          <w:sz w:val="22"/>
          <w:szCs w:val="22"/>
        </w:rPr>
        <w:t xml:space="preserve">, </w:t>
      </w:r>
      <w:r w:rsidR="007E3BBC">
        <w:rPr>
          <w:rFonts w:ascii="Cambria" w:hAnsi="Cambria"/>
          <w:sz w:val="22"/>
          <w:szCs w:val="22"/>
        </w:rPr>
        <w:t xml:space="preserve">advokát a </w:t>
      </w:r>
      <w:r w:rsidRPr="00D60E9F">
        <w:rPr>
          <w:rFonts w:ascii="Cambria" w:hAnsi="Cambria"/>
          <w:sz w:val="22"/>
          <w:szCs w:val="22"/>
        </w:rPr>
        <w:t>jednatel</w:t>
      </w:r>
    </w:p>
    <w:sectPr w:rsidR="000E0FA6" w:rsidRPr="00D60E9F" w:rsidSect="007F0D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78" w:right="566" w:bottom="1843" w:left="720" w:header="72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D4" w:rsidRDefault="006E38D4">
      <w:r>
        <w:separator/>
      </w:r>
    </w:p>
  </w:endnote>
  <w:endnote w:type="continuationSeparator" w:id="0">
    <w:p w:rsidR="006E38D4" w:rsidRDefault="006E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B7" w:rsidRDefault="001733FA" w:rsidP="007F0D97">
    <w:pPr>
      <w:pStyle w:val="Stylzpat"/>
      <w:ind w:left="0"/>
    </w:pPr>
    <w:r>
      <w:rPr>
        <w:lang w:eastAsia="cs-CZ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154939</wp:posOffset>
              </wp:positionV>
              <wp:extent cx="6553200" cy="0"/>
              <wp:effectExtent l="0" t="0" r="19050" b="19050"/>
              <wp:wrapNone/>
              <wp:docPr id="650" name="Přímá spojnic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A98DA0" id="Přímá spojnice 65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2.2pt" to="51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DB5EB7" w:rsidRDefault="00DB5EB7" w:rsidP="007F0D97">
    <w:pPr>
      <w:pStyle w:val="Stylzpat"/>
      <w:tabs>
        <w:tab w:val="clear" w:pos="9498"/>
        <w:tab w:val="right" w:pos="10348"/>
      </w:tabs>
      <w:ind w:left="0"/>
    </w:pPr>
    <w:r w:rsidRPr="00FD2C27">
      <w:t>www.akhavel.cz</w:t>
    </w:r>
    <w:r w:rsidRPr="00FD2C27">
      <w:tab/>
      <w:t xml:space="preserve">strana </w:t>
    </w:r>
    <w:r w:rsidR="00961818">
      <w:fldChar w:fldCharType="begin"/>
    </w:r>
    <w:r w:rsidR="00961818">
      <w:instrText>PAGE   \* MERGEFORMAT</w:instrText>
    </w:r>
    <w:r w:rsidR="00961818">
      <w:fldChar w:fldCharType="separate"/>
    </w:r>
    <w:r w:rsidR="00645ECF">
      <w:t>2</w:t>
    </w:r>
    <w:r w:rsidR="00961818">
      <w:fldChar w:fldCharType="end"/>
    </w:r>
  </w:p>
  <w:p w:rsidR="00DB5EB7" w:rsidRDefault="00DB5EB7" w:rsidP="007F0D97">
    <w:pPr>
      <w:pStyle w:val="Zpat"/>
      <w:tabs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B7" w:rsidRDefault="00DB5EB7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-400050</wp:posOffset>
          </wp:positionV>
          <wp:extent cx="6732270" cy="574040"/>
          <wp:effectExtent l="0" t="0" r="0" b="0"/>
          <wp:wrapNone/>
          <wp:docPr id="880" name="obrázek 17" descr="zapati_1 stran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apati_1 stran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27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D4" w:rsidRDefault="006E38D4">
      <w:r>
        <w:separator/>
      </w:r>
    </w:p>
  </w:footnote>
  <w:footnote w:type="continuationSeparator" w:id="0">
    <w:p w:rsidR="006E38D4" w:rsidRDefault="006E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B7" w:rsidRDefault="00DB5EB7" w:rsidP="009615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1200" cy="647700"/>
          <wp:effectExtent l="0" t="0" r="0" b="0"/>
          <wp:wrapNone/>
          <wp:docPr id="878" name="obrázek 15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B7" w:rsidRDefault="00DB5E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1200" cy="647700"/>
          <wp:effectExtent l="0" t="0" r="0" b="0"/>
          <wp:wrapNone/>
          <wp:docPr id="879" name="obrázek 15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B20E720"/>
    <w:name w:val="WW8Num1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98"/>
        </w:tabs>
        <w:ind w:left="898" w:hanging="6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6E0A10"/>
    <w:multiLevelType w:val="hybridMultilevel"/>
    <w:tmpl w:val="8FB8FC5E"/>
    <w:lvl w:ilvl="0" w:tplc="84F6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21C2"/>
    <w:multiLevelType w:val="hybridMultilevel"/>
    <w:tmpl w:val="1D36119A"/>
    <w:lvl w:ilvl="0" w:tplc="7C16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4593"/>
    <w:multiLevelType w:val="singleLevel"/>
    <w:tmpl w:val="1DB4F4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13">
    <w:nsid w:val="25903BD9"/>
    <w:multiLevelType w:val="singleLevel"/>
    <w:tmpl w:val="6DACF2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FF82474"/>
    <w:multiLevelType w:val="hybridMultilevel"/>
    <w:tmpl w:val="CA3C022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C192D"/>
    <w:multiLevelType w:val="hybridMultilevel"/>
    <w:tmpl w:val="DAD83950"/>
    <w:lvl w:ilvl="0" w:tplc="1FC89FE6">
      <w:start w:val="1"/>
      <w:numFmt w:val="lowerRoman"/>
      <w:lvlText w:val="(%1)"/>
      <w:lvlJc w:val="left"/>
      <w:pPr>
        <w:tabs>
          <w:tab w:val="num" w:pos="1545"/>
        </w:tabs>
        <w:ind w:left="154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3"/>
    <w:rsid w:val="00001A3C"/>
    <w:rsid w:val="00010CE9"/>
    <w:rsid w:val="00011659"/>
    <w:rsid w:val="00023A3E"/>
    <w:rsid w:val="000366F0"/>
    <w:rsid w:val="00080FB3"/>
    <w:rsid w:val="000C1663"/>
    <w:rsid w:val="000C23A1"/>
    <w:rsid w:val="000D596D"/>
    <w:rsid w:val="000E0FA6"/>
    <w:rsid w:val="001733FA"/>
    <w:rsid w:val="0019370C"/>
    <w:rsid w:val="001B4DB0"/>
    <w:rsid w:val="001F0E93"/>
    <w:rsid w:val="001F6716"/>
    <w:rsid w:val="001F699B"/>
    <w:rsid w:val="0020284E"/>
    <w:rsid w:val="002363A3"/>
    <w:rsid w:val="00242AB4"/>
    <w:rsid w:val="002C6446"/>
    <w:rsid w:val="002F4401"/>
    <w:rsid w:val="0030533A"/>
    <w:rsid w:val="00322EC3"/>
    <w:rsid w:val="003432F3"/>
    <w:rsid w:val="00352F84"/>
    <w:rsid w:val="00365474"/>
    <w:rsid w:val="003B4ABA"/>
    <w:rsid w:val="003B76C7"/>
    <w:rsid w:val="00435F89"/>
    <w:rsid w:val="0044539D"/>
    <w:rsid w:val="00453166"/>
    <w:rsid w:val="004B07FB"/>
    <w:rsid w:val="004C0349"/>
    <w:rsid w:val="004D39CD"/>
    <w:rsid w:val="004E25B5"/>
    <w:rsid w:val="004F4629"/>
    <w:rsid w:val="00527B7C"/>
    <w:rsid w:val="00530086"/>
    <w:rsid w:val="00530673"/>
    <w:rsid w:val="0053508E"/>
    <w:rsid w:val="005461CD"/>
    <w:rsid w:val="00556C61"/>
    <w:rsid w:val="00576AC3"/>
    <w:rsid w:val="005A46D0"/>
    <w:rsid w:val="006024FA"/>
    <w:rsid w:val="0061431D"/>
    <w:rsid w:val="006307F4"/>
    <w:rsid w:val="006363E5"/>
    <w:rsid w:val="00643872"/>
    <w:rsid w:val="00645ECF"/>
    <w:rsid w:val="006A0284"/>
    <w:rsid w:val="006B3043"/>
    <w:rsid w:val="006E254F"/>
    <w:rsid w:val="006E38D4"/>
    <w:rsid w:val="006F622B"/>
    <w:rsid w:val="00704B85"/>
    <w:rsid w:val="007149D5"/>
    <w:rsid w:val="00741B2B"/>
    <w:rsid w:val="007442F3"/>
    <w:rsid w:val="007864BF"/>
    <w:rsid w:val="00797F66"/>
    <w:rsid w:val="007C215B"/>
    <w:rsid w:val="007D18F2"/>
    <w:rsid w:val="007E3BBC"/>
    <w:rsid w:val="007F0D97"/>
    <w:rsid w:val="00816314"/>
    <w:rsid w:val="00827B08"/>
    <w:rsid w:val="00883AE2"/>
    <w:rsid w:val="008A3659"/>
    <w:rsid w:val="008B48AE"/>
    <w:rsid w:val="008C3FBD"/>
    <w:rsid w:val="008F0571"/>
    <w:rsid w:val="00923283"/>
    <w:rsid w:val="00927305"/>
    <w:rsid w:val="00927F6B"/>
    <w:rsid w:val="00961523"/>
    <w:rsid w:val="00961818"/>
    <w:rsid w:val="009A2F60"/>
    <w:rsid w:val="009C12E8"/>
    <w:rsid w:val="009C399D"/>
    <w:rsid w:val="009C6407"/>
    <w:rsid w:val="009D2C9F"/>
    <w:rsid w:val="009D6AEB"/>
    <w:rsid w:val="009E34A5"/>
    <w:rsid w:val="009F175F"/>
    <w:rsid w:val="00A62C37"/>
    <w:rsid w:val="00A67578"/>
    <w:rsid w:val="00B26D08"/>
    <w:rsid w:val="00B5387B"/>
    <w:rsid w:val="00B6131E"/>
    <w:rsid w:val="00B714D4"/>
    <w:rsid w:val="00B8147A"/>
    <w:rsid w:val="00BD3A7A"/>
    <w:rsid w:val="00C13AFF"/>
    <w:rsid w:val="00C1565B"/>
    <w:rsid w:val="00C21208"/>
    <w:rsid w:val="00C33BF7"/>
    <w:rsid w:val="00C471E0"/>
    <w:rsid w:val="00C52135"/>
    <w:rsid w:val="00C74B90"/>
    <w:rsid w:val="00C87055"/>
    <w:rsid w:val="00C87487"/>
    <w:rsid w:val="00C8799B"/>
    <w:rsid w:val="00C94847"/>
    <w:rsid w:val="00CE59E8"/>
    <w:rsid w:val="00D264CA"/>
    <w:rsid w:val="00D350D3"/>
    <w:rsid w:val="00D57D77"/>
    <w:rsid w:val="00D60E9F"/>
    <w:rsid w:val="00D65610"/>
    <w:rsid w:val="00D70211"/>
    <w:rsid w:val="00DA05AB"/>
    <w:rsid w:val="00DB5EB7"/>
    <w:rsid w:val="00DE056C"/>
    <w:rsid w:val="00DE6EDE"/>
    <w:rsid w:val="00E0122D"/>
    <w:rsid w:val="00E07207"/>
    <w:rsid w:val="00E16428"/>
    <w:rsid w:val="00E2611D"/>
    <w:rsid w:val="00E324A0"/>
    <w:rsid w:val="00E35188"/>
    <w:rsid w:val="00E5260D"/>
    <w:rsid w:val="00E61397"/>
    <w:rsid w:val="00E636AC"/>
    <w:rsid w:val="00E63A5E"/>
    <w:rsid w:val="00E80D03"/>
    <w:rsid w:val="00E82BA0"/>
    <w:rsid w:val="00E83741"/>
    <w:rsid w:val="00EF2013"/>
    <w:rsid w:val="00F010A7"/>
    <w:rsid w:val="00F16B81"/>
    <w:rsid w:val="00F2003E"/>
    <w:rsid w:val="00F8131B"/>
    <w:rsid w:val="00F9483C"/>
    <w:rsid w:val="00FB3670"/>
    <w:rsid w:val="00FB5679"/>
    <w:rsid w:val="00FC344B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207"/>
    <w:pPr>
      <w:suppressAutoHyphens/>
      <w:autoSpaceDE w:val="0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615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152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E07207"/>
    <w:pPr>
      <w:spacing w:line="360" w:lineRule="auto"/>
      <w:jc w:val="center"/>
    </w:pPr>
    <w:rPr>
      <w:b/>
      <w:sz w:val="28"/>
    </w:rPr>
  </w:style>
  <w:style w:type="paragraph" w:styleId="Podtitul">
    <w:name w:val="Subtitle"/>
    <w:basedOn w:val="Normln"/>
    <w:qFormat/>
    <w:rsid w:val="00E0720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rmln1">
    <w:name w:val="Normální1"/>
    <w:basedOn w:val="Normln"/>
    <w:rsid w:val="007442F3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eastAsia="cs-CZ"/>
    </w:rPr>
  </w:style>
  <w:style w:type="character" w:customStyle="1" w:styleId="platne1">
    <w:name w:val="platne1"/>
    <w:basedOn w:val="Standardnpsmoodstavce"/>
    <w:rsid w:val="00FC344B"/>
  </w:style>
  <w:style w:type="paragraph" w:customStyle="1" w:styleId="Stylzpat">
    <w:name w:val="Styl zápatí"/>
    <w:basedOn w:val="Zpat"/>
    <w:link w:val="StylzpatChar"/>
    <w:qFormat/>
    <w:rsid w:val="00527B7C"/>
    <w:pPr>
      <w:tabs>
        <w:tab w:val="clear" w:pos="4536"/>
        <w:tab w:val="clear" w:pos="9072"/>
        <w:tab w:val="right" w:pos="9498"/>
      </w:tabs>
      <w:suppressAutoHyphens w:val="0"/>
      <w:autoSpaceDN w:val="0"/>
      <w:spacing w:after="120" w:line="276" w:lineRule="auto"/>
      <w:ind w:left="-993" w:right="-850"/>
      <w:jc w:val="both"/>
    </w:pPr>
    <w:rPr>
      <w:rFonts w:ascii="Arial Narrow" w:hAnsi="Arial Narrow" w:cs="Tahoma"/>
      <w:noProof/>
      <w:sz w:val="16"/>
      <w:szCs w:val="16"/>
      <w:lang w:eastAsia="x-none"/>
    </w:rPr>
  </w:style>
  <w:style w:type="character" w:customStyle="1" w:styleId="StylzpatChar">
    <w:name w:val="Styl zápatí Char"/>
    <w:basedOn w:val="Standardnpsmoodstavce"/>
    <w:link w:val="Stylzpat"/>
    <w:rsid w:val="00527B7C"/>
    <w:rPr>
      <w:rFonts w:ascii="Arial Narrow" w:hAnsi="Arial Narrow" w:cs="Tahoma"/>
      <w:noProof/>
      <w:sz w:val="16"/>
      <w:szCs w:val="16"/>
      <w:lang w:eastAsia="x-none"/>
    </w:rPr>
  </w:style>
  <w:style w:type="paragraph" w:styleId="Odstavecseseznamem">
    <w:name w:val="List Paragraph"/>
    <w:basedOn w:val="Normln"/>
    <w:uiPriority w:val="34"/>
    <w:qFormat/>
    <w:rsid w:val="00643872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D3A7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D3A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D3A7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D3A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D3A7A"/>
    <w:rPr>
      <w:b/>
      <w:bCs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BD3A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D3A7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41B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207"/>
    <w:pPr>
      <w:suppressAutoHyphens/>
      <w:autoSpaceDE w:val="0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615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152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E07207"/>
    <w:pPr>
      <w:spacing w:line="360" w:lineRule="auto"/>
      <w:jc w:val="center"/>
    </w:pPr>
    <w:rPr>
      <w:b/>
      <w:sz w:val="28"/>
    </w:rPr>
  </w:style>
  <w:style w:type="paragraph" w:styleId="Podtitul">
    <w:name w:val="Subtitle"/>
    <w:basedOn w:val="Normln"/>
    <w:qFormat/>
    <w:rsid w:val="00E0720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rmln1">
    <w:name w:val="Normální1"/>
    <w:basedOn w:val="Normln"/>
    <w:rsid w:val="007442F3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eastAsia="cs-CZ"/>
    </w:rPr>
  </w:style>
  <w:style w:type="character" w:customStyle="1" w:styleId="platne1">
    <w:name w:val="platne1"/>
    <w:basedOn w:val="Standardnpsmoodstavce"/>
    <w:rsid w:val="00FC344B"/>
  </w:style>
  <w:style w:type="paragraph" w:customStyle="1" w:styleId="Stylzpat">
    <w:name w:val="Styl zápatí"/>
    <w:basedOn w:val="Zpat"/>
    <w:link w:val="StylzpatChar"/>
    <w:qFormat/>
    <w:rsid w:val="00527B7C"/>
    <w:pPr>
      <w:tabs>
        <w:tab w:val="clear" w:pos="4536"/>
        <w:tab w:val="clear" w:pos="9072"/>
        <w:tab w:val="right" w:pos="9498"/>
      </w:tabs>
      <w:suppressAutoHyphens w:val="0"/>
      <w:autoSpaceDN w:val="0"/>
      <w:spacing w:after="120" w:line="276" w:lineRule="auto"/>
      <w:ind w:left="-993" w:right="-850"/>
      <w:jc w:val="both"/>
    </w:pPr>
    <w:rPr>
      <w:rFonts w:ascii="Arial Narrow" w:hAnsi="Arial Narrow" w:cs="Tahoma"/>
      <w:noProof/>
      <w:sz w:val="16"/>
      <w:szCs w:val="16"/>
      <w:lang w:eastAsia="x-none"/>
    </w:rPr>
  </w:style>
  <w:style w:type="character" w:customStyle="1" w:styleId="StylzpatChar">
    <w:name w:val="Styl zápatí Char"/>
    <w:basedOn w:val="Standardnpsmoodstavce"/>
    <w:link w:val="Stylzpat"/>
    <w:rsid w:val="00527B7C"/>
    <w:rPr>
      <w:rFonts w:ascii="Arial Narrow" w:hAnsi="Arial Narrow" w:cs="Tahoma"/>
      <w:noProof/>
      <w:sz w:val="16"/>
      <w:szCs w:val="16"/>
      <w:lang w:eastAsia="x-none"/>
    </w:rPr>
  </w:style>
  <w:style w:type="paragraph" w:styleId="Odstavecseseznamem">
    <w:name w:val="List Paragraph"/>
    <w:basedOn w:val="Normln"/>
    <w:uiPriority w:val="34"/>
    <w:qFormat/>
    <w:rsid w:val="00643872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D3A7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D3A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D3A7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D3A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D3A7A"/>
    <w:rPr>
      <w:b/>
      <w:bCs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BD3A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D3A7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41B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5945B-EDE3-49A9-8721-23C1149C3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DFD36-4C43-4DC6-8129-DF9AA9F8E6C2}"/>
</file>

<file path=customXml/itemProps3.xml><?xml version="1.0" encoding="utf-8"?>
<ds:datastoreItem xmlns:ds="http://schemas.openxmlformats.org/officeDocument/2006/customXml" ds:itemID="{2482E6F3-1F8E-45B5-A3F9-BE6A8B4B7916}"/>
</file>

<file path=customXml/itemProps4.xml><?xml version="1.0" encoding="utf-8"?>
<ds:datastoreItem xmlns:ds="http://schemas.openxmlformats.org/officeDocument/2006/customXml" ds:itemID="{777F664E-C11D-4077-B5A7-AA494E975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PRÁVNÍCH SLUŽEB</vt:lpstr>
    </vt:vector>
  </TitlesOfParts>
  <Company>BORA REKLAMY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PRÁVNÍCH SLUŽEB</dc:title>
  <dc:creator>Ivan Bílek</dc:creator>
  <cp:lastModifiedBy>Office</cp:lastModifiedBy>
  <cp:revision>2</cp:revision>
  <cp:lastPrinted>2019-02-04T11:19:00Z</cp:lastPrinted>
  <dcterms:created xsi:type="dcterms:W3CDTF">2019-02-06T15:58:00Z</dcterms:created>
  <dcterms:modified xsi:type="dcterms:W3CDTF">2019-02-06T15:58:00Z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