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9-041/G3200/19/RS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Spilka Tomáš, Ing.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Úvoz 10/167, Praha 1, 118 00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12599603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CZ470511043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2019/2020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25.01.2019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  <w:r>
              <w:t>Žatecká 110/2, Praha 1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akce:1/1/G32/00</w:t>
            </w:r>
          </w:p>
          <w:p w:rsidR="002415FC" w:rsidRDefault="00ED5091">
            <w:r>
              <w:t>Název akce:Rekonstrukce kanalizace, ul. Černomořská a okolí, P10</w:t>
            </w:r>
          </w:p>
          <w:p w:rsidR="002415FC" w:rsidRDefault="00ED5091">
            <w:r>
              <w:t>Autorský dozor</w:t>
            </w:r>
          </w:p>
          <w:p w:rsidR="002415FC" w:rsidRDefault="00ED5091">
            <w:r>
              <w:t>109 200,- Kč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ED5091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5FC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ED5091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DBD18-E059-4960-AE7A-1A741F65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2019-02-05T13:32:00Z</dcterms:created>
  <dcterms:modified xsi:type="dcterms:W3CDTF">2019-02-05T13:32:00Z</dcterms:modified>
</cp:coreProperties>
</file>