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36" w:rsidRDefault="00794436">
      <w:pPr>
        <w:pBdr>
          <w:top w:val="nil"/>
          <w:left w:val="nil"/>
          <w:bottom w:val="nil"/>
          <w:right w:val="nil"/>
          <w:between w:val="nil"/>
        </w:pBdr>
        <w:spacing w:before="1080" w:after="840"/>
        <w:jc w:val="center"/>
        <w:rPr>
          <w:b/>
          <w:smallCaps/>
          <w:color w:val="000000"/>
          <w:sz w:val="44"/>
          <w:szCs w:val="44"/>
        </w:rPr>
      </w:pPr>
      <w:bookmarkStart w:id="0" w:name="_GoBack"/>
      <w:bookmarkEnd w:id="0"/>
    </w:p>
    <w:p w:rsidR="00794436" w:rsidRDefault="006A653C">
      <w:pPr>
        <w:pBdr>
          <w:top w:val="nil"/>
          <w:left w:val="nil"/>
          <w:bottom w:val="nil"/>
          <w:right w:val="nil"/>
          <w:between w:val="nil"/>
        </w:pBdr>
        <w:spacing w:before="1080" w:after="840"/>
        <w:jc w:val="center"/>
        <w:rPr>
          <w:b/>
          <w:smallCaps/>
          <w:color w:val="000000"/>
          <w:sz w:val="44"/>
          <w:szCs w:val="44"/>
        </w:rPr>
      </w:pPr>
      <w:r>
        <w:rPr>
          <w:b/>
          <w:smallCaps/>
          <w:color w:val="000000"/>
          <w:sz w:val="44"/>
          <w:szCs w:val="44"/>
        </w:rPr>
        <w:t>Smlouva o dílo</w:t>
      </w:r>
    </w:p>
    <w:p w:rsidR="00794436" w:rsidRDefault="00794436"/>
    <w:p w:rsidR="00794436" w:rsidRDefault="006A653C">
      <w:pPr>
        <w:pBdr>
          <w:top w:val="nil"/>
          <w:left w:val="nil"/>
          <w:bottom w:val="nil"/>
          <w:right w:val="nil"/>
          <w:between w:val="nil"/>
        </w:pBdr>
        <w:spacing w:before="360" w:after="600"/>
        <w:jc w:val="center"/>
        <w:rPr>
          <w:b/>
          <w:color w:val="000000"/>
          <w:sz w:val="26"/>
          <w:szCs w:val="26"/>
        </w:rPr>
      </w:pPr>
      <w:r>
        <w:rPr>
          <w:b/>
          <w:color w:val="000000"/>
          <w:sz w:val="26"/>
          <w:szCs w:val="26"/>
        </w:rPr>
        <w:t>mezi</w:t>
      </w:r>
    </w:p>
    <w:p w:rsidR="00794436" w:rsidRDefault="00794436">
      <w:pPr>
        <w:jc w:val="center"/>
        <w:rPr>
          <w:sz w:val="26"/>
          <w:szCs w:val="26"/>
        </w:rPr>
      </w:pPr>
    </w:p>
    <w:p w:rsidR="00794436" w:rsidRDefault="006A653C">
      <w:pPr>
        <w:jc w:val="center"/>
        <w:rPr>
          <w:b/>
          <w:sz w:val="32"/>
          <w:szCs w:val="32"/>
        </w:rPr>
      </w:pPr>
      <w:r>
        <w:rPr>
          <w:b/>
          <w:sz w:val="32"/>
          <w:szCs w:val="32"/>
        </w:rPr>
        <w:t>Astronomický ústav AV ČR, v.v.i.</w:t>
      </w:r>
    </w:p>
    <w:p w:rsidR="00794436" w:rsidRDefault="00794436">
      <w:pPr>
        <w:jc w:val="center"/>
        <w:rPr>
          <w:sz w:val="26"/>
          <w:szCs w:val="26"/>
        </w:rPr>
      </w:pPr>
    </w:p>
    <w:p w:rsidR="00794436" w:rsidRDefault="006A653C">
      <w:pPr>
        <w:pBdr>
          <w:top w:val="nil"/>
          <w:left w:val="nil"/>
          <w:bottom w:val="nil"/>
          <w:right w:val="nil"/>
          <w:between w:val="nil"/>
        </w:pBdr>
        <w:spacing w:before="360" w:after="600"/>
        <w:jc w:val="center"/>
        <w:rPr>
          <w:b/>
          <w:color w:val="000000"/>
          <w:sz w:val="26"/>
          <w:szCs w:val="26"/>
        </w:rPr>
      </w:pPr>
      <w:r>
        <w:rPr>
          <w:b/>
          <w:color w:val="000000"/>
          <w:sz w:val="26"/>
          <w:szCs w:val="26"/>
        </w:rPr>
        <w:t>a</w:t>
      </w:r>
    </w:p>
    <w:p w:rsidR="00794436" w:rsidRDefault="00794436">
      <w:pPr>
        <w:jc w:val="center"/>
        <w:rPr>
          <w:sz w:val="26"/>
          <w:szCs w:val="26"/>
        </w:rPr>
      </w:pPr>
    </w:p>
    <w:p w:rsidR="00794436" w:rsidRDefault="006A653C">
      <w:pPr>
        <w:jc w:val="center"/>
        <w:rPr>
          <w:b/>
          <w:sz w:val="32"/>
          <w:szCs w:val="32"/>
        </w:rPr>
      </w:pPr>
      <w:r>
        <w:rPr>
          <w:b/>
          <w:sz w:val="32"/>
          <w:szCs w:val="32"/>
        </w:rPr>
        <w:t>FoxWorks Aerospace s.r.o.</w:t>
      </w:r>
    </w:p>
    <w:p w:rsidR="00794436" w:rsidRDefault="00794436">
      <w:pPr>
        <w:jc w:val="center"/>
        <w:rPr>
          <w:sz w:val="26"/>
          <w:szCs w:val="26"/>
        </w:rPr>
      </w:pPr>
    </w:p>
    <w:p w:rsidR="00794436" w:rsidRDefault="00794436">
      <w:pPr>
        <w:jc w:val="center"/>
      </w:pPr>
    </w:p>
    <w:p w:rsidR="00794436" w:rsidRDefault="00794436">
      <w:pPr>
        <w:jc w:val="center"/>
      </w:pPr>
    </w:p>
    <w:p w:rsidR="00794436" w:rsidRDefault="00794436">
      <w:pPr>
        <w:tabs>
          <w:tab w:val="left" w:pos="1440"/>
        </w:tabs>
      </w:pPr>
    </w:p>
    <w:p w:rsidR="00794436" w:rsidRDefault="00794436"/>
    <w:p w:rsidR="00794436" w:rsidRDefault="00794436"/>
    <w:p w:rsidR="00794436" w:rsidRDefault="006A653C">
      <w:pPr>
        <w:widowControl w:val="0"/>
        <w:pBdr>
          <w:top w:val="nil"/>
          <w:left w:val="nil"/>
          <w:bottom w:val="nil"/>
          <w:right w:val="nil"/>
          <w:between w:val="nil"/>
        </w:pBdr>
        <w:spacing w:before="0" w:after="0" w:line="276" w:lineRule="auto"/>
        <w:jc w:val="left"/>
        <w:sectPr w:rsidR="00794436">
          <w:footerReference w:type="default" r:id="rId7"/>
          <w:pgSz w:w="11907" w:h="16840"/>
          <w:pgMar w:top="1418" w:right="1418" w:bottom="1418" w:left="1418" w:header="720" w:footer="720" w:gutter="0"/>
          <w:pgNumType w:start="1"/>
          <w:cols w:space="720"/>
        </w:sectPr>
      </w:pPr>
      <w:r>
        <w:br w:type="page"/>
      </w:r>
    </w:p>
    <w:p w:rsidR="00794436" w:rsidRDefault="006A653C">
      <w:pPr>
        <w:pBdr>
          <w:top w:val="nil"/>
          <w:left w:val="nil"/>
          <w:bottom w:val="nil"/>
          <w:right w:val="nil"/>
          <w:between w:val="nil"/>
        </w:pBdr>
        <w:spacing w:before="240"/>
        <w:jc w:val="center"/>
        <w:rPr>
          <w:b/>
          <w:smallCaps/>
          <w:color w:val="000000"/>
        </w:rPr>
      </w:pPr>
      <w:r>
        <w:rPr>
          <w:b/>
          <w:smallCaps/>
          <w:color w:val="000000"/>
        </w:rPr>
        <w:lastRenderedPageBreak/>
        <w:t>Smlouva o dílo</w:t>
      </w:r>
    </w:p>
    <w:p w:rsidR="00794436" w:rsidRDefault="006A653C">
      <w:pPr>
        <w:jc w:val="center"/>
      </w:pPr>
      <w:r>
        <w:t>uzavřená podle §2586 a násl.zákona č. 89/2012 Sb., občanský zákoník</w:t>
      </w:r>
    </w:p>
    <w:p w:rsidR="00794436" w:rsidRDefault="006A653C">
      <w:pPr>
        <w:spacing w:after="600"/>
        <w:jc w:val="center"/>
      </w:pPr>
      <w:r>
        <w:t>(„</w:t>
      </w:r>
      <w:r>
        <w:rPr>
          <w:b/>
        </w:rPr>
        <w:t>Smlouva</w:t>
      </w:r>
      <w:r>
        <w:t>“)</w:t>
      </w:r>
    </w:p>
    <w:p w:rsidR="00794436" w:rsidRDefault="006A653C">
      <w:pPr>
        <w:pBdr>
          <w:top w:val="nil"/>
          <w:left w:val="nil"/>
          <w:bottom w:val="nil"/>
          <w:right w:val="nil"/>
          <w:between w:val="nil"/>
        </w:pBdr>
        <w:spacing w:before="480" w:after="240"/>
        <w:rPr>
          <w:b/>
          <w:smallCaps/>
          <w:color w:val="000000"/>
        </w:rPr>
      </w:pPr>
      <w:r>
        <w:rPr>
          <w:b/>
          <w:smallCaps/>
          <w:color w:val="000000"/>
        </w:rPr>
        <w:t>Smluvní strany</w:t>
      </w:r>
    </w:p>
    <w:p w:rsidR="00794436" w:rsidRDefault="006A653C">
      <w:pPr>
        <w:keepNext/>
        <w:numPr>
          <w:ilvl w:val="0"/>
          <w:numId w:val="2"/>
        </w:numPr>
        <w:pBdr>
          <w:top w:val="nil"/>
          <w:left w:val="nil"/>
          <w:bottom w:val="nil"/>
          <w:right w:val="nil"/>
          <w:between w:val="nil"/>
        </w:pBdr>
        <w:rPr>
          <w:color w:val="000000"/>
        </w:rPr>
      </w:pPr>
      <w:bookmarkStart w:id="1" w:name="_gjdgxs" w:colFirst="0" w:colLast="0"/>
      <w:bookmarkEnd w:id="1"/>
      <w:r>
        <w:rPr>
          <w:b/>
          <w:color w:val="000000"/>
        </w:rPr>
        <w:t>Astronomický ústav AV ČR, v.v.i.</w:t>
      </w:r>
    </w:p>
    <w:p w:rsidR="00794436" w:rsidRDefault="006A653C">
      <w:pPr>
        <w:keepNext/>
        <w:pBdr>
          <w:top w:val="nil"/>
          <w:left w:val="nil"/>
          <w:bottom w:val="nil"/>
          <w:right w:val="nil"/>
          <w:between w:val="nil"/>
        </w:pBdr>
        <w:ind w:left="561" w:hanging="561"/>
        <w:rPr>
          <w:color w:val="000000"/>
        </w:rPr>
      </w:pPr>
      <w:r>
        <w:rPr>
          <w:color w:val="000000"/>
        </w:rPr>
        <w:t>instituce, člen Akademie věd České republiky, založená a existující podle právního řádu České republiky, sídlo Fričova 298, Ondřejov, 251 65 IČO: 67985815, zapsaná v Rejstříku veřejných výzkumných institucí vedeném Ministerstvem školství, mládeže a tělovýchovy, zastoupená prof. RNDr. Vladimír Karas, DrSc.</w:t>
      </w:r>
    </w:p>
    <w:p w:rsidR="00794436" w:rsidRDefault="006A653C">
      <w:pPr>
        <w:keepNext/>
        <w:pBdr>
          <w:top w:val="nil"/>
          <w:left w:val="nil"/>
          <w:bottom w:val="nil"/>
          <w:right w:val="nil"/>
          <w:between w:val="nil"/>
        </w:pBdr>
        <w:ind w:left="561" w:hanging="561"/>
        <w:rPr>
          <w:color w:val="000000"/>
        </w:rPr>
      </w:pPr>
      <w:r>
        <w:rPr>
          <w:color w:val="000000"/>
        </w:rPr>
        <w:t>email: vladimir.karas@asu.cas.cz</w:t>
      </w:r>
    </w:p>
    <w:p w:rsidR="00794436" w:rsidRDefault="006A653C">
      <w:pPr>
        <w:keepNext/>
        <w:pBdr>
          <w:top w:val="nil"/>
          <w:left w:val="nil"/>
          <w:bottom w:val="nil"/>
          <w:right w:val="nil"/>
          <w:between w:val="nil"/>
        </w:pBdr>
        <w:ind w:left="561" w:hanging="561"/>
        <w:rPr>
          <w:color w:val="000000"/>
        </w:rPr>
      </w:pPr>
      <w:r>
        <w:rPr>
          <w:color w:val="000000"/>
        </w:rPr>
        <w:t xml:space="preserve"> („</w:t>
      </w:r>
      <w:r>
        <w:rPr>
          <w:b/>
          <w:color w:val="000000"/>
        </w:rPr>
        <w:t>Zadavatel</w:t>
      </w:r>
      <w:r>
        <w:rPr>
          <w:color w:val="000000"/>
        </w:rPr>
        <w:t>“)</w:t>
      </w:r>
    </w:p>
    <w:p w:rsidR="00794436" w:rsidRDefault="006A653C">
      <w:pPr>
        <w:keepNext/>
        <w:pBdr>
          <w:top w:val="nil"/>
          <w:left w:val="nil"/>
          <w:bottom w:val="nil"/>
          <w:right w:val="nil"/>
          <w:between w:val="nil"/>
        </w:pBdr>
        <w:spacing w:before="360" w:after="360"/>
        <w:ind w:left="561" w:hanging="561"/>
        <w:rPr>
          <w:color w:val="000000"/>
        </w:rPr>
      </w:pPr>
      <w:r>
        <w:rPr>
          <w:color w:val="000000"/>
        </w:rPr>
        <w:t>a</w:t>
      </w:r>
    </w:p>
    <w:p w:rsidR="00794436" w:rsidRDefault="006A653C">
      <w:pPr>
        <w:numPr>
          <w:ilvl w:val="0"/>
          <w:numId w:val="2"/>
        </w:numPr>
      </w:pPr>
      <w:r>
        <w:rPr>
          <w:b/>
        </w:rPr>
        <w:t>FoxWorks Aerospace s.r.o.</w:t>
      </w:r>
    </w:p>
    <w:p w:rsidR="00794436" w:rsidRDefault="006A653C">
      <w:pPr>
        <w:keepNext/>
        <w:pBdr>
          <w:top w:val="nil"/>
          <w:left w:val="nil"/>
          <w:bottom w:val="nil"/>
          <w:right w:val="nil"/>
          <w:between w:val="nil"/>
        </w:pBdr>
        <w:ind w:left="561" w:hanging="561"/>
        <w:rPr>
          <w:color w:val="000000"/>
        </w:rPr>
      </w:pPr>
      <w:r>
        <w:rPr>
          <w:color w:val="000000"/>
        </w:rPr>
        <w:t xml:space="preserve">společnost založená a existující podle právního řádu České republiky, sídlo Bělehradská 858/23, Vinohrady, 120 00 Praha 2, IČO: </w:t>
      </w:r>
      <w:r>
        <w:rPr>
          <w:color w:val="000000"/>
        </w:rPr>
        <w:tab/>
        <w:t>03758559, zapsaná v obchodním rejstříku vedeném Městským soudem v Praze, oddíl C, vložka 237094</w:t>
      </w:r>
    </w:p>
    <w:p w:rsidR="00794436" w:rsidRDefault="006A653C">
      <w:pPr>
        <w:keepNext/>
        <w:pBdr>
          <w:top w:val="nil"/>
          <w:left w:val="nil"/>
          <w:bottom w:val="nil"/>
          <w:right w:val="nil"/>
          <w:between w:val="nil"/>
        </w:pBdr>
        <w:ind w:left="561" w:hanging="561"/>
        <w:rPr>
          <w:color w:val="000000"/>
        </w:rPr>
      </w:pPr>
      <w:r>
        <w:rPr>
          <w:color w:val="000000"/>
        </w:rPr>
        <w:t>email: marian.such@foxworks.cz</w:t>
      </w:r>
    </w:p>
    <w:p w:rsidR="00794436" w:rsidRDefault="006A653C">
      <w:pPr>
        <w:keepNext/>
        <w:pBdr>
          <w:top w:val="nil"/>
          <w:left w:val="nil"/>
          <w:bottom w:val="nil"/>
          <w:right w:val="nil"/>
          <w:between w:val="nil"/>
        </w:pBdr>
        <w:ind w:left="561" w:hanging="561"/>
        <w:rPr>
          <w:color w:val="000000"/>
        </w:rPr>
      </w:pPr>
      <w:r>
        <w:rPr>
          <w:color w:val="000000"/>
        </w:rPr>
        <w:t xml:space="preserve"> („</w:t>
      </w:r>
      <w:r>
        <w:rPr>
          <w:b/>
          <w:color w:val="000000"/>
        </w:rPr>
        <w:t>Dodavatel</w:t>
      </w:r>
      <w:r>
        <w:rPr>
          <w:color w:val="000000"/>
        </w:rPr>
        <w:t>“)</w:t>
      </w:r>
    </w:p>
    <w:p w:rsidR="00794436" w:rsidRDefault="006A653C">
      <w:pPr>
        <w:keepNext/>
        <w:pBdr>
          <w:top w:val="nil"/>
          <w:left w:val="nil"/>
          <w:bottom w:val="nil"/>
          <w:right w:val="nil"/>
          <w:between w:val="nil"/>
        </w:pBdr>
        <w:ind w:left="561" w:hanging="561"/>
        <w:rPr>
          <w:color w:val="000000"/>
        </w:rPr>
      </w:pPr>
      <w:r>
        <w:rPr>
          <w:color w:val="000000"/>
        </w:rPr>
        <w:t>(Zadavatel a Dodavatel společně „</w:t>
      </w:r>
      <w:r>
        <w:rPr>
          <w:b/>
          <w:color w:val="000000"/>
        </w:rPr>
        <w:t>Strany</w:t>
      </w:r>
      <w:r>
        <w:rPr>
          <w:color w:val="000000"/>
        </w:rPr>
        <w:t>“ a každý samostatně „</w:t>
      </w:r>
      <w:r>
        <w:rPr>
          <w:b/>
          <w:color w:val="000000"/>
        </w:rPr>
        <w:t>Strana</w:t>
      </w:r>
      <w:r>
        <w:rPr>
          <w:color w:val="000000"/>
        </w:rPr>
        <w:t>“)</w:t>
      </w:r>
    </w:p>
    <w:p w:rsidR="00794436" w:rsidRDefault="006A653C">
      <w:pPr>
        <w:pBdr>
          <w:top w:val="nil"/>
          <w:left w:val="nil"/>
          <w:bottom w:val="nil"/>
          <w:right w:val="nil"/>
          <w:between w:val="nil"/>
        </w:pBdr>
        <w:spacing w:before="480" w:after="240"/>
        <w:rPr>
          <w:b/>
          <w:smallCaps/>
          <w:color w:val="000000"/>
        </w:rPr>
      </w:pPr>
      <w:r>
        <w:rPr>
          <w:b/>
          <w:smallCaps/>
          <w:color w:val="000000"/>
        </w:rPr>
        <w:t>Preambule</w:t>
      </w:r>
    </w:p>
    <w:p w:rsidR="00794436" w:rsidRDefault="006A653C">
      <w:pPr>
        <w:widowControl w:val="0"/>
        <w:numPr>
          <w:ilvl w:val="0"/>
          <w:numId w:val="1"/>
        </w:numPr>
        <w:pBdr>
          <w:top w:val="nil"/>
          <w:left w:val="nil"/>
          <w:bottom w:val="nil"/>
          <w:right w:val="nil"/>
          <w:between w:val="nil"/>
        </w:pBdr>
        <w:rPr>
          <w:color w:val="000000"/>
        </w:rPr>
      </w:pPr>
      <w:r>
        <w:rPr>
          <w:color w:val="000000"/>
        </w:rPr>
        <w:t>Zadavatel je výzkumný institut, který se podílí na vývoji a testovaní přístroje na palubě satelitu Solar Orbiter.</w:t>
      </w:r>
    </w:p>
    <w:p w:rsidR="00794436" w:rsidRDefault="006A653C">
      <w:pPr>
        <w:widowControl w:val="0"/>
        <w:numPr>
          <w:ilvl w:val="0"/>
          <w:numId w:val="1"/>
        </w:numPr>
        <w:pBdr>
          <w:top w:val="nil"/>
          <w:left w:val="nil"/>
          <w:bottom w:val="nil"/>
          <w:right w:val="nil"/>
          <w:between w:val="nil"/>
        </w:pBdr>
        <w:rPr>
          <w:color w:val="000000"/>
        </w:rPr>
      </w:pPr>
      <w:r>
        <w:rPr>
          <w:color w:val="000000"/>
        </w:rPr>
        <w:t xml:space="preserve">Zadavatel je součástí vývoje a testování některých částí, které byly vyvinuty pro vědecký přístroj „Spectrometer/Telescope for Imaging X-rays“ (“Přístroj”) a </w:t>
      </w:r>
      <w:r w:rsidR="00AA2C16">
        <w:rPr>
          <w:color w:val="000000"/>
        </w:rPr>
        <w:t>žádá</w:t>
      </w:r>
      <w:r>
        <w:rPr>
          <w:color w:val="000000"/>
        </w:rPr>
        <w:t xml:space="preserve"> Dodavatele </w:t>
      </w:r>
      <w:r w:rsidR="00AA2C16" w:rsidRPr="00AA2C16">
        <w:rPr>
          <w:color w:val="000000"/>
        </w:rPr>
        <w:t xml:space="preserve">o podporu softwarového vybavení, zejména ze strany schopnosti zaznamenávat </w:t>
      </w:r>
      <w:r>
        <w:rPr>
          <w:color w:val="000000"/>
        </w:rPr>
        <w:t xml:space="preserve">a vytvářet vědecké data. </w:t>
      </w:r>
    </w:p>
    <w:p w:rsidR="00794436" w:rsidRDefault="006A653C">
      <w:pPr>
        <w:widowControl w:val="0"/>
        <w:numPr>
          <w:ilvl w:val="0"/>
          <w:numId w:val="1"/>
        </w:numPr>
        <w:pBdr>
          <w:top w:val="nil"/>
          <w:left w:val="nil"/>
          <w:bottom w:val="nil"/>
          <w:right w:val="nil"/>
          <w:between w:val="nil"/>
        </w:pBdr>
        <w:rPr>
          <w:color w:val="000000"/>
        </w:rPr>
      </w:pPr>
      <w:r>
        <w:rPr>
          <w:color w:val="000000"/>
        </w:rPr>
        <w:t>Dodavatel je společností, která se zabývá vývojem softwarových aplikací.</w:t>
      </w:r>
    </w:p>
    <w:p w:rsidR="00794436" w:rsidRDefault="00794436"/>
    <w:p w:rsidR="00794436" w:rsidRDefault="006A653C">
      <w:pPr>
        <w:pStyle w:val="Nadpis1"/>
        <w:numPr>
          <w:ilvl w:val="0"/>
          <w:numId w:val="4"/>
        </w:numPr>
      </w:pPr>
      <w:bookmarkStart w:id="2" w:name="_30j0zll" w:colFirst="0" w:colLast="0"/>
      <w:bookmarkEnd w:id="2"/>
      <w:r>
        <w:t>výklad SmlouvY</w:t>
      </w:r>
    </w:p>
    <w:p w:rsidR="00794436" w:rsidRDefault="006A653C">
      <w:pPr>
        <w:keepNext/>
        <w:numPr>
          <w:ilvl w:val="1"/>
          <w:numId w:val="4"/>
        </w:numPr>
        <w:pBdr>
          <w:top w:val="nil"/>
          <w:left w:val="nil"/>
          <w:bottom w:val="nil"/>
          <w:right w:val="nil"/>
          <w:between w:val="nil"/>
        </w:pBdr>
        <w:rPr>
          <w:color w:val="000000"/>
        </w:rPr>
      </w:pPr>
      <w:r>
        <w:rPr>
          <w:color w:val="000000"/>
        </w:rPr>
        <w:t>Pro výklad této Smlouvy platí následující pravidla:</w:t>
      </w:r>
    </w:p>
    <w:p w:rsidR="00794436" w:rsidRDefault="006A653C">
      <w:pPr>
        <w:keepLines/>
        <w:widowControl w:val="0"/>
        <w:numPr>
          <w:ilvl w:val="2"/>
          <w:numId w:val="4"/>
        </w:numPr>
        <w:pBdr>
          <w:top w:val="nil"/>
          <w:left w:val="nil"/>
          <w:bottom w:val="nil"/>
          <w:right w:val="nil"/>
          <w:between w:val="nil"/>
        </w:pBdr>
        <w:rPr>
          <w:color w:val="000000"/>
        </w:rPr>
      </w:pPr>
      <w:r>
        <w:rPr>
          <w:color w:val="000000"/>
        </w:rPr>
        <w:t>Odkazy na „</w:t>
      </w:r>
      <w:r>
        <w:rPr>
          <w:b/>
          <w:color w:val="000000"/>
        </w:rPr>
        <w:t>články</w:t>
      </w:r>
      <w:r>
        <w:rPr>
          <w:color w:val="000000"/>
        </w:rPr>
        <w:t xml:space="preserve">“ se vykládají jako odkazy na příslušné články této Smlouvy. </w:t>
      </w:r>
    </w:p>
    <w:p w:rsidR="00794436" w:rsidRDefault="006A653C">
      <w:pPr>
        <w:keepLines/>
        <w:widowControl w:val="0"/>
        <w:numPr>
          <w:ilvl w:val="2"/>
          <w:numId w:val="4"/>
        </w:numPr>
        <w:pBdr>
          <w:top w:val="nil"/>
          <w:left w:val="nil"/>
          <w:bottom w:val="nil"/>
          <w:right w:val="nil"/>
          <w:between w:val="nil"/>
        </w:pBdr>
        <w:rPr>
          <w:color w:val="000000"/>
        </w:rPr>
      </w:pPr>
      <w:r>
        <w:rPr>
          <w:color w:val="000000"/>
        </w:rPr>
        <w:t>Odkazy na „</w:t>
      </w:r>
      <w:r>
        <w:rPr>
          <w:b/>
          <w:color w:val="000000"/>
        </w:rPr>
        <w:t>osobu</w:t>
      </w:r>
      <w:r>
        <w:rPr>
          <w:color w:val="000000"/>
        </w:rPr>
        <w:t>“ nebo „</w:t>
      </w:r>
      <w:r>
        <w:rPr>
          <w:b/>
          <w:color w:val="000000"/>
        </w:rPr>
        <w:t>stranu</w:t>
      </w:r>
      <w:r>
        <w:rPr>
          <w:color w:val="000000"/>
        </w:rPr>
        <w:t xml:space="preserve">“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rsidR="00794436" w:rsidRDefault="006A653C">
      <w:pPr>
        <w:keepLines/>
        <w:widowControl w:val="0"/>
        <w:numPr>
          <w:ilvl w:val="2"/>
          <w:numId w:val="4"/>
        </w:numPr>
        <w:pBdr>
          <w:top w:val="nil"/>
          <w:left w:val="nil"/>
          <w:bottom w:val="nil"/>
          <w:right w:val="nil"/>
          <w:between w:val="nil"/>
        </w:pBdr>
        <w:rPr>
          <w:color w:val="000000"/>
        </w:rPr>
      </w:pPr>
      <w:r>
        <w:rPr>
          <w:color w:val="000000"/>
        </w:rPr>
        <w:lastRenderedPageBreak/>
        <w:t>Pojmy definované v této Smlouvě v množném čísle mají shodný význam i v jednotném čísle a naopak.</w:t>
      </w:r>
    </w:p>
    <w:p w:rsidR="00794436" w:rsidRDefault="006A653C">
      <w:pPr>
        <w:keepLines/>
        <w:widowControl w:val="0"/>
        <w:numPr>
          <w:ilvl w:val="2"/>
          <w:numId w:val="4"/>
        </w:numPr>
        <w:pBdr>
          <w:top w:val="nil"/>
          <w:left w:val="nil"/>
          <w:bottom w:val="nil"/>
          <w:right w:val="nil"/>
          <w:between w:val="nil"/>
        </w:pBdr>
        <w:rPr>
          <w:color w:val="000000"/>
        </w:rPr>
      </w:pPr>
      <w:r>
        <w:rPr>
          <w:color w:val="000000"/>
        </w:rPr>
        <w:t>Ustanovení obchodních zvyklostí se pro výklad této Smlouvy použijí až po ustanoveních Občanského zákoníku či jiných právních předpisů jako celku (přednost před obchodními zvyklostmi tedy mají i ustanovení právních předpisů, která nemají donucující charakter.</w:t>
      </w:r>
    </w:p>
    <w:p w:rsidR="00794436" w:rsidRDefault="006A653C">
      <w:pPr>
        <w:keepLines/>
        <w:widowControl w:val="0"/>
        <w:numPr>
          <w:ilvl w:val="2"/>
          <w:numId w:val="4"/>
        </w:numPr>
        <w:pBdr>
          <w:top w:val="nil"/>
          <w:left w:val="nil"/>
          <w:bottom w:val="nil"/>
          <w:right w:val="nil"/>
          <w:between w:val="nil"/>
        </w:pBdr>
        <w:rPr>
          <w:color w:val="000000"/>
        </w:rPr>
      </w:pPr>
      <w:r>
        <w:rPr>
          <w:color w:val="000000"/>
        </w:rPr>
        <w:t>Odkazy na „</w:t>
      </w:r>
      <w:r>
        <w:rPr>
          <w:b/>
          <w:color w:val="000000"/>
        </w:rPr>
        <w:t>újmu</w:t>
      </w:r>
      <w:r>
        <w:rPr>
          <w:color w:val="000000"/>
        </w:rPr>
        <w:t>“ znamenají (i) vždy odkazy na újmu na jmění (škodu) a dále i (ii) odkazy na nemajetkovou újmu, a to v případech, kdy je povinnost k náhradě nemajetkové újmy stanovena touto Smlouvou a dále v případech, kdy povinnost k náhradě nemajetkové újmy stanoví zvlášť Občanský zákoník nebo jiný právní předpis.</w:t>
      </w:r>
    </w:p>
    <w:p w:rsidR="00794436" w:rsidRDefault="006A653C">
      <w:pPr>
        <w:pStyle w:val="Nadpis1"/>
        <w:numPr>
          <w:ilvl w:val="0"/>
          <w:numId w:val="4"/>
        </w:numPr>
      </w:pPr>
      <w:bookmarkStart w:id="3" w:name="_1fob9te" w:colFirst="0" w:colLast="0"/>
      <w:bookmarkEnd w:id="3"/>
      <w:r>
        <w:t>Předmět Smlouvy, Obecná ustanovení</w:t>
      </w:r>
    </w:p>
    <w:p w:rsidR="00794436" w:rsidRDefault="006A653C">
      <w:pPr>
        <w:widowControl w:val="0"/>
        <w:numPr>
          <w:ilvl w:val="1"/>
          <w:numId w:val="4"/>
        </w:numPr>
        <w:pBdr>
          <w:top w:val="nil"/>
          <w:left w:val="nil"/>
          <w:bottom w:val="nil"/>
          <w:right w:val="nil"/>
          <w:between w:val="nil"/>
        </w:pBdr>
        <w:rPr>
          <w:color w:val="000000"/>
        </w:rPr>
      </w:pPr>
      <w:bookmarkStart w:id="4" w:name="_3znysh7" w:colFirst="0" w:colLast="0"/>
      <w:bookmarkEnd w:id="4"/>
      <w:r>
        <w:rPr>
          <w:color w:val="000000"/>
        </w:rPr>
        <w:t>Předmětem této Smlouvy je povinnost Dodavatele provést a dodat Zadavateli dílo blíže určené v čl. 2.2 této Smlouvy („</w:t>
      </w:r>
      <w:r>
        <w:rPr>
          <w:b/>
          <w:color w:val="000000"/>
        </w:rPr>
        <w:t>Dílo</w:t>
      </w:r>
      <w:r>
        <w:rPr>
          <w:color w:val="000000"/>
        </w:rPr>
        <w:t>“) a povinnost Zadavatele za podmínek této Smlouvy Dílo převzít a zaplatit Dodavateli cenu dohodnutou níže v čl. 3 této Smlouvy.</w:t>
      </w:r>
    </w:p>
    <w:p w:rsidR="00794436" w:rsidRDefault="006A653C">
      <w:pPr>
        <w:widowControl w:val="0"/>
        <w:numPr>
          <w:ilvl w:val="1"/>
          <w:numId w:val="4"/>
        </w:numPr>
        <w:pBdr>
          <w:top w:val="nil"/>
          <w:left w:val="nil"/>
          <w:bottom w:val="nil"/>
          <w:right w:val="nil"/>
          <w:between w:val="nil"/>
        </w:pBdr>
        <w:rPr>
          <w:color w:val="000000"/>
        </w:rPr>
      </w:pPr>
      <w:bookmarkStart w:id="5" w:name="_2et92p0" w:colFirst="0" w:colLast="0"/>
      <w:bookmarkEnd w:id="5"/>
      <w:r>
        <w:rPr>
          <w:color w:val="000000"/>
        </w:rPr>
        <w:t>Dílo dle této Smlouvy zahrnuje testování Přístroje tak, jak je dále specifikováno v Příloze č. 1 k této Smlouvě.</w:t>
      </w:r>
    </w:p>
    <w:p w:rsidR="00794436" w:rsidRDefault="006A653C">
      <w:pPr>
        <w:widowControl w:val="0"/>
        <w:numPr>
          <w:ilvl w:val="1"/>
          <w:numId w:val="4"/>
        </w:numPr>
        <w:pBdr>
          <w:top w:val="nil"/>
          <w:left w:val="nil"/>
          <w:bottom w:val="nil"/>
          <w:right w:val="nil"/>
          <w:between w:val="nil"/>
        </w:pBdr>
        <w:rPr>
          <w:color w:val="000000"/>
        </w:rPr>
      </w:pPr>
      <w:r>
        <w:rPr>
          <w:color w:val="000000"/>
        </w:rPr>
        <w:t>Zadavatel a Dodavatel společně prohlašují, že Dílo je dostatečně a jasně vymezeno na základě specifikace uvedené v Příloze č. 1 k této Smlouvě, zejména s ohledem na rozsah, vzhled a kvalitu. Dodavatel prohlašuje, že Dílo může být provedeno za cenu, jak je stanovena v čl. 3 této Smlouvy a představuje dostatečnou odměnu za splnění povinností Dodavatele.</w:t>
      </w:r>
    </w:p>
    <w:p w:rsidR="00794436" w:rsidRDefault="006A653C">
      <w:pPr>
        <w:widowControl w:val="0"/>
        <w:numPr>
          <w:ilvl w:val="1"/>
          <w:numId w:val="4"/>
        </w:numPr>
        <w:pBdr>
          <w:top w:val="nil"/>
          <w:left w:val="nil"/>
          <w:bottom w:val="nil"/>
          <w:right w:val="nil"/>
          <w:between w:val="nil"/>
        </w:pBdr>
        <w:rPr>
          <w:color w:val="000000"/>
        </w:rPr>
      </w:pPr>
      <w:r>
        <w:rPr>
          <w:color w:val="000000"/>
        </w:rPr>
        <w:t>Uzavřením této Smlouvy Dodavatel uděluje</w:t>
      </w:r>
      <w:r w:rsidR="008925A3">
        <w:rPr>
          <w:color w:val="000000"/>
        </w:rPr>
        <w:t xml:space="preserve"> Zadavateli</w:t>
      </w:r>
      <w:r>
        <w:rPr>
          <w:color w:val="000000"/>
        </w:rPr>
        <w:t xml:space="preserve"> neodvolatelnou, převoditelnou, výlučnou a neomezenou licenci ke kopírování, užití, prodeji a zveřejnění Díla a dále k provedení nebo užití jeho jakýchkoliv změn směřující k dokončení, provozu, úprav nebo změn Díla. Licence zůstane platná a účinná po celou dobu existence jednotlivých částí Díla. Úplata za poskytnutí licence je zahrnuta v Ceně Díla, jak je definována níže.</w:t>
      </w:r>
    </w:p>
    <w:p w:rsidR="00794436" w:rsidRDefault="006A653C">
      <w:pPr>
        <w:widowControl w:val="0"/>
        <w:numPr>
          <w:ilvl w:val="1"/>
          <w:numId w:val="4"/>
        </w:numPr>
        <w:pBdr>
          <w:top w:val="nil"/>
          <w:left w:val="nil"/>
          <w:bottom w:val="nil"/>
          <w:right w:val="nil"/>
          <w:between w:val="nil"/>
        </w:pBdr>
        <w:rPr>
          <w:color w:val="000000"/>
        </w:rPr>
      </w:pPr>
      <w:r>
        <w:rPr>
          <w:color w:val="000000"/>
        </w:rPr>
        <w:t>Dodavatel se zavazuje, že Dílo provede s náležitou péčí a pečlivostí a v souladu se všemi obecně platnými právními předpisy. Dodavatel se zavazuje, že Dílo provede tak, aby nedošlo k žádným vadám a nedostatkům bránících jeho řádnému užívání pro zamýšlený účel, v rozsahu a ve lhůtě podle této Smlouvy a v souladu s kvalitativními a dalšími podmínkami zde uvedenými, vlastním jménem a na vlastní odpovědnost a riziko. Za zde dohodnutých podmínek a bez jakéhokoliv navýšení ceny Díla, se Dodavatel dále zavazuje provést takové práce, které jsou výsledkem předávacího řízení (odstranit jakékoliv vady a dokončit nedokončené práce) v co nejkratší lhůtě dohodnuté se Zadavatelem.</w:t>
      </w:r>
    </w:p>
    <w:p w:rsidR="00794436" w:rsidRDefault="006A653C">
      <w:pPr>
        <w:widowControl w:val="0"/>
        <w:numPr>
          <w:ilvl w:val="1"/>
          <w:numId w:val="4"/>
        </w:numPr>
        <w:pBdr>
          <w:top w:val="nil"/>
          <w:left w:val="nil"/>
          <w:bottom w:val="nil"/>
          <w:right w:val="nil"/>
          <w:between w:val="nil"/>
        </w:pBdr>
        <w:rPr>
          <w:color w:val="000000"/>
        </w:rPr>
      </w:pPr>
      <w:r>
        <w:rPr>
          <w:color w:val="000000"/>
        </w:rPr>
        <w:t>Dodavatel se zavazuje zajistit, aby veškeré právní tituly k jakékoliv části Díla přešla na Zadavatele bez jakýchkoliv právních nebo jiných vad.</w:t>
      </w:r>
    </w:p>
    <w:p w:rsidR="00794436" w:rsidRDefault="006A653C">
      <w:pPr>
        <w:widowControl w:val="0"/>
        <w:numPr>
          <w:ilvl w:val="1"/>
          <w:numId w:val="4"/>
        </w:numPr>
        <w:pBdr>
          <w:top w:val="nil"/>
          <w:left w:val="nil"/>
          <w:bottom w:val="nil"/>
          <w:right w:val="nil"/>
          <w:between w:val="nil"/>
        </w:pBdr>
        <w:rPr>
          <w:color w:val="000000"/>
        </w:rPr>
      </w:pPr>
      <w:r>
        <w:rPr>
          <w:color w:val="000000"/>
        </w:rPr>
        <w:t>Dodavatel se zavazuje, že bude pravidelně konzultovat se Zadavatelem průběh provádění Díla dle dohody mezi Stranami. Zadavatel ustanovuje jako osoby oprávněné za něj jednat ve věcech technických tyto osoby: RNDr. František Fárník, CSc., Mgr. Jana Kašparová, Ph.D.</w:t>
      </w:r>
    </w:p>
    <w:p w:rsidR="00794436" w:rsidRDefault="006A653C">
      <w:pPr>
        <w:pStyle w:val="Nadpis1"/>
        <w:numPr>
          <w:ilvl w:val="0"/>
          <w:numId w:val="4"/>
        </w:numPr>
      </w:pPr>
      <w:bookmarkStart w:id="6" w:name="_tyjcwt" w:colFirst="0" w:colLast="0"/>
      <w:bookmarkEnd w:id="6"/>
      <w:r>
        <w:t>Cena a platba</w:t>
      </w:r>
    </w:p>
    <w:p w:rsidR="00794436" w:rsidRDefault="006A653C">
      <w:pPr>
        <w:widowControl w:val="0"/>
        <w:numPr>
          <w:ilvl w:val="1"/>
          <w:numId w:val="4"/>
        </w:numPr>
        <w:pBdr>
          <w:top w:val="nil"/>
          <w:left w:val="nil"/>
          <w:bottom w:val="nil"/>
          <w:right w:val="nil"/>
          <w:between w:val="nil"/>
        </w:pBdr>
        <w:rPr>
          <w:color w:val="000000"/>
        </w:rPr>
      </w:pPr>
      <w:r>
        <w:rPr>
          <w:color w:val="000000"/>
        </w:rPr>
        <w:t xml:space="preserve">Cena Díla je stanovena dohodou Stran jako cena fixní a konečná, a to ve výši </w:t>
      </w:r>
      <w:r w:rsidR="00DC6943">
        <w:rPr>
          <w:color w:val="000000"/>
        </w:rPr>
        <w:t>300 </w:t>
      </w:r>
      <w:r>
        <w:rPr>
          <w:color w:val="000000"/>
        </w:rPr>
        <w:t xml:space="preserve">000 Kč (slovy: </w:t>
      </w:r>
      <w:r w:rsidR="00DC6943">
        <w:rPr>
          <w:color w:val="000000"/>
        </w:rPr>
        <w:t xml:space="preserve">třista </w:t>
      </w:r>
      <w:r>
        <w:rPr>
          <w:color w:val="000000"/>
        </w:rPr>
        <w:t>tisíc korun českých) („</w:t>
      </w:r>
      <w:r>
        <w:rPr>
          <w:b/>
          <w:color w:val="000000"/>
        </w:rPr>
        <w:t>Cena Díla</w:t>
      </w:r>
      <w:r>
        <w:rPr>
          <w:color w:val="000000"/>
        </w:rPr>
        <w:t>“).</w:t>
      </w:r>
    </w:p>
    <w:p w:rsidR="00794436" w:rsidRDefault="006A653C">
      <w:pPr>
        <w:widowControl w:val="0"/>
        <w:numPr>
          <w:ilvl w:val="1"/>
          <w:numId w:val="4"/>
        </w:numPr>
        <w:pBdr>
          <w:top w:val="nil"/>
          <w:left w:val="nil"/>
          <w:bottom w:val="nil"/>
          <w:right w:val="nil"/>
          <w:between w:val="nil"/>
        </w:pBdr>
        <w:rPr>
          <w:color w:val="000000"/>
        </w:rPr>
      </w:pPr>
      <w:r>
        <w:rPr>
          <w:color w:val="000000"/>
        </w:rPr>
        <w:t>Cena Díla bude uhrazena Zadavatelem Dodavateli po dokončení Díla a jeho předání Zadavateli na základě faktury vystavené Dodavatelem a doručené Zadavateli.</w:t>
      </w:r>
    </w:p>
    <w:p w:rsidR="00794436" w:rsidRDefault="006A653C">
      <w:pPr>
        <w:widowControl w:val="0"/>
        <w:numPr>
          <w:ilvl w:val="1"/>
          <w:numId w:val="4"/>
        </w:numPr>
        <w:pBdr>
          <w:top w:val="nil"/>
          <w:left w:val="nil"/>
          <w:bottom w:val="nil"/>
          <w:right w:val="nil"/>
          <w:between w:val="nil"/>
        </w:pBdr>
        <w:rPr>
          <w:color w:val="000000"/>
        </w:rPr>
      </w:pPr>
      <w:r>
        <w:rPr>
          <w:color w:val="000000"/>
        </w:rPr>
        <w:t xml:space="preserve">Strany se dohodly, že Cena Díla je konečná a zahrnuje veškeré činnosti Dodavatele a všechny další náklady, poplatky, cla, daně vztahující se na plnění Díla nebo spojené se závazkem </w:t>
      </w:r>
      <w:r>
        <w:rPr>
          <w:color w:val="000000"/>
        </w:rPr>
        <w:lastRenderedPageBreak/>
        <w:t>Dodavatele předat Dílo nebo provést dodatečné práce tak, aby předal Dílo.</w:t>
      </w:r>
    </w:p>
    <w:p w:rsidR="00794436" w:rsidRDefault="006A653C">
      <w:pPr>
        <w:widowControl w:val="0"/>
        <w:numPr>
          <w:ilvl w:val="1"/>
          <w:numId w:val="4"/>
        </w:numPr>
        <w:pBdr>
          <w:top w:val="nil"/>
          <w:left w:val="nil"/>
          <w:bottom w:val="nil"/>
          <w:right w:val="nil"/>
          <w:between w:val="nil"/>
        </w:pBdr>
        <w:rPr>
          <w:color w:val="000000"/>
        </w:rPr>
      </w:pPr>
      <w:r>
        <w:rPr>
          <w:color w:val="000000"/>
        </w:rPr>
        <w:t>Provádění jakýchkoliv dodatečných prací, změn, doplnění, rozšíření nebo zúžení předmětu Díla („</w:t>
      </w:r>
      <w:r>
        <w:rPr>
          <w:b/>
          <w:color w:val="000000"/>
        </w:rPr>
        <w:t>Změny</w:t>
      </w:r>
      <w:r>
        <w:rPr>
          <w:color w:val="000000"/>
        </w:rPr>
        <w:t>“) musí být vždy dohodnuto předem oběma Stranami písemně (před jejich realizací). V případě, že Změny nebudou odsouhlasené, jak je stanovené výše, Dodavatel nemá nárok na zvýšení Ceny Díla a takové Změny nebudou provedeny. Výpočet ceny jakýchkoliv Změn nebo dodatečného plnění ze strany Dodavatele podle tohoto článku bude proveden za spravedlivých tržních podmínek.</w:t>
      </w:r>
    </w:p>
    <w:p w:rsidR="00794436" w:rsidRDefault="006A653C">
      <w:pPr>
        <w:widowControl w:val="0"/>
        <w:numPr>
          <w:ilvl w:val="1"/>
          <w:numId w:val="4"/>
        </w:numPr>
        <w:pBdr>
          <w:top w:val="nil"/>
          <w:left w:val="nil"/>
          <w:bottom w:val="nil"/>
          <w:right w:val="nil"/>
          <w:between w:val="nil"/>
        </w:pBdr>
        <w:rPr>
          <w:color w:val="000000"/>
        </w:rPr>
      </w:pPr>
      <w:r>
        <w:rPr>
          <w:color w:val="000000"/>
        </w:rPr>
        <w:t>Každá faktura dle této Smlouvy bude vystavená Dodavatelem pouze po předání Díla a jeho přijetím ze strany Zadavatele a bude splňovat zákonné požadavky kladené na faktury. Faktury budou splatné do třiceti (30) dnů ode dne doručení faktury Zadavateli. Pokud faktura vystavená Dodavatelem neobsahuje údaje požadované právními předpisy pro účetní a daňové doklady nebo obsahuje nesprávné částky, je Zadavatel oprávněn vrátit fakturu Dodavateli k opravě chybných údajů a k přidání chybějících detailů. V takovém případě bude lhůta pro zaplacení příslušné faktury přerušena a Zadavatel není povinen hradit částku uvedenou na faktuře a / nebo její spornou část. Nová lhůta k zaplacení Zadavatelem začne plynout od doručení opravené a bezchybné faktury.</w:t>
      </w:r>
    </w:p>
    <w:p w:rsidR="00794436" w:rsidRDefault="006A653C">
      <w:pPr>
        <w:pStyle w:val="Nadpis1"/>
        <w:numPr>
          <w:ilvl w:val="0"/>
          <w:numId w:val="4"/>
        </w:numPr>
      </w:pPr>
      <w:bookmarkStart w:id="7" w:name="_3dy6vkm" w:colFirst="0" w:colLast="0"/>
      <w:bookmarkEnd w:id="7"/>
      <w:r>
        <w:t>LHŮTA K PLNĚNÍ</w:t>
      </w:r>
    </w:p>
    <w:p w:rsidR="00794436" w:rsidRDefault="006A653C">
      <w:pPr>
        <w:widowControl w:val="0"/>
        <w:numPr>
          <w:ilvl w:val="1"/>
          <w:numId w:val="4"/>
        </w:numPr>
        <w:pBdr>
          <w:top w:val="nil"/>
          <w:left w:val="nil"/>
          <w:bottom w:val="nil"/>
          <w:right w:val="nil"/>
          <w:between w:val="nil"/>
        </w:pBdr>
        <w:rPr>
          <w:color w:val="000000"/>
        </w:rPr>
      </w:pPr>
      <w:r>
        <w:rPr>
          <w:color w:val="000000"/>
        </w:rPr>
        <w:t>Zadavatel je oprávněn delegovat svoje povinnosti z Článku 4 této smlouvy na třetí stranu dle vlastního uvážení.</w:t>
      </w:r>
    </w:p>
    <w:p w:rsidR="00794436" w:rsidRDefault="006A653C">
      <w:pPr>
        <w:widowControl w:val="0"/>
        <w:numPr>
          <w:ilvl w:val="1"/>
          <w:numId w:val="4"/>
        </w:numPr>
        <w:pBdr>
          <w:top w:val="nil"/>
          <w:left w:val="nil"/>
          <w:bottom w:val="nil"/>
          <w:right w:val="nil"/>
          <w:between w:val="nil"/>
        </w:pBdr>
        <w:rPr>
          <w:color w:val="000000"/>
        </w:rPr>
      </w:pPr>
      <w:r>
        <w:rPr>
          <w:color w:val="000000"/>
        </w:rPr>
        <w:t>Zadavatel poskytne Dodavateli přístup a přístupové údaje k systému řízení verzí nacházejícímu se na službě Github („</w:t>
      </w:r>
      <w:r>
        <w:rPr>
          <w:b/>
          <w:color w:val="000000"/>
        </w:rPr>
        <w:t>VCS</w:t>
      </w:r>
      <w:r>
        <w:rPr>
          <w:color w:val="000000"/>
        </w:rPr>
        <w:t>“), který obsahuje všechny potřebné soubory.</w:t>
      </w:r>
    </w:p>
    <w:p w:rsidR="00794436" w:rsidRDefault="006A653C">
      <w:pPr>
        <w:widowControl w:val="0"/>
        <w:numPr>
          <w:ilvl w:val="1"/>
          <w:numId w:val="4"/>
        </w:numPr>
        <w:pBdr>
          <w:top w:val="nil"/>
          <w:left w:val="nil"/>
          <w:bottom w:val="nil"/>
          <w:right w:val="nil"/>
          <w:between w:val="nil"/>
        </w:pBdr>
        <w:rPr>
          <w:color w:val="000000"/>
        </w:rPr>
      </w:pPr>
      <w:r>
        <w:rPr>
          <w:color w:val="000000"/>
        </w:rPr>
        <w:t>Zadavatel poskytne Dodavateli dokumenty, které jsou v Příloze 1 zmíněné jako vstupy.</w:t>
      </w:r>
    </w:p>
    <w:p w:rsidR="00794436" w:rsidRDefault="006A653C">
      <w:pPr>
        <w:widowControl w:val="0"/>
        <w:numPr>
          <w:ilvl w:val="1"/>
          <w:numId w:val="4"/>
        </w:numPr>
        <w:pBdr>
          <w:top w:val="nil"/>
          <w:left w:val="nil"/>
          <w:bottom w:val="nil"/>
          <w:right w:val="nil"/>
          <w:between w:val="nil"/>
        </w:pBdr>
        <w:rPr>
          <w:color w:val="000000"/>
        </w:rPr>
      </w:pPr>
      <w:r>
        <w:rPr>
          <w:color w:val="000000"/>
        </w:rPr>
        <w:t xml:space="preserve">Zadavatel poskytne Dodavateli vzdálený přístup k zařízení dle specifikace v příloze č.1 této smlouvy </w:t>
      </w:r>
    </w:p>
    <w:p w:rsidR="00794436" w:rsidRDefault="006A653C">
      <w:pPr>
        <w:widowControl w:val="0"/>
        <w:numPr>
          <w:ilvl w:val="1"/>
          <w:numId w:val="4"/>
        </w:numPr>
        <w:pBdr>
          <w:top w:val="nil"/>
          <w:left w:val="nil"/>
          <w:bottom w:val="nil"/>
          <w:right w:val="nil"/>
          <w:between w:val="nil"/>
        </w:pBdr>
        <w:rPr>
          <w:color w:val="000000"/>
        </w:rPr>
      </w:pPr>
      <w:bookmarkStart w:id="8" w:name="_1t3h5sf" w:colFirst="0" w:colLast="0"/>
      <w:bookmarkEnd w:id="8"/>
      <w:r>
        <w:rPr>
          <w:color w:val="000000"/>
        </w:rPr>
        <w:t>Dodavatel se zavazuje, že dílo provede, dokončí a předá Zadavateli včas a bez závad nejpozději do data uvedeného v příloze 2.</w:t>
      </w:r>
    </w:p>
    <w:p w:rsidR="00794436" w:rsidRDefault="006A653C">
      <w:pPr>
        <w:pStyle w:val="Nadpis1"/>
        <w:numPr>
          <w:ilvl w:val="0"/>
          <w:numId w:val="4"/>
        </w:numPr>
      </w:pPr>
      <w:r>
        <w:t>ODPOVĚDNOST ZA VADY</w:t>
      </w:r>
    </w:p>
    <w:p w:rsidR="00794436" w:rsidRDefault="006A653C">
      <w:pPr>
        <w:widowControl w:val="0"/>
        <w:numPr>
          <w:ilvl w:val="1"/>
          <w:numId w:val="4"/>
        </w:numPr>
        <w:pBdr>
          <w:top w:val="nil"/>
          <w:left w:val="nil"/>
          <w:bottom w:val="nil"/>
          <w:right w:val="nil"/>
          <w:between w:val="nil"/>
        </w:pBdr>
        <w:rPr>
          <w:color w:val="000000"/>
        </w:rPr>
      </w:pPr>
      <w:r>
        <w:rPr>
          <w:color w:val="000000"/>
        </w:rPr>
        <w:t xml:space="preserve">Dodavatel poskytuje Zadavateli záruku na kvalitu Díla. Záruční doba je </w:t>
      </w:r>
      <w:r w:rsidR="00910F07">
        <w:rPr>
          <w:color w:val="000000"/>
        </w:rPr>
        <w:t>3</w:t>
      </w:r>
      <w:r>
        <w:rPr>
          <w:color w:val="000000"/>
        </w:rPr>
        <w:t xml:space="preserve"> měsíc</w:t>
      </w:r>
      <w:r w:rsidR="00910F07">
        <w:rPr>
          <w:color w:val="000000"/>
        </w:rPr>
        <w:t>e</w:t>
      </w:r>
      <w:r>
        <w:rPr>
          <w:color w:val="000000"/>
        </w:rPr>
        <w:t xml:space="preserve"> pro kteroukoli část díla. Záruční doba počíná běžet dnem přijetí Díla Zadavatelem. Po zjištění jakékoliv vady Díla v průběhu záruční doby Zadavatel co nejdříve vytkne Dodavateli takovou vadu Díla. Zadavatel vytkne příslušné vady v žádosti zaslané e-mailem Dodavateli a stanoví lhůtu a požadovaný způsob jejich nápravy.</w:t>
      </w:r>
    </w:p>
    <w:p w:rsidR="00794436" w:rsidRDefault="006A653C">
      <w:pPr>
        <w:widowControl w:val="0"/>
        <w:numPr>
          <w:ilvl w:val="1"/>
          <w:numId w:val="4"/>
        </w:numPr>
        <w:pBdr>
          <w:top w:val="nil"/>
          <w:left w:val="nil"/>
          <w:bottom w:val="nil"/>
          <w:right w:val="nil"/>
          <w:between w:val="nil"/>
        </w:pBdr>
        <w:rPr>
          <w:color w:val="000000"/>
        </w:rPr>
      </w:pPr>
      <w:r>
        <w:rPr>
          <w:color w:val="000000"/>
        </w:rPr>
        <w:t>Během provádění Díla poskytne Dodavatel Zadavateli přístup k Dílu a umožní Zadavateli provádět účinné sledování výkonu všech jednotlivých prací, tj. Dodavatel pravidelně alespoň jednou za týden nahraje aktuální verzi Díla do VCS. Pokud Zadavatel zjistí, že Dodavatel vykonal dílo vadným způsobem nebo jinak neplní své povinnosti vyplývající z této Smlouvy, je Zadavatel oprávněn požadovat, aby Dodavatel tyto nedostatky okamžitě odstranil odstraněním vad, provedením Díla řádným způsobem nebo v souladu s dalšími povinnostmi Dodavatele vyplývajícími z této Smlouvy.</w:t>
      </w:r>
    </w:p>
    <w:p w:rsidR="00794436" w:rsidRDefault="006A653C">
      <w:pPr>
        <w:pStyle w:val="Nadpis1"/>
        <w:numPr>
          <w:ilvl w:val="0"/>
          <w:numId w:val="4"/>
        </w:numPr>
      </w:pPr>
      <w:r>
        <w:t>PŘEDÁNÍ A PŘevzetí DÍLA</w:t>
      </w:r>
    </w:p>
    <w:p w:rsidR="00794436" w:rsidRDefault="006A653C">
      <w:pPr>
        <w:widowControl w:val="0"/>
        <w:numPr>
          <w:ilvl w:val="1"/>
          <w:numId w:val="4"/>
        </w:numPr>
        <w:pBdr>
          <w:top w:val="nil"/>
          <w:left w:val="nil"/>
          <w:bottom w:val="nil"/>
          <w:right w:val="nil"/>
          <w:between w:val="nil"/>
        </w:pBdr>
        <w:rPr>
          <w:color w:val="000000"/>
        </w:rPr>
      </w:pPr>
      <w:r>
        <w:rPr>
          <w:color w:val="000000"/>
        </w:rPr>
        <w:t>Dílo se má za předáno tím, že Dodavatel uloží dokončené Dílo do VCS, doručí vyrozumění Zadavateli prostřednictvím emailu s uvedením, že Dílo bylo dokončeno a jeho přijetím Zadavatelem doručením e-mailu Dodavateli potvrzujícím převzetí Díla.</w:t>
      </w:r>
    </w:p>
    <w:p w:rsidR="00794436" w:rsidRDefault="006A653C">
      <w:pPr>
        <w:widowControl w:val="0"/>
        <w:numPr>
          <w:ilvl w:val="1"/>
          <w:numId w:val="4"/>
        </w:numPr>
        <w:pBdr>
          <w:top w:val="nil"/>
          <w:left w:val="nil"/>
          <w:bottom w:val="nil"/>
          <w:right w:val="nil"/>
          <w:between w:val="nil"/>
        </w:pBdr>
        <w:rPr>
          <w:color w:val="000000"/>
        </w:rPr>
      </w:pPr>
      <w:bookmarkStart w:id="9" w:name="_4d34og8" w:colFirst="0" w:colLast="0"/>
      <w:bookmarkEnd w:id="9"/>
      <w:r>
        <w:rPr>
          <w:color w:val="000000"/>
        </w:rPr>
        <w:lastRenderedPageBreak/>
        <w:t>Zadavatel je oprávněn odmítnout převzetí Díla, pokud neodpovídá specifikaci popsané v Příloze 1.</w:t>
      </w:r>
    </w:p>
    <w:p w:rsidR="00794436" w:rsidRDefault="006A653C">
      <w:pPr>
        <w:widowControl w:val="0"/>
        <w:numPr>
          <w:ilvl w:val="1"/>
          <w:numId w:val="4"/>
        </w:numPr>
        <w:pBdr>
          <w:top w:val="nil"/>
          <w:left w:val="nil"/>
          <w:bottom w:val="nil"/>
          <w:right w:val="nil"/>
          <w:between w:val="nil"/>
        </w:pBdr>
        <w:rPr>
          <w:color w:val="000000"/>
        </w:rPr>
      </w:pPr>
      <w:r>
        <w:rPr>
          <w:color w:val="000000"/>
        </w:rPr>
        <w:t>Předání díla je podmíněno potvrzením vedením projektu Přístroje o dostatečné kvalitě dodané práce.</w:t>
      </w:r>
    </w:p>
    <w:p w:rsidR="00794436" w:rsidRDefault="006A653C">
      <w:pPr>
        <w:pStyle w:val="Nadpis1"/>
        <w:numPr>
          <w:ilvl w:val="0"/>
          <w:numId w:val="4"/>
        </w:numPr>
      </w:pPr>
      <w:r>
        <w:t>UKONČENÍ SMLOUVY</w:t>
      </w:r>
    </w:p>
    <w:p w:rsidR="00794436" w:rsidRDefault="006A653C">
      <w:pPr>
        <w:widowControl w:val="0"/>
        <w:numPr>
          <w:ilvl w:val="1"/>
          <w:numId w:val="4"/>
        </w:numPr>
        <w:pBdr>
          <w:top w:val="nil"/>
          <w:left w:val="nil"/>
          <w:bottom w:val="nil"/>
          <w:right w:val="nil"/>
          <w:between w:val="nil"/>
        </w:pBdr>
        <w:rPr>
          <w:color w:val="000000"/>
        </w:rPr>
      </w:pPr>
      <w:r>
        <w:rPr>
          <w:color w:val="000000"/>
        </w:rPr>
        <w:t>Dodavatel může tuto Smlouvu vypovědět pouze tehdy, je-li Zadavatel v prodlení s platbou jakékoliv částky podle této Smlouvy a nezaplatí splatnou částku navzdory písemné žádosti Dodavatele Zadavateli o zaplacení splatné částky do třiceti (30) dnů ode dne doručení žádosti.</w:t>
      </w:r>
    </w:p>
    <w:p w:rsidR="00794436" w:rsidRDefault="006A653C">
      <w:pPr>
        <w:widowControl w:val="0"/>
        <w:numPr>
          <w:ilvl w:val="1"/>
          <w:numId w:val="4"/>
        </w:numPr>
        <w:pBdr>
          <w:top w:val="nil"/>
          <w:left w:val="nil"/>
          <w:bottom w:val="nil"/>
          <w:right w:val="nil"/>
          <w:between w:val="nil"/>
        </w:pBdr>
        <w:rPr>
          <w:color w:val="000000"/>
        </w:rPr>
      </w:pPr>
      <w:r>
        <w:rPr>
          <w:color w:val="000000"/>
        </w:rPr>
        <w:t>Zadavatel může tuto Smlouvu vypovědět zejména z následujících důvodů, které Smluvní strany považují za podstatné porušení Smlouvy:</w:t>
      </w:r>
    </w:p>
    <w:p w:rsidR="00794436" w:rsidRDefault="006A653C">
      <w:pPr>
        <w:numPr>
          <w:ilvl w:val="0"/>
          <w:numId w:val="3"/>
        </w:numPr>
        <w:spacing w:line="240" w:lineRule="auto"/>
        <w:ind w:left="1418" w:hanging="425"/>
      </w:pPr>
      <w:r>
        <w:t>Dodavatel nedodá Dílo (nebo jeho příslušnou část) řádně a včas v termínu stanoveném v článku 4.5 této Smlouvy.</w:t>
      </w:r>
    </w:p>
    <w:p w:rsidR="00794436" w:rsidRDefault="006A653C">
      <w:pPr>
        <w:numPr>
          <w:ilvl w:val="0"/>
          <w:numId w:val="3"/>
        </w:numPr>
        <w:spacing w:line="240" w:lineRule="auto"/>
        <w:ind w:left="1418" w:hanging="425"/>
      </w:pPr>
      <w:r>
        <w:t>Dodavatel neodstraní vady, kvůli kterým Zadavatel odmítl převzít Dílo v souladu s článkem 6.2 výše lhůtě stanovené Zadavatelem.</w:t>
      </w:r>
    </w:p>
    <w:p w:rsidR="00794436" w:rsidRDefault="006A653C">
      <w:pPr>
        <w:numPr>
          <w:ilvl w:val="0"/>
          <w:numId w:val="3"/>
        </w:numPr>
        <w:spacing w:line="240" w:lineRule="auto"/>
        <w:ind w:left="1418" w:hanging="425"/>
      </w:pPr>
      <w:r>
        <w:t xml:space="preserve">Dodavatel nezahájí práce do dohodnutého dne nebo úmyslně přeruší práce bez závažného důvodu. </w:t>
      </w:r>
    </w:p>
    <w:p w:rsidR="00794436" w:rsidRDefault="006A653C">
      <w:pPr>
        <w:numPr>
          <w:ilvl w:val="0"/>
          <w:numId w:val="3"/>
        </w:numPr>
        <w:spacing w:line="240" w:lineRule="auto"/>
        <w:ind w:left="1418" w:hanging="425"/>
      </w:pPr>
      <w:r>
        <w:t>Dodavatel nevykonává práce v souladu s touto Smlouvou, platnými zákony a Dodavatel nezohlednil pokyny Zadavatele k nápravě této situace.</w:t>
      </w:r>
    </w:p>
    <w:p w:rsidR="00794436" w:rsidRDefault="006A653C">
      <w:pPr>
        <w:widowControl w:val="0"/>
        <w:numPr>
          <w:ilvl w:val="1"/>
          <w:numId w:val="4"/>
        </w:numPr>
        <w:pBdr>
          <w:top w:val="nil"/>
          <w:left w:val="nil"/>
          <w:bottom w:val="nil"/>
          <w:right w:val="nil"/>
          <w:between w:val="nil"/>
        </w:pBdr>
        <w:rPr>
          <w:color w:val="000000"/>
        </w:rPr>
      </w:pPr>
      <w:r>
        <w:rPr>
          <w:color w:val="000000"/>
        </w:rPr>
        <w:t>Výpověď Smlouvy nabývá účinnosti dnem doručení písemného oznámení o výpovědi Smlouvy druhé Straně.</w:t>
      </w:r>
    </w:p>
    <w:p w:rsidR="00794436" w:rsidRDefault="006A653C">
      <w:pPr>
        <w:pStyle w:val="Nadpis1"/>
        <w:numPr>
          <w:ilvl w:val="0"/>
          <w:numId w:val="4"/>
        </w:numPr>
      </w:pPr>
      <w:r>
        <w:t>ZÁVĚREČNÁ USTANOVENÍ</w:t>
      </w:r>
    </w:p>
    <w:p w:rsidR="00794436" w:rsidRDefault="006A653C">
      <w:pPr>
        <w:widowControl w:val="0"/>
        <w:numPr>
          <w:ilvl w:val="1"/>
          <w:numId w:val="4"/>
        </w:numPr>
        <w:pBdr>
          <w:top w:val="nil"/>
          <w:left w:val="nil"/>
          <w:bottom w:val="nil"/>
          <w:right w:val="nil"/>
          <w:between w:val="nil"/>
        </w:pBdr>
        <w:rPr>
          <w:color w:val="000000"/>
        </w:rPr>
      </w:pPr>
      <w:r>
        <w:rPr>
          <w:color w:val="000000"/>
        </w:rPr>
        <w:t>Dodavatel není oprávněn započíst žádnou ze svých pohledávek vůči Zadavateli jinak než dohodou se Zadavatelem.</w:t>
      </w:r>
    </w:p>
    <w:p w:rsidR="00794436" w:rsidRDefault="006A653C">
      <w:pPr>
        <w:widowControl w:val="0"/>
        <w:numPr>
          <w:ilvl w:val="1"/>
          <w:numId w:val="4"/>
        </w:numPr>
        <w:pBdr>
          <w:top w:val="nil"/>
          <w:left w:val="nil"/>
          <w:bottom w:val="nil"/>
          <w:right w:val="nil"/>
          <w:between w:val="nil"/>
        </w:pBdr>
        <w:rPr>
          <w:color w:val="000000"/>
        </w:rPr>
      </w:pPr>
      <w:r>
        <w:rPr>
          <w:color w:val="000000"/>
        </w:rPr>
        <w:t>Dodavatel souhlasí, že během doby platnosti této Smlouvy a kdykoli později nezveřejní žádné třetí straně jakékoli informace týkající se (i) Zadavatele, (ii) obsahu této Smlouvy nebo (iii) jednání předcházejících uzavření této Smlouvy, s výjimkou případů, že zveřejnění takových informací vyžaduje zákon nebo veřejný orgán.</w:t>
      </w:r>
    </w:p>
    <w:p w:rsidR="00794436" w:rsidRDefault="006A653C">
      <w:pPr>
        <w:widowControl w:val="0"/>
        <w:numPr>
          <w:ilvl w:val="1"/>
          <w:numId w:val="4"/>
        </w:numPr>
        <w:pBdr>
          <w:top w:val="nil"/>
          <w:left w:val="nil"/>
          <w:bottom w:val="nil"/>
          <w:right w:val="nil"/>
          <w:between w:val="nil"/>
        </w:pBdr>
      </w:pPr>
      <w:r>
        <w:t xml:space="preserve">Smluvní strany souhlasí s tím, aby tato smlouva byla zveřejněna v registru smluv za podmínek stanovených zákonem č. 340/2015 Sb., o zvláštních podmínkách účinnosti některých smluv, uveřejňování těchto smluv a o registru smluv, ve znění pozdějších předpisů, do 30 dnů ode dne podpisu smlouvy poslední smluvní stranou. Smluvní strany souhlasí se zveřejněním svých osobních údajů ve smlouvě, která bude zveřejněna v registru smluv. Smluvní strany prohlašují, že skutečnosti obsažené ve smlouvě nepovažují za obchodní tajemství ve smysl § 504 zákona č. </w:t>
      </w:r>
      <w:r>
        <w:br/>
        <w:t>89/2012 Sb., občanského zákoníku a udělují svolení k jejich užití a zveřejnění bez stanovení jakýchkoliv dalších podmínek.</w:t>
      </w:r>
    </w:p>
    <w:p w:rsidR="00794436" w:rsidRDefault="006A653C">
      <w:pPr>
        <w:widowControl w:val="0"/>
        <w:numPr>
          <w:ilvl w:val="1"/>
          <w:numId w:val="4"/>
        </w:numPr>
        <w:pBdr>
          <w:top w:val="nil"/>
          <w:left w:val="nil"/>
          <w:bottom w:val="nil"/>
          <w:right w:val="nil"/>
          <w:between w:val="nil"/>
        </w:pBdr>
        <w:rPr>
          <w:color w:val="000000"/>
        </w:rPr>
      </w:pPr>
      <w:r>
        <w:rPr>
          <w:color w:val="000000"/>
        </w:rPr>
        <w:t>Žádná změna této Smlouvy nebude účinná, pokud nebude učiněna v písemné formě.</w:t>
      </w:r>
    </w:p>
    <w:p w:rsidR="00794436" w:rsidRDefault="006A653C">
      <w:pPr>
        <w:widowControl w:val="0"/>
        <w:numPr>
          <w:ilvl w:val="1"/>
          <w:numId w:val="4"/>
        </w:numPr>
        <w:pBdr>
          <w:top w:val="nil"/>
          <w:left w:val="nil"/>
          <w:bottom w:val="nil"/>
          <w:right w:val="nil"/>
          <w:between w:val="nil"/>
        </w:pBdr>
        <w:rPr>
          <w:color w:val="000000"/>
        </w:rPr>
      </w:pPr>
      <w:r>
        <w:rPr>
          <w:color w:val="000000"/>
        </w:rPr>
        <w:t>Strany prohlašují, že podmínky této Smlouvy byly předmětem jejich vzájemných jednání a ústupků, Strany plně rozumí obsahu a podmínkám Smlouvy a mají zájem být jimi vázány. Smluvní strany vylučují použití ustanovení Občanského zákoníku o adhezních smlouvách.</w:t>
      </w:r>
    </w:p>
    <w:p w:rsidR="00794436" w:rsidRDefault="006A653C">
      <w:pPr>
        <w:widowControl w:val="0"/>
        <w:numPr>
          <w:ilvl w:val="1"/>
          <w:numId w:val="4"/>
        </w:numPr>
        <w:pBdr>
          <w:top w:val="nil"/>
          <w:left w:val="nil"/>
          <w:bottom w:val="nil"/>
          <w:right w:val="nil"/>
          <w:between w:val="nil"/>
        </w:pBdr>
        <w:rPr>
          <w:color w:val="000000"/>
        </w:rPr>
      </w:pPr>
      <w:r>
        <w:rPr>
          <w:color w:val="000000"/>
        </w:rPr>
        <w:t>Tato Smlouva je vyhotovena ve dvou (2) originálech, přičemž každá ze Stran obdrží jedno (1) vyhotovení.</w:t>
      </w:r>
    </w:p>
    <w:p w:rsidR="00794436" w:rsidRDefault="006A653C">
      <w:pPr>
        <w:widowControl w:val="0"/>
        <w:numPr>
          <w:ilvl w:val="1"/>
          <w:numId w:val="4"/>
        </w:numPr>
        <w:pBdr>
          <w:top w:val="nil"/>
          <w:left w:val="nil"/>
          <w:bottom w:val="nil"/>
          <w:right w:val="nil"/>
          <w:between w:val="nil"/>
        </w:pBdr>
        <w:rPr>
          <w:color w:val="000000"/>
        </w:rPr>
      </w:pPr>
      <w:r>
        <w:rPr>
          <w:color w:val="000000"/>
        </w:rPr>
        <w:t xml:space="preserve">Smlouva se řídí právním řádem České republiky. Strany se dohodly, že obchodní zvyklosti v žádném případě nebudou mít přednost před podmínkami stanovenými v této Smlouvě nebo </w:t>
      </w:r>
      <w:r>
        <w:rPr>
          <w:color w:val="000000"/>
        </w:rPr>
        <w:lastRenderedPageBreak/>
        <w:t>příslušnými ustanoveními Občanského zákoníku.</w:t>
      </w:r>
    </w:p>
    <w:p w:rsidR="00794436" w:rsidRDefault="006A653C">
      <w:pPr>
        <w:widowControl w:val="0"/>
        <w:numPr>
          <w:ilvl w:val="1"/>
          <w:numId w:val="4"/>
        </w:numPr>
        <w:pBdr>
          <w:top w:val="nil"/>
          <w:left w:val="nil"/>
          <w:bottom w:val="nil"/>
          <w:right w:val="nil"/>
          <w:between w:val="nil"/>
        </w:pBdr>
        <w:rPr>
          <w:color w:val="000000"/>
        </w:rPr>
      </w:pPr>
      <w:r>
        <w:rPr>
          <w:color w:val="000000"/>
        </w:rPr>
        <w:t>Veškeré spory vyplývající z této Smlouvy nebo v souvislosti s ní rozhoduje příslušný soud České republiky.</w:t>
      </w:r>
    </w:p>
    <w:p w:rsidR="00794436" w:rsidRDefault="006A653C">
      <w:pPr>
        <w:widowControl w:val="0"/>
        <w:numPr>
          <w:ilvl w:val="1"/>
          <w:numId w:val="4"/>
        </w:numPr>
        <w:pBdr>
          <w:top w:val="nil"/>
          <w:left w:val="nil"/>
          <w:bottom w:val="nil"/>
          <w:right w:val="nil"/>
          <w:between w:val="nil"/>
        </w:pBdr>
        <w:rPr>
          <w:color w:val="000000"/>
        </w:rPr>
      </w:pPr>
      <w:r>
        <w:rPr>
          <w:color w:val="000000"/>
        </w:rPr>
        <w:t>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w:t>
      </w:r>
    </w:p>
    <w:p w:rsidR="00794436" w:rsidRDefault="006A653C">
      <w:pPr>
        <w:widowControl w:val="0"/>
        <w:numPr>
          <w:ilvl w:val="1"/>
          <w:numId w:val="4"/>
        </w:numPr>
        <w:pBdr>
          <w:top w:val="nil"/>
          <w:left w:val="nil"/>
          <w:bottom w:val="nil"/>
          <w:right w:val="nil"/>
          <w:between w:val="nil"/>
        </w:pBdr>
        <w:rPr>
          <w:color w:val="000000"/>
        </w:rPr>
      </w:pPr>
      <w:r>
        <w:rPr>
          <w:color w:val="000000"/>
        </w:rPr>
        <w:t>Tato Smlouva nabude platnosti a účinnosti dnem jejího podpisu obou Stran.</w:t>
      </w:r>
    </w:p>
    <w:p w:rsidR="00794436" w:rsidRDefault="006A653C">
      <w:pPr>
        <w:widowControl w:val="0"/>
        <w:numPr>
          <w:ilvl w:val="1"/>
          <w:numId w:val="4"/>
        </w:numPr>
        <w:pBdr>
          <w:top w:val="nil"/>
          <w:left w:val="nil"/>
          <w:bottom w:val="nil"/>
          <w:right w:val="nil"/>
          <w:between w:val="nil"/>
        </w:pBdr>
        <w:rPr>
          <w:color w:val="000000"/>
        </w:rPr>
      </w:pPr>
      <w:r>
        <w:rPr>
          <w:color w:val="000000"/>
        </w:rPr>
        <w:t>Následující Přílohy tvoří neoddělitelnou část Smlouvy:</w:t>
      </w:r>
    </w:p>
    <w:p w:rsidR="00794436" w:rsidRDefault="006A653C">
      <w:pPr>
        <w:widowControl w:val="0"/>
        <w:pBdr>
          <w:top w:val="nil"/>
          <w:left w:val="nil"/>
          <w:bottom w:val="nil"/>
          <w:right w:val="nil"/>
          <w:between w:val="nil"/>
        </w:pBdr>
        <w:ind w:left="567"/>
        <w:rPr>
          <w:color w:val="000000"/>
        </w:rPr>
      </w:pPr>
      <w:bookmarkStart w:id="10" w:name="_2s8eyo1" w:colFirst="0" w:colLast="0"/>
      <w:bookmarkEnd w:id="10"/>
      <w:r>
        <w:rPr>
          <w:color w:val="000000"/>
        </w:rPr>
        <w:t xml:space="preserve">Příloha č. 1 – </w:t>
      </w:r>
      <w:r>
        <w:rPr>
          <w:color w:val="000000"/>
        </w:rPr>
        <w:tab/>
        <w:t>Specifikace Díla</w:t>
      </w:r>
    </w:p>
    <w:p w:rsidR="00794436" w:rsidRDefault="006A653C">
      <w:pPr>
        <w:widowControl w:val="0"/>
        <w:pBdr>
          <w:top w:val="nil"/>
          <w:left w:val="nil"/>
          <w:bottom w:val="nil"/>
          <w:right w:val="nil"/>
          <w:between w:val="nil"/>
        </w:pBdr>
        <w:ind w:left="567"/>
        <w:rPr>
          <w:color w:val="000000"/>
        </w:rPr>
      </w:pPr>
      <w:r>
        <w:rPr>
          <w:color w:val="000000"/>
        </w:rPr>
        <w:t xml:space="preserve">Příloha č. 2 – </w:t>
      </w:r>
      <w:r>
        <w:rPr>
          <w:color w:val="000000"/>
        </w:rPr>
        <w:tab/>
        <w:t>Platební kalendář</w:t>
      </w:r>
    </w:p>
    <w:p w:rsidR="00794436" w:rsidRDefault="00794436">
      <w:pPr>
        <w:widowControl w:val="0"/>
        <w:pBdr>
          <w:top w:val="nil"/>
          <w:left w:val="nil"/>
          <w:bottom w:val="nil"/>
          <w:right w:val="nil"/>
          <w:between w:val="nil"/>
        </w:pBdr>
        <w:ind w:left="567"/>
        <w:rPr>
          <w:color w:val="000000"/>
          <w:highlight w:val="yellow"/>
        </w:rPr>
      </w:pPr>
    </w:p>
    <w:p w:rsidR="00794436" w:rsidRDefault="006A653C">
      <w:pPr>
        <w:rPr>
          <w:b/>
        </w:rPr>
      </w:pPr>
      <w:r>
        <w:rPr>
          <w:b/>
        </w:rPr>
        <w:t>Strany tímto výslovně prohlašují, že si tuto Smlouvu před jejím podpisem přečetly, že byla uzavřena po vzájemném projednání a že vyjadřuje jejich pravou a svobodnou vůli, na důkaz čehož připojují níže své podpisy.</w:t>
      </w:r>
    </w:p>
    <w:p w:rsidR="00794436" w:rsidRDefault="00794436">
      <w:pPr>
        <w:rPr>
          <w:b/>
        </w:rPr>
      </w:pPr>
    </w:p>
    <w:tbl>
      <w:tblPr>
        <w:tblStyle w:val="a"/>
        <w:tblW w:w="9322" w:type="dxa"/>
        <w:tblLayout w:type="fixed"/>
        <w:tblLook w:val="0400" w:firstRow="0" w:lastRow="0" w:firstColumn="0" w:lastColumn="0" w:noHBand="0" w:noVBand="1"/>
      </w:tblPr>
      <w:tblGrid>
        <w:gridCol w:w="4644"/>
        <w:gridCol w:w="4678"/>
      </w:tblGrid>
      <w:tr w:rsidR="00794436">
        <w:tc>
          <w:tcPr>
            <w:tcW w:w="4644" w:type="dxa"/>
          </w:tcPr>
          <w:p w:rsidR="00794436" w:rsidRDefault="006A653C">
            <w:r>
              <w:rPr>
                <w:b/>
              </w:rPr>
              <w:t>Astronomický ústav AV ČR, v.v.i.</w:t>
            </w:r>
          </w:p>
        </w:tc>
        <w:tc>
          <w:tcPr>
            <w:tcW w:w="4678" w:type="dxa"/>
          </w:tcPr>
          <w:p w:rsidR="00794436" w:rsidRDefault="006A653C">
            <w:r>
              <w:rPr>
                <w:b/>
              </w:rPr>
              <w:t>FoxWorks Aerospace s.r.o.</w:t>
            </w:r>
          </w:p>
        </w:tc>
      </w:tr>
      <w:tr w:rsidR="00794436">
        <w:tc>
          <w:tcPr>
            <w:tcW w:w="4644" w:type="dxa"/>
          </w:tcPr>
          <w:p w:rsidR="00794436" w:rsidRDefault="006A653C">
            <w:r>
              <w:t xml:space="preserve">Místo: </w:t>
            </w:r>
          </w:p>
          <w:p w:rsidR="00794436" w:rsidRDefault="006A653C">
            <w:r>
              <w:t xml:space="preserve">Datum: </w:t>
            </w:r>
          </w:p>
        </w:tc>
        <w:tc>
          <w:tcPr>
            <w:tcW w:w="4678" w:type="dxa"/>
          </w:tcPr>
          <w:p w:rsidR="00794436" w:rsidRDefault="006A653C">
            <w:r>
              <w:t>Místo: Praha</w:t>
            </w:r>
          </w:p>
          <w:p w:rsidR="00794436" w:rsidRDefault="006A653C">
            <w:pPr>
              <w:rPr>
                <w:b/>
              </w:rPr>
            </w:pPr>
            <w:r>
              <w:t xml:space="preserve">Datum: </w:t>
            </w:r>
          </w:p>
        </w:tc>
      </w:tr>
      <w:tr w:rsidR="00794436">
        <w:tc>
          <w:tcPr>
            <w:tcW w:w="4644" w:type="dxa"/>
          </w:tcPr>
          <w:p w:rsidR="00794436" w:rsidRDefault="00794436"/>
          <w:p w:rsidR="00794436" w:rsidRDefault="006A653C">
            <w:r>
              <w:t>_______________________________________</w:t>
            </w:r>
          </w:p>
        </w:tc>
        <w:tc>
          <w:tcPr>
            <w:tcW w:w="4678" w:type="dxa"/>
          </w:tcPr>
          <w:p w:rsidR="00794436" w:rsidRDefault="00794436"/>
          <w:p w:rsidR="00794436" w:rsidRDefault="006A653C">
            <w:r>
              <w:t>_______________________________________</w:t>
            </w:r>
          </w:p>
        </w:tc>
      </w:tr>
      <w:tr w:rsidR="00794436">
        <w:tc>
          <w:tcPr>
            <w:tcW w:w="4644" w:type="dxa"/>
          </w:tcPr>
          <w:p w:rsidR="00794436" w:rsidRDefault="006A653C">
            <w:r>
              <w:t xml:space="preserve">Jméno: prof. </w:t>
            </w:r>
            <w:r>
              <w:rPr>
                <w:color w:val="000000"/>
              </w:rPr>
              <w:t>RNDr. Vladimír Karas, DrSc</w:t>
            </w:r>
          </w:p>
          <w:p w:rsidR="00794436" w:rsidRDefault="006A653C">
            <w:r>
              <w:t>Funkce: Ředitel</w:t>
            </w:r>
          </w:p>
        </w:tc>
        <w:tc>
          <w:tcPr>
            <w:tcW w:w="4678" w:type="dxa"/>
          </w:tcPr>
          <w:p w:rsidR="00794436" w:rsidRDefault="006A653C">
            <w:r>
              <w:t>Jméno: Marián Šuch</w:t>
            </w:r>
          </w:p>
          <w:p w:rsidR="00794436" w:rsidRDefault="006A653C">
            <w:r>
              <w:t>Funkce: Ředitel</w:t>
            </w:r>
          </w:p>
        </w:tc>
      </w:tr>
    </w:tbl>
    <w:p w:rsidR="00794436" w:rsidRDefault="00794436"/>
    <w:sectPr w:rsidR="00794436">
      <w:type w:val="continuous"/>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A9" w:rsidRDefault="001508A9">
      <w:pPr>
        <w:spacing w:before="0" w:after="0" w:line="240" w:lineRule="auto"/>
      </w:pPr>
      <w:r>
        <w:separator/>
      </w:r>
    </w:p>
  </w:endnote>
  <w:endnote w:type="continuationSeparator" w:id="0">
    <w:p w:rsidR="001508A9" w:rsidRDefault="001508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36" w:rsidRDefault="006A653C">
    <w:pPr>
      <w:pBdr>
        <w:top w:val="nil"/>
        <w:left w:val="nil"/>
        <w:bottom w:val="nil"/>
        <w:right w:val="nil"/>
        <w:between w:val="nil"/>
      </w:pBdr>
      <w:tabs>
        <w:tab w:val="center" w:pos="4703"/>
        <w:tab w:val="right" w:pos="9406"/>
      </w:tabs>
      <w:jc w:val="right"/>
      <w:rPr>
        <w:rFonts w:ascii="Arial" w:eastAsia="Arial" w:hAnsi="Arial" w:cs="Arial"/>
        <w:b/>
        <w:color w:val="000000"/>
        <w:sz w:val="15"/>
        <w:szCs w:val="15"/>
      </w:rPr>
    </w:pPr>
    <w:r>
      <w:rPr>
        <w:color w:val="000000"/>
        <w:sz w:val="20"/>
        <w:szCs w:val="20"/>
      </w:rPr>
      <w:tab/>
    </w:r>
    <w:r>
      <w:rPr>
        <w:color w:val="000000"/>
        <w:sz w:val="20"/>
        <w:szCs w:val="20"/>
      </w:rPr>
      <w:tab/>
    </w:r>
    <w:r>
      <w:rPr>
        <w:rFonts w:ascii="Arial" w:eastAsia="Arial" w:hAnsi="Arial" w:cs="Arial"/>
        <w:b/>
        <w:color w:val="000000"/>
        <w:sz w:val="15"/>
        <w:szCs w:val="15"/>
      </w:rPr>
      <w:fldChar w:fldCharType="begin"/>
    </w:r>
    <w:r>
      <w:rPr>
        <w:rFonts w:ascii="Arial" w:eastAsia="Arial" w:hAnsi="Arial" w:cs="Arial"/>
        <w:b/>
        <w:color w:val="000000"/>
        <w:sz w:val="15"/>
        <w:szCs w:val="15"/>
      </w:rPr>
      <w:instrText>PAGE</w:instrText>
    </w:r>
    <w:r>
      <w:rPr>
        <w:rFonts w:ascii="Arial" w:eastAsia="Arial" w:hAnsi="Arial" w:cs="Arial"/>
        <w:b/>
        <w:color w:val="000000"/>
        <w:sz w:val="15"/>
        <w:szCs w:val="15"/>
      </w:rPr>
      <w:fldChar w:fldCharType="separate"/>
    </w:r>
    <w:r w:rsidR="00CF0606">
      <w:rPr>
        <w:rFonts w:ascii="Arial" w:eastAsia="Arial" w:hAnsi="Arial" w:cs="Arial"/>
        <w:b/>
        <w:noProof/>
        <w:color w:val="000000"/>
        <w:sz w:val="15"/>
        <w:szCs w:val="15"/>
      </w:rPr>
      <w:t>2</w:t>
    </w:r>
    <w:r>
      <w:rPr>
        <w:rFonts w:ascii="Arial" w:eastAsia="Arial" w:hAnsi="Arial" w:cs="Arial"/>
        <w:b/>
        <w:color w:val="000000"/>
        <w:sz w:val="15"/>
        <w:szCs w:val="15"/>
      </w:rPr>
      <w:fldChar w:fldCharType="end"/>
    </w:r>
    <w:r>
      <w:rPr>
        <w:rFonts w:ascii="Arial" w:eastAsia="Arial" w:hAnsi="Arial" w:cs="Arial"/>
        <w:b/>
        <w:color w:val="000000"/>
        <w:sz w:val="15"/>
        <w:szCs w:val="15"/>
      </w:rPr>
      <w:t xml:space="preserve"> / </w:t>
    </w:r>
    <w:r>
      <w:rPr>
        <w:rFonts w:ascii="Arial" w:eastAsia="Arial" w:hAnsi="Arial" w:cs="Arial"/>
        <w:b/>
        <w:color w:val="000000"/>
        <w:sz w:val="15"/>
        <w:szCs w:val="15"/>
      </w:rPr>
      <w:fldChar w:fldCharType="begin"/>
    </w:r>
    <w:r>
      <w:rPr>
        <w:rFonts w:ascii="Arial" w:eastAsia="Arial" w:hAnsi="Arial" w:cs="Arial"/>
        <w:b/>
        <w:color w:val="000000"/>
        <w:sz w:val="15"/>
        <w:szCs w:val="15"/>
      </w:rPr>
      <w:instrText>NUMPAGES</w:instrText>
    </w:r>
    <w:r>
      <w:rPr>
        <w:rFonts w:ascii="Arial" w:eastAsia="Arial" w:hAnsi="Arial" w:cs="Arial"/>
        <w:b/>
        <w:color w:val="000000"/>
        <w:sz w:val="15"/>
        <w:szCs w:val="15"/>
      </w:rPr>
      <w:fldChar w:fldCharType="separate"/>
    </w:r>
    <w:r w:rsidR="00CF0606">
      <w:rPr>
        <w:rFonts w:ascii="Arial" w:eastAsia="Arial" w:hAnsi="Arial" w:cs="Arial"/>
        <w:b/>
        <w:noProof/>
        <w:color w:val="000000"/>
        <w:sz w:val="15"/>
        <w:szCs w:val="15"/>
      </w:rPr>
      <w:t>6</w:t>
    </w:r>
    <w:r>
      <w:rPr>
        <w:rFonts w:ascii="Arial" w:eastAsia="Arial" w:hAnsi="Arial" w:cs="Arial"/>
        <w:b/>
        <w:color w:val="000000"/>
        <w:sz w:val="15"/>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A9" w:rsidRDefault="001508A9">
      <w:pPr>
        <w:spacing w:before="0" w:after="0" w:line="240" w:lineRule="auto"/>
      </w:pPr>
      <w:r>
        <w:separator/>
      </w:r>
    </w:p>
  </w:footnote>
  <w:footnote w:type="continuationSeparator" w:id="0">
    <w:p w:rsidR="001508A9" w:rsidRDefault="001508A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09D1"/>
    <w:multiLevelType w:val="multilevel"/>
    <w:tmpl w:val="A51A5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D2D40"/>
    <w:multiLevelType w:val="multilevel"/>
    <w:tmpl w:val="6C14C612"/>
    <w:lvl w:ilvl="0">
      <w:start w:val="1"/>
      <w:numFmt w:val="decimal"/>
      <w:lvlText w:val="(%1)"/>
      <w:lvlJc w:val="left"/>
      <w:pPr>
        <w:ind w:left="567" w:hanging="567"/>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6D5CFF"/>
    <w:multiLevelType w:val="multilevel"/>
    <w:tmpl w:val="EEEED6C2"/>
    <w:lvl w:ilvl="0">
      <w:start w:val="1"/>
      <w:numFmt w:val="decimal"/>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sz w:val="22"/>
        <w:szCs w:val="22"/>
      </w:rPr>
    </w:lvl>
    <w:lvl w:ilvl="2">
      <w:start w:val="1"/>
      <w:numFmt w:val="lowerLetter"/>
      <w:lvlText w:val="(%3)"/>
      <w:lvlJc w:val="left"/>
      <w:pPr>
        <w:ind w:left="992"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64C0674B"/>
    <w:multiLevelType w:val="multilevel"/>
    <w:tmpl w:val="FBC0BB98"/>
    <w:lvl w:ilvl="0">
      <w:start w:val="1"/>
      <w:numFmt w:val="upperLetter"/>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4436"/>
    <w:rsid w:val="001508A9"/>
    <w:rsid w:val="00274886"/>
    <w:rsid w:val="004056FF"/>
    <w:rsid w:val="006A653C"/>
    <w:rsid w:val="00794436"/>
    <w:rsid w:val="008925A3"/>
    <w:rsid w:val="008E4A03"/>
    <w:rsid w:val="00910F07"/>
    <w:rsid w:val="00AA2C16"/>
    <w:rsid w:val="00B848C4"/>
    <w:rsid w:val="00C67C74"/>
    <w:rsid w:val="00CA7F9A"/>
    <w:rsid w:val="00CF0606"/>
    <w:rsid w:val="00DC6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E4A1E-65E6-A94F-B505-4EEC9897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US" w:bidi="ar-SA"/>
      </w:rPr>
    </w:rPrDefault>
    <w:pPrDefault>
      <w:pPr>
        <w:spacing w:before="120"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0"/>
      <w:ind w:left="567" w:hanging="567"/>
      <w:outlineLvl w:val="0"/>
    </w:pPr>
    <w:rPr>
      <w:b/>
      <w:smallCaps/>
    </w:rPr>
  </w:style>
  <w:style w:type="paragraph" w:styleId="Nadpis2">
    <w:name w:val="heading 2"/>
    <w:basedOn w:val="Normln"/>
    <w:next w:val="Normln"/>
    <w:uiPriority w:val="9"/>
    <w:semiHidden/>
    <w:unhideWhenUsed/>
    <w:qFormat/>
    <w:pPr>
      <w:keepNext/>
      <w:spacing w:before="240" w:after="60"/>
      <w:ind w:left="709" w:hanging="709"/>
      <w:outlineLvl w:val="1"/>
    </w:pPr>
    <w:rPr>
      <w:rFonts w:ascii="Arial" w:eastAsia="Arial" w:hAnsi="Arial" w:cs="Arial"/>
      <w:b/>
      <w:i/>
      <w:sz w:val="28"/>
      <w:szCs w:val="28"/>
    </w:rPr>
  </w:style>
  <w:style w:type="paragraph" w:styleId="Nadpis3">
    <w:name w:val="heading 3"/>
    <w:basedOn w:val="Normln"/>
    <w:next w:val="Normln"/>
    <w:uiPriority w:val="9"/>
    <w:semiHidden/>
    <w:unhideWhenUsed/>
    <w:qFormat/>
    <w:pPr>
      <w:keepNext/>
      <w:spacing w:before="240" w:after="60"/>
      <w:ind w:left="851" w:hanging="142"/>
      <w:outlineLvl w:val="2"/>
    </w:pPr>
    <w:rPr>
      <w:rFonts w:ascii="Arial" w:eastAsia="Arial" w:hAnsi="Arial" w:cs="Arial"/>
      <w:b/>
      <w:sz w:val="26"/>
      <w:szCs w:val="26"/>
    </w:rPr>
  </w:style>
  <w:style w:type="paragraph" w:styleId="Nadpis4">
    <w:name w:val="heading 4"/>
    <w:basedOn w:val="Normln"/>
    <w:next w:val="Normln"/>
    <w:uiPriority w:val="9"/>
    <w:semiHidden/>
    <w:unhideWhenUsed/>
    <w:qFormat/>
    <w:pPr>
      <w:keepNext/>
      <w:spacing w:before="240" w:after="60"/>
      <w:outlineLvl w:val="3"/>
    </w:pPr>
    <w:rPr>
      <w:b/>
      <w:sz w:val="28"/>
      <w:szCs w:val="28"/>
    </w:rPr>
  </w:style>
  <w:style w:type="paragraph" w:styleId="Nadpis5">
    <w:name w:val="heading 5"/>
    <w:basedOn w:val="Normln"/>
    <w:next w:val="Normln"/>
    <w:uiPriority w:val="9"/>
    <w:semiHidden/>
    <w:unhideWhenUsed/>
    <w:qFormat/>
    <w:pPr>
      <w:spacing w:before="240" w:after="60"/>
      <w:outlineLvl w:val="4"/>
    </w:pPr>
    <w:rPr>
      <w:b/>
      <w:i/>
      <w:sz w:val="26"/>
      <w:szCs w:val="26"/>
    </w:rPr>
  </w:style>
  <w:style w:type="paragraph" w:styleId="Nadpis6">
    <w:name w:val="heading 6"/>
    <w:basedOn w:val="Normln"/>
    <w:next w:val="Normln"/>
    <w:uiPriority w:val="9"/>
    <w:semiHidden/>
    <w:unhideWhenUsed/>
    <w:qFormat/>
    <w:pPr>
      <w:spacing w:before="240" w:after="6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spacing w:before="240" w:after="60"/>
      <w:jc w:val="center"/>
    </w:pPr>
    <w:rPr>
      <w:b/>
      <w:smallCap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DC6943"/>
    <w:pPr>
      <w:spacing w:before="0" w:after="0" w:line="240" w:lineRule="auto"/>
    </w:pPr>
    <w:rPr>
      <w:sz w:val="18"/>
      <w:szCs w:val="18"/>
    </w:rPr>
  </w:style>
  <w:style w:type="character" w:customStyle="1" w:styleId="TextbublinyChar">
    <w:name w:val="Text bubliny Char"/>
    <w:basedOn w:val="Standardnpsmoodstavce"/>
    <w:link w:val="Textbubliny"/>
    <w:uiPriority w:val="99"/>
    <w:semiHidden/>
    <w:rsid w:val="00DC69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50738">
      <w:bodyDiv w:val="1"/>
      <w:marLeft w:val="0"/>
      <w:marRight w:val="0"/>
      <w:marTop w:val="0"/>
      <w:marBottom w:val="0"/>
      <w:divBdr>
        <w:top w:val="none" w:sz="0" w:space="0" w:color="auto"/>
        <w:left w:val="none" w:sz="0" w:space="0" w:color="auto"/>
        <w:bottom w:val="none" w:sz="0" w:space="0" w:color="auto"/>
        <w:right w:val="none" w:sz="0" w:space="0" w:color="auto"/>
      </w:divBdr>
      <w:divsChild>
        <w:div w:id="1236402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66701">
              <w:marLeft w:val="0"/>
              <w:marRight w:val="0"/>
              <w:marTop w:val="0"/>
              <w:marBottom w:val="0"/>
              <w:divBdr>
                <w:top w:val="none" w:sz="0" w:space="0" w:color="auto"/>
                <w:left w:val="none" w:sz="0" w:space="0" w:color="auto"/>
                <w:bottom w:val="none" w:sz="0" w:space="0" w:color="auto"/>
                <w:right w:val="none" w:sz="0" w:space="0" w:color="auto"/>
              </w:divBdr>
              <w:divsChild>
                <w:div w:id="12858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11022</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Libuše Kronusová</dc:creator>
  <cp:lastModifiedBy>HP</cp:lastModifiedBy>
  <cp:revision>2</cp:revision>
  <cp:lastPrinted>2019-01-30T12:20:00Z</cp:lastPrinted>
  <dcterms:created xsi:type="dcterms:W3CDTF">2019-02-05T08:19:00Z</dcterms:created>
  <dcterms:modified xsi:type="dcterms:W3CDTF">2019-02-05T08:19:00Z</dcterms:modified>
</cp:coreProperties>
</file>