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6056440" w:rsidR="00226595" w:rsidRPr="00DE2BC9" w:rsidRDefault="006129F1">
            <w:pPr>
              <w:tabs>
                <w:tab w:val="left" w:pos="6804"/>
              </w:tabs>
              <w:spacing w:line="480" w:lineRule="auto"/>
              <w:rPr>
                <w:snapToGrid w:val="0"/>
                <w:sz w:val="24"/>
              </w:rPr>
            </w:pPr>
            <w:r>
              <w:rPr>
                <w:snapToGrid w:val="0"/>
                <w:sz w:val="24"/>
              </w:rPr>
              <w:t>1</w:t>
            </w:r>
          </w:p>
        </w:tc>
        <w:tc>
          <w:tcPr>
            <w:tcW w:w="397" w:type="dxa"/>
          </w:tcPr>
          <w:p w14:paraId="0502788E" w14:textId="6E7F7F34" w:rsidR="00226595" w:rsidRPr="00DE2BC9" w:rsidRDefault="006129F1">
            <w:pPr>
              <w:tabs>
                <w:tab w:val="left" w:pos="6804"/>
              </w:tabs>
              <w:spacing w:line="480" w:lineRule="auto"/>
              <w:rPr>
                <w:snapToGrid w:val="0"/>
                <w:sz w:val="24"/>
              </w:rPr>
            </w:pPr>
            <w:r>
              <w:rPr>
                <w:snapToGrid w:val="0"/>
                <w:sz w:val="24"/>
              </w:rPr>
              <w:t>1</w:t>
            </w:r>
          </w:p>
        </w:tc>
        <w:tc>
          <w:tcPr>
            <w:tcW w:w="397" w:type="dxa"/>
          </w:tcPr>
          <w:p w14:paraId="4AD7A259" w14:textId="0B2CDD19" w:rsidR="00226595" w:rsidRPr="00DE2BC9" w:rsidRDefault="006129F1">
            <w:pPr>
              <w:tabs>
                <w:tab w:val="left" w:pos="6804"/>
              </w:tabs>
              <w:spacing w:line="480" w:lineRule="auto"/>
              <w:rPr>
                <w:snapToGrid w:val="0"/>
                <w:sz w:val="24"/>
              </w:rPr>
            </w:pPr>
            <w:r>
              <w:rPr>
                <w:snapToGrid w:val="0"/>
                <w:sz w:val="24"/>
              </w:rPr>
              <w:t>3</w:t>
            </w:r>
          </w:p>
        </w:tc>
        <w:tc>
          <w:tcPr>
            <w:tcW w:w="397" w:type="dxa"/>
          </w:tcPr>
          <w:p w14:paraId="4D7C041A" w14:textId="5C4C689E" w:rsidR="00226595" w:rsidRPr="00DE2BC9" w:rsidRDefault="006129F1">
            <w:pPr>
              <w:tabs>
                <w:tab w:val="left" w:pos="6804"/>
              </w:tabs>
              <w:spacing w:line="480" w:lineRule="auto"/>
              <w:rPr>
                <w:snapToGrid w:val="0"/>
                <w:sz w:val="24"/>
              </w:rPr>
            </w:pPr>
            <w:r>
              <w:rPr>
                <w:snapToGrid w:val="0"/>
                <w:sz w:val="24"/>
              </w:rPr>
              <w:t>1</w:t>
            </w:r>
          </w:p>
        </w:tc>
        <w:tc>
          <w:tcPr>
            <w:tcW w:w="397" w:type="dxa"/>
          </w:tcPr>
          <w:p w14:paraId="29B63622" w14:textId="16CB3A2E" w:rsidR="00226595" w:rsidRPr="00DE2BC9" w:rsidRDefault="006129F1">
            <w:pPr>
              <w:tabs>
                <w:tab w:val="left" w:pos="6804"/>
              </w:tabs>
              <w:spacing w:line="480" w:lineRule="auto"/>
              <w:rPr>
                <w:snapToGrid w:val="0"/>
                <w:sz w:val="24"/>
              </w:rPr>
            </w:pPr>
            <w:r>
              <w:rPr>
                <w:snapToGrid w:val="0"/>
                <w:sz w:val="24"/>
              </w:rPr>
              <w:t>0</w:t>
            </w:r>
          </w:p>
        </w:tc>
        <w:tc>
          <w:tcPr>
            <w:tcW w:w="425" w:type="dxa"/>
          </w:tcPr>
          <w:p w14:paraId="4E478447" w14:textId="39257C6F" w:rsidR="00226595" w:rsidRPr="00DE2BC9" w:rsidRDefault="006129F1">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5D4EB51"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6129F1">
        <w:rPr>
          <w:b/>
          <w:snapToGrid w:val="0"/>
          <w:sz w:val="28"/>
          <w:szCs w:val="28"/>
        </w:rPr>
        <w:t>01 – 44/2019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4C50913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419210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F2C13">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3AF020E"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F0A84">
        <w:rPr>
          <w:rFonts w:ascii="Times New Roman" w:hAnsi="Times New Roman"/>
          <w:snapToGrid w:val="0"/>
          <w:sz w:val="24"/>
        </w:rPr>
        <w:t xml:space="preserve"> 15541003</w:t>
      </w:r>
    </w:p>
    <w:p w14:paraId="28F3164F" w14:textId="52534F88" w:rsidR="00226595" w:rsidRPr="00206D3F" w:rsidRDefault="006129F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BORGIS a.s.</w:t>
      </w:r>
    </w:p>
    <w:p w14:paraId="10ABAC25" w14:textId="4032098B"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129F1">
        <w:rPr>
          <w:rFonts w:ascii="Times New Roman" w:hAnsi="Times New Roman"/>
          <w:b/>
          <w:snapToGrid w:val="0"/>
          <w:sz w:val="24"/>
        </w:rPr>
        <w:t>Praha 2, Slezská 2127/13, PSČ 12150</w:t>
      </w:r>
    </w:p>
    <w:p w14:paraId="4EA53CB9" w14:textId="3849CFC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6129F1">
        <w:rPr>
          <w:rFonts w:ascii="Times New Roman" w:hAnsi="Times New Roman"/>
          <w:snapToGrid w:val="0"/>
          <w:sz w:val="24"/>
        </w:rPr>
        <w:t xml:space="preserve"> 00564893</w:t>
      </w:r>
    </w:p>
    <w:p w14:paraId="34176DCF" w14:textId="081247F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129F1">
        <w:rPr>
          <w:rFonts w:ascii="Times New Roman" w:hAnsi="Times New Roman"/>
          <w:snapToGrid w:val="0"/>
          <w:sz w:val="24"/>
        </w:rPr>
        <w:t>00564893</w:t>
      </w:r>
    </w:p>
    <w:p w14:paraId="01DC678F" w14:textId="7270ED05"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6129F1">
        <w:rPr>
          <w:rFonts w:ascii="Times New Roman" w:hAnsi="Times New Roman"/>
          <w:snapToGrid w:val="0"/>
          <w:sz w:val="24"/>
        </w:rPr>
        <w:t> Praze</w:t>
      </w:r>
      <w:r>
        <w:rPr>
          <w:rFonts w:ascii="Times New Roman" w:hAnsi="Times New Roman"/>
          <w:snapToGrid w:val="0"/>
          <w:sz w:val="24"/>
        </w:rPr>
        <w:t xml:space="preserve">, oddíl </w:t>
      </w:r>
      <w:r w:rsidR="006129F1">
        <w:rPr>
          <w:rFonts w:ascii="Times New Roman" w:hAnsi="Times New Roman"/>
          <w:snapToGrid w:val="0"/>
          <w:sz w:val="24"/>
        </w:rPr>
        <w:t>B</w:t>
      </w:r>
      <w:r>
        <w:rPr>
          <w:rFonts w:ascii="Times New Roman" w:hAnsi="Times New Roman"/>
          <w:snapToGrid w:val="0"/>
          <w:sz w:val="24"/>
        </w:rPr>
        <w:t>, vložka</w:t>
      </w:r>
      <w:r w:rsidR="006129F1">
        <w:rPr>
          <w:rFonts w:ascii="Times New Roman" w:hAnsi="Times New Roman"/>
          <w:snapToGrid w:val="0"/>
          <w:sz w:val="24"/>
        </w:rPr>
        <w:t xml:space="preserve"> 267</w:t>
      </w:r>
    </w:p>
    <w:p w14:paraId="0D812EC9" w14:textId="2A245458" w:rsidR="00226595" w:rsidRPr="00DE2BC9" w:rsidRDefault="00226595" w:rsidP="000E0574">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2FEC8E31" w14:textId="7F227B86" w:rsidR="00226595" w:rsidRPr="00DE2BC9" w:rsidRDefault="006129F1" w:rsidP="00206D3F">
      <w:pPr>
        <w:pStyle w:val="Codstavec"/>
        <w:tabs>
          <w:tab w:val="left" w:pos="284"/>
          <w:tab w:val="left" w:pos="851"/>
        </w:tabs>
        <w:spacing w:before="120"/>
        <w:ind w:left="284" w:firstLine="0"/>
        <w:rPr>
          <w:rFonts w:ascii="Times New Roman" w:hAnsi="Times New Roman"/>
          <w:b/>
          <w:snapToGrid w:val="0"/>
          <w:sz w:val="24"/>
        </w:rPr>
      </w:pPr>
      <w:proofErr w:type="spellStart"/>
      <w:r>
        <w:rPr>
          <w:rFonts w:ascii="Times New Roman" w:hAnsi="Times New Roman"/>
          <w:b/>
          <w:snapToGrid w:val="0"/>
          <w:sz w:val="24"/>
        </w:rPr>
        <w:t>Mediaservis</w:t>
      </w:r>
      <w:proofErr w:type="spellEnd"/>
      <w:r>
        <w:rPr>
          <w:rFonts w:ascii="Times New Roman" w:hAnsi="Times New Roman"/>
          <w:b/>
          <w:snapToGrid w:val="0"/>
          <w:sz w:val="24"/>
        </w:rPr>
        <w:t>, s.r.o.</w:t>
      </w:r>
    </w:p>
    <w:p w14:paraId="2117B7FB" w14:textId="055993A1"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6129F1">
        <w:rPr>
          <w:rFonts w:ascii="Times New Roman" w:hAnsi="Times New Roman"/>
          <w:b/>
          <w:snapToGrid w:val="0"/>
          <w:sz w:val="24"/>
        </w:rPr>
        <w:t xml:space="preserve"> Praha 9 – Vysočany, Špitálská 885/2a, PSČ 19000</w:t>
      </w:r>
    </w:p>
    <w:p w14:paraId="25F9EB48" w14:textId="72896708" w:rsidR="00226595" w:rsidRPr="006129F1"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6129F1">
        <w:rPr>
          <w:rFonts w:ascii="Times New Roman" w:hAnsi="Times New Roman"/>
          <w:b/>
          <w:snapToGrid w:val="0"/>
          <w:sz w:val="24"/>
        </w:rPr>
        <w:t>a</w:t>
      </w:r>
      <w:r w:rsidRPr="00206D3F">
        <w:rPr>
          <w:rFonts w:ascii="Times New Roman" w:hAnsi="Times New Roman"/>
          <w:b/>
          <w:snapToGrid w:val="0"/>
          <w:sz w:val="24"/>
        </w:rPr>
        <w:t>:</w:t>
      </w:r>
      <w:r w:rsidR="006129F1">
        <w:rPr>
          <w:rFonts w:ascii="Times New Roman" w:hAnsi="Times New Roman"/>
          <w:b/>
          <w:snapToGrid w:val="0"/>
          <w:sz w:val="24"/>
        </w:rPr>
        <w:t xml:space="preserve"> </w:t>
      </w:r>
      <w:proofErr w:type="spellStart"/>
      <w:r w:rsidR="00FF2C13">
        <w:rPr>
          <w:rFonts w:ascii="Times New Roman" w:hAnsi="Times New Roman"/>
          <w:snapToGrid w:val="0"/>
          <w:sz w:val="24"/>
        </w:rPr>
        <w:t>xxx</w:t>
      </w:r>
      <w:proofErr w:type="spellEnd"/>
    </w:p>
    <w:p w14:paraId="7FC3ED7D" w14:textId="368FAD7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w:t>
      </w:r>
      <w:r>
        <w:rPr>
          <w:rFonts w:ascii="Times New Roman" w:hAnsi="Times New Roman"/>
          <w:snapToGrid w:val="0"/>
          <w:sz w:val="24"/>
        </w:rPr>
        <w:tab/>
      </w:r>
      <w:r w:rsidR="006129F1">
        <w:rPr>
          <w:rFonts w:ascii="Times New Roman" w:hAnsi="Times New Roman"/>
          <w:snapToGrid w:val="0"/>
          <w:sz w:val="24"/>
        </w:rPr>
        <w:t>24197360</w:t>
      </w:r>
    </w:p>
    <w:p w14:paraId="1A7AC76D" w14:textId="2780ECB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129F1">
        <w:rPr>
          <w:rFonts w:ascii="Times New Roman" w:hAnsi="Times New Roman"/>
          <w:snapToGrid w:val="0"/>
          <w:sz w:val="24"/>
        </w:rPr>
        <w:t>24197360</w:t>
      </w:r>
    </w:p>
    <w:p w14:paraId="7341738A" w14:textId="6192082B" w:rsidR="00226595" w:rsidRDefault="00226595" w:rsidP="0076237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AF0A84">
        <w:rPr>
          <w:rFonts w:ascii="Times New Roman" w:hAnsi="Times New Roman"/>
          <w:snapToGrid w:val="0"/>
          <w:sz w:val="24"/>
        </w:rPr>
        <w:t xml:space="preserve"> Praze</w:t>
      </w:r>
      <w:r>
        <w:rPr>
          <w:rFonts w:ascii="Times New Roman" w:hAnsi="Times New Roman"/>
          <w:snapToGrid w:val="0"/>
          <w:sz w:val="24"/>
        </w:rPr>
        <w:t xml:space="preserve">, oddíl </w:t>
      </w:r>
      <w:r w:rsidR="00AF0A84">
        <w:rPr>
          <w:rFonts w:ascii="Times New Roman" w:hAnsi="Times New Roman"/>
          <w:snapToGrid w:val="0"/>
          <w:sz w:val="24"/>
        </w:rPr>
        <w:t>C</w:t>
      </w:r>
      <w:r>
        <w:rPr>
          <w:rFonts w:ascii="Times New Roman" w:hAnsi="Times New Roman"/>
          <w:snapToGrid w:val="0"/>
          <w:sz w:val="24"/>
        </w:rPr>
        <w:t>, vložka</w:t>
      </w:r>
      <w:r w:rsidR="00AF0A84">
        <w:rPr>
          <w:rFonts w:ascii="Times New Roman" w:hAnsi="Times New Roman"/>
          <w:snapToGrid w:val="0"/>
          <w:sz w:val="24"/>
        </w:rPr>
        <w:t xml:space="preserve"> 187772</w:t>
      </w:r>
    </w:p>
    <w:p w14:paraId="13E45106" w14:textId="099C030D" w:rsidR="00226595" w:rsidRPr="00AF0A84" w:rsidRDefault="00226595" w:rsidP="00A469E6">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F2675BE" w:rsidR="00226595" w:rsidRPr="00A469E6"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F2C13">
        <w:rPr>
          <w:rFonts w:ascii="Times New Roman" w:hAnsi="Times New Roman"/>
          <w:b/>
          <w:snapToGrid w:val="0"/>
          <w:sz w:val="24"/>
        </w:rPr>
        <w:t>xxx</w:t>
      </w:r>
      <w:proofErr w:type="spellEnd"/>
    </w:p>
    <w:p w14:paraId="11CBC1F9" w14:textId="3A5EF7D3"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469E6">
        <w:rPr>
          <w:rFonts w:ascii="Times New Roman" w:hAnsi="Times New Roman"/>
          <w:snapToGrid w:val="0"/>
          <w:sz w:val="24"/>
        </w:rPr>
        <w:t>24197360</w:t>
      </w:r>
    </w:p>
    <w:p w14:paraId="4EAF9DB6" w14:textId="380CBEE4"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469E6">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247F9373" w:rsidR="00226595" w:rsidRPr="00A469E6" w:rsidRDefault="00226595" w:rsidP="00A469E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469E6">
        <w:rPr>
          <w:rFonts w:ascii="Times New Roman" w:hAnsi="Times New Roman"/>
          <w:b/>
          <w:snapToGrid w:val="0"/>
          <w:color w:val="3366FF"/>
          <w:sz w:val="24"/>
        </w:rPr>
        <w:t xml:space="preserve"> </w:t>
      </w:r>
      <w:r w:rsidRPr="00A469E6">
        <w:rPr>
          <w:rFonts w:ascii="Times New Roman" w:hAnsi="Times New Roman"/>
          <w:b/>
          <w:snapToGrid w:val="0"/>
          <w:sz w:val="24"/>
        </w:rPr>
        <w:t>k nasazení poplatku všem plátcům v kmeni pro inkasní měsíc</w:t>
      </w:r>
      <w:r w:rsidRPr="00A469E6">
        <w:rPr>
          <w:rFonts w:ascii="Times New Roman" w:hAnsi="Times New Roman"/>
          <w:snapToGrid w:val="0"/>
          <w:sz w:val="24"/>
        </w:rPr>
        <w:t xml:space="preserve"> s průvodkou 1x měsíčně;</w:t>
      </w:r>
    </w:p>
    <w:p w14:paraId="1EE925F3" w14:textId="79C931D2" w:rsidR="00226595" w:rsidRPr="00A469E6" w:rsidRDefault="00226595" w:rsidP="00A469E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469E6">
        <w:rPr>
          <w:rFonts w:ascii="Times New Roman" w:hAnsi="Times New Roman"/>
          <w:snapToGrid w:val="0"/>
          <w:sz w:val="24"/>
        </w:rPr>
        <w:t xml:space="preserve"> požaduje, aby se v případě výskytu chyb ve změnovém souboru </w:t>
      </w:r>
      <w:r w:rsidRPr="00A469E6">
        <w:rPr>
          <w:rFonts w:ascii="Times New Roman" w:hAnsi="Times New Roman"/>
          <w:b/>
          <w:snapToGrid w:val="0"/>
          <w:sz w:val="24"/>
        </w:rPr>
        <w:t>změnový soubor zpracoval;</w:t>
      </w:r>
    </w:p>
    <w:p w14:paraId="5DE66302" w14:textId="1CAF7C29" w:rsidR="00226595" w:rsidRPr="00A469E6" w:rsidRDefault="00226595" w:rsidP="00A469E6">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469E6">
        <w:rPr>
          <w:rFonts w:ascii="Times New Roman" w:hAnsi="Times New Roman"/>
          <w:sz w:val="24"/>
        </w:rPr>
        <w:t xml:space="preserve"> </w:t>
      </w:r>
      <w:r w:rsidRPr="00A469E6">
        <w:rPr>
          <w:rFonts w:ascii="Times New Roman" w:hAnsi="Times New Roman"/>
          <w:sz w:val="24"/>
        </w:rPr>
        <w:t>který bude obsahovat platby za veškeré využívané kódy poplatků za daný inkasní měsíc.</w:t>
      </w:r>
    </w:p>
    <w:p w14:paraId="729E8883" w14:textId="5772316E" w:rsidR="00226595" w:rsidRPr="00B76088" w:rsidRDefault="00226595" w:rsidP="00A469E6">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3345BECE" w:rsidR="00226595" w:rsidRPr="00A469E6" w:rsidRDefault="00226595" w:rsidP="00A469E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A469E6">
        <w:rPr>
          <w:rFonts w:ascii="Times New Roman" w:hAnsi="Times New Roman"/>
          <w:snapToGrid w:val="0"/>
          <w:sz w:val="24"/>
        </w:rPr>
        <w:t>s průvodkou</w:t>
      </w:r>
      <w:r w:rsidRPr="00A469E6">
        <w:rPr>
          <w:rFonts w:ascii="Times New Roman" w:hAnsi="Times New Roman"/>
          <w:snapToGrid w:val="0"/>
          <w:sz w:val="24"/>
        </w:rPr>
        <w:t xml:space="preserve"> na základě zvláštní objednávky;</w:t>
      </w:r>
    </w:p>
    <w:p w14:paraId="1FF8FE7C" w14:textId="1133F781"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33C93FF5" w:rsidR="00336984" w:rsidRPr="00A469E6" w:rsidRDefault="00226595" w:rsidP="00A469E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469E6">
        <w:rPr>
          <w:rFonts w:ascii="Times New Roman" w:hAnsi="Times New Roman"/>
          <w:b/>
          <w:snapToGrid w:val="0"/>
          <w:sz w:val="24"/>
        </w:rPr>
        <w:t xml:space="preserve"> k nasazení poplatku všem</w:t>
      </w:r>
      <w:r w:rsidRPr="00A469E6">
        <w:rPr>
          <w:rFonts w:ascii="Times New Roman" w:hAnsi="Times New Roman"/>
          <w:snapToGrid w:val="0"/>
          <w:sz w:val="24"/>
        </w:rPr>
        <w:t xml:space="preserve"> plátcům v kmeni pro inkasní měsíc</w:t>
      </w:r>
      <w:r w:rsidR="005B03FA" w:rsidRPr="00A469E6">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6A282275" w:rsidR="00226595" w:rsidRPr="00A469E6" w:rsidRDefault="00226595" w:rsidP="00A469E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A469E6">
        <w:rPr>
          <w:rFonts w:ascii="Times New Roman" w:hAnsi="Times New Roman"/>
          <w:color w:val="3366FF"/>
          <w:sz w:val="24"/>
        </w:rPr>
        <w:t xml:space="preserve"> </w:t>
      </w:r>
      <w:r w:rsidRPr="00A469E6">
        <w:rPr>
          <w:rFonts w:ascii="Times New Roman" w:hAnsi="Times New Roman"/>
          <w:b/>
          <w:sz w:val="24"/>
        </w:rPr>
        <w:t>denním odúčtováním</w:t>
      </w:r>
      <w:r w:rsidRPr="00A469E6">
        <w:rPr>
          <w:rFonts w:ascii="Times New Roman" w:hAnsi="Times New Roman"/>
          <w:sz w:val="24"/>
        </w:rPr>
        <w:t xml:space="preserve"> do pěti pracovních dnů po vyinkasování od plátců na p</w:t>
      </w:r>
      <w:r w:rsidR="00CC0FAB" w:rsidRPr="00A469E6">
        <w:rPr>
          <w:rFonts w:ascii="Times New Roman" w:hAnsi="Times New Roman"/>
          <w:sz w:val="24"/>
        </w:rPr>
        <w:t>rovozovně</w:t>
      </w:r>
      <w:r w:rsidRPr="00A469E6">
        <w:rPr>
          <w:rFonts w:ascii="Times New Roman" w:hAnsi="Times New Roman"/>
          <w:sz w:val="24"/>
        </w:rPr>
        <w:t xml:space="preserve"> či bezhotovostním převodem od bank. </w:t>
      </w:r>
    </w:p>
    <w:p w14:paraId="7A697A15" w14:textId="1BD869A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469E6">
        <w:rPr>
          <w:rFonts w:ascii="Times New Roman" w:hAnsi="Times New Roman"/>
          <w:snapToGrid w:val="0"/>
          <w:sz w:val="24"/>
        </w:rPr>
        <w:t>24197360</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746E33A"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469E6">
        <w:rPr>
          <w:rFonts w:ascii="Times New Roman" w:hAnsi="Times New Roman"/>
          <w:snapToGrid w:val="0"/>
          <w:sz w:val="24"/>
        </w:rPr>
        <w:t xml:space="preserve"> --</w:t>
      </w:r>
    </w:p>
    <w:p w14:paraId="577397D0" w14:textId="0B1A434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57900D1D" w:rsidR="00226595" w:rsidRPr="00A469E6" w:rsidRDefault="00226595" w:rsidP="00A469E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A469E6">
        <w:rPr>
          <w:rFonts w:ascii="Times New Roman" w:hAnsi="Times New Roman"/>
          <w:snapToGrid w:val="0"/>
          <w:sz w:val="24"/>
        </w:rPr>
        <w:t>souhrnně za všechny využívané kódy poplatků (pokud úhrnné platby budou</w:t>
      </w:r>
      <w:r w:rsidRPr="00A469E6">
        <w:rPr>
          <w:rFonts w:ascii="Times New Roman" w:hAnsi="Times New Roman"/>
          <w:sz w:val="24"/>
        </w:rPr>
        <w:t xml:space="preserve"> Příkazníkem převáděny v rámci jednoho termínu jedním převodem za všechny využívané kódy poplatků</w:t>
      </w:r>
      <w:r w:rsidRPr="00A469E6">
        <w:rPr>
          <w:rFonts w:ascii="Times New Roman" w:hAnsi="Times New Roman"/>
          <w:snapToGrid w:val="0"/>
          <w:sz w:val="24"/>
        </w:rPr>
        <w:t xml:space="preserve">) </w:t>
      </w:r>
      <w:r w:rsidRPr="00A469E6">
        <w:rPr>
          <w:rFonts w:ascii="Times New Roman" w:hAnsi="Times New Roman"/>
          <w:b/>
          <w:snapToGrid w:val="0"/>
          <w:sz w:val="24"/>
        </w:rPr>
        <w:t xml:space="preserve">na e-mailovou adresu Příkazce uvedenou v Příloze </w:t>
      </w:r>
      <w:proofErr w:type="gramStart"/>
      <w:r w:rsidRPr="00A469E6">
        <w:rPr>
          <w:rFonts w:ascii="Times New Roman" w:hAnsi="Times New Roman"/>
          <w:b/>
          <w:snapToGrid w:val="0"/>
          <w:sz w:val="24"/>
        </w:rPr>
        <w:t>č.1, bod</w:t>
      </w:r>
      <w:proofErr w:type="gramEnd"/>
      <w:r w:rsidRPr="00A469E6">
        <w:rPr>
          <w:rFonts w:ascii="Times New Roman" w:hAnsi="Times New Roman"/>
          <w:b/>
          <w:snapToGrid w:val="0"/>
          <w:sz w:val="24"/>
        </w:rPr>
        <w:t xml:space="preserve"> 1.3.</w:t>
      </w:r>
    </w:p>
    <w:p w14:paraId="4C53EA66" w14:textId="00D998B4" w:rsidR="00A469E6" w:rsidRDefault="00A469E6" w:rsidP="00A469E6">
      <w:pPr>
        <w:pStyle w:val="Codstavec"/>
        <w:tabs>
          <w:tab w:val="left" w:pos="709"/>
        </w:tabs>
        <w:spacing w:before="120"/>
        <w:ind w:left="709" w:firstLine="0"/>
        <w:jc w:val="both"/>
        <w:rPr>
          <w:rFonts w:ascii="Times New Roman" w:hAnsi="Times New Roman"/>
          <w:b/>
          <w:snapToGrid w:val="0"/>
          <w:sz w:val="24"/>
        </w:rPr>
      </w:pPr>
    </w:p>
    <w:p w14:paraId="36C3EF48" w14:textId="13FDA6BE" w:rsidR="00A469E6" w:rsidRDefault="00A469E6" w:rsidP="00A469E6">
      <w:pPr>
        <w:pStyle w:val="Codstavec"/>
        <w:tabs>
          <w:tab w:val="left" w:pos="709"/>
        </w:tabs>
        <w:spacing w:before="120"/>
        <w:ind w:left="709" w:firstLine="0"/>
        <w:jc w:val="both"/>
        <w:rPr>
          <w:rFonts w:ascii="Times New Roman" w:hAnsi="Times New Roman"/>
          <w:b/>
          <w:snapToGrid w:val="0"/>
          <w:sz w:val="24"/>
        </w:rPr>
      </w:pPr>
    </w:p>
    <w:p w14:paraId="04F28538" w14:textId="77777777" w:rsidR="00A469E6" w:rsidRPr="00A469E6" w:rsidRDefault="00A469E6" w:rsidP="00A469E6">
      <w:pPr>
        <w:pStyle w:val="Codstavec"/>
        <w:tabs>
          <w:tab w:val="left" w:pos="709"/>
        </w:tabs>
        <w:spacing w:before="120"/>
        <w:ind w:left="709" w:firstLine="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AE3C956"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3C5E425" w:rsidR="00226595" w:rsidRPr="00A469E6" w:rsidRDefault="00226595" w:rsidP="00A469E6">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A469E6">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60A1465" w:rsidR="009459E6" w:rsidRPr="00A469E6" w:rsidRDefault="00226595" w:rsidP="00A469E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A469E6">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4451A1DA" w:rsidR="00226595" w:rsidRPr="00A469E6" w:rsidRDefault="00226595" w:rsidP="00A469E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469E6">
        <w:rPr>
          <w:rFonts w:ascii="Times New Roman" w:hAnsi="Times New Roman"/>
          <w:snapToGrid w:val="0"/>
          <w:color w:val="3366FF"/>
          <w:sz w:val="24"/>
        </w:rPr>
        <w:t xml:space="preserve"> </w:t>
      </w:r>
      <w:r w:rsidRPr="00A469E6">
        <w:rPr>
          <w:rFonts w:ascii="Times New Roman" w:hAnsi="Times New Roman"/>
          <w:b/>
          <w:snapToGrid w:val="0"/>
          <w:sz w:val="24"/>
        </w:rPr>
        <w:t xml:space="preserve">WINDOWS 1250 </w:t>
      </w:r>
      <w:r w:rsidRPr="00A469E6">
        <w:rPr>
          <w:rFonts w:ascii="Times New Roman" w:hAnsi="Times New Roman"/>
          <w:snapToGrid w:val="0"/>
          <w:sz w:val="24"/>
        </w:rPr>
        <w:t>(kódová stránka 1250).</w:t>
      </w:r>
    </w:p>
    <w:p w14:paraId="5D39577D" w14:textId="77777777" w:rsidR="00A469E6" w:rsidRPr="00A469E6"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48F40E88" w14:textId="77777777" w:rsidR="00A469E6" w:rsidRDefault="00A469E6" w:rsidP="00A469E6">
      <w:pPr>
        <w:pStyle w:val="Codstavec"/>
        <w:tabs>
          <w:tab w:val="left" w:pos="3544"/>
        </w:tabs>
        <w:spacing w:before="120"/>
        <w:ind w:left="709" w:firstLine="0"/>
        <w:jc w:val="both"/>
        <w:rPr>
          <w:rFonts w:ascii="Times New Roman" w:hAnsi="Times New Roman"/>
          <w:snapToGrid w:val="0"/>
          <w:sz w:val="24"/>
          <w:szCs w:val="24"/>
        </w:rPr>
      </w:pPr>
    </w:p>
    <w:p w14:paraId="1C941264" w14:textId="77777777" w:rsidR="00A469E6" w:rsidRDefault="00A469E6" w:rsidP="00A469E6">
      <w:pPr>
        <w:pStyle w:val="Codstavec"/>
        <w:tabs>
          <w:tab w:val="left" w:pos="3544"/>
        </w:tabs>
        <w:spacing w:before="120"/>
        <w:ind w:left="709" w:firstLine="0"/>
        <w:jc w:val="both"/>
        <w:rPr>
          <w:rFonts w:ascii="Times New Roman" w:hAnsi="Times New Roman"/>
          <w:snapToGrid w:val="0"/>
          <w:sz w:val="24"/>
          <w:szCs w:val="24"/>
        </w:rPr>
      </w:pPr>
    </w:p>
    <w:p w14:paraId="78BFBF9D" w14:textId="2FF67285" w:rsidR="00FD75E8" w:rsidRPr="007E0297" w:rsidRDefault="007E0297" w:rsidP="00A469E6">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5C09E887"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2A67E7" w14:textId="77777777" w:rsidR="00A469E6" w:rsidRPr="00FA43A7" w:rsidRDefault="00A469E6" w:rsidP="00A469E6">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63D691E3"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9A7A1EF" w14:textId="22E61F09" w:rsidR="00A469E6" w:rsidRDefault="00A469E6" w:rsidP="00A469E6">
      <w:pPr>
        <w:pStyle w:val="Codstavec"/>
        <w:spacing w:before="120"/>
        <w:ind w:left="709" w:firstLine="0"/>
        <w:jc w:val="both"/>
        <w:rPr>
          <w:rFonts w:ascii="Times New Roman" w:hAnsi="Times New Roman"/>
          <w:snapToGrid w:val="0"/>
          <w:sz w:val="24"/>
          <w:szCs w:val="24"/>
        </w:rPr>
      </w:pPr>
    </w:p>
    <w:p w14:paraId="71416027" w14:textId="4E248D73" w:rsidR="00A469E6" w:rsidRDefault="00A469E6" w:rsidP="00A469E6">
      <w:pPr>
        <w:pStyle w:val="Codstavec"/>
        <w:spacing w:before="120"/>
        <w:ind w:left="709" w:firstLine="0"/>
        <w:jc w:val="both"/>
        <w:rPr>
          <w:rFonts w:ascii="Times New Roman" w:hAnsi="Times New Roman"/>
          <w:snapToGrid w:val="0"/>
          <w:sz w:val="24"/>
          <w:szCs w:val="24"/>
        </w:rPr>
      </w:pPr>
    </w:p>
    <w:p w14:paraId="6B536551" w14:textId="77777777" w:rsidR="00A469E6" w:rsidRPr="002C454B" w:rsidRDefault="00A469E6" w:rsidP="00A469E6">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CB7523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469E6">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5D77FD4"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FF2C13">
        <w:rPr>
          <w:rFonts w:ascii="Times New Roman" w:hAnsi="Times New Roman"/>
          <w:snapToGrid w:val="0"/>
          <w:sz w:val="24"/>
        </w:rPr>
        <w:t>xxx</w:t>
      </w:r>
      <w:proofErr w:type="spellEnd"/>
    </w:p>
    <w:p w14:paraId="276C3570" w14:textId="22756F04"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A469E6">
        <w:rPr>
          <w:rFonts w:ascii="Times New Roman" w:hAnsi="Times New Roman"/>
          <w:snapToGrid w:val="0"/>
          <w:sz w:val="24"/>
        </w:rPr>
        <w:tab/>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0049C6BB"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959AC82" w14:textId="08C72CAB" w:rsidR="00FF2C13" w:rsidRDefault="00FF2C13" w:rsidP="00842456">
      <w:pPr>
        <w:pStyle w:val="Codstavec"/>
        <w:tabs>
          <w:tab w:val="left" w:pos="1418"/>
          <w:tab w:val="left" w:pos="5387"/>
        </w:tabs>
        <w:ind w:firstLine="0"/>
        <w:jc w:val="both"/>
        <w:rPr>
          <w:rFonts w:ascii="Times New Roman" w:hAnsi="Times New Roman"/>
          <w:b/>
          <w:snapToGrid w:val="0"/>
          <w:sz w:val="24"/>
        </w:rPr>
      </w:pPr>
    </w:p>
    <w:p w14:paraId="5C094A6D" w14:textId="2B01ED95" w:rsidR="00FF2C13" w:rsidRDefault="00FF2C13" w:rsidP="00842456">
      <w:pPr>
        <w:pStyle w:val="Codstavec"/>
        <w:tabs>
          <w:tab w:val="left" w:pos="1418"/>
          <w:tab w:val="left" w:pos="5387"/>
        </w:tabs>
        <w:ind w:firstLine="0"/>
        <w:jc w:val="both"/>
        <w:rPr>
          <w:rFonts w:ascii="Times New Roman" w:hAnsi="Times New Roman"/>
          <w:b/>
          <w:snapToGrid w:val="0"/>
          <w:sz w:val="24"/>
        </w:rPr>
      </w:pPr>
    </w:p>
    <w:p w14:paraId="04042E2C" w14:textId="0021115E" w:rsidR="00FF2C13" w:rsidRPr="008C2A45" w:rsidRDefault="00FF2C13"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FF2C13"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7EDC53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6129F1">
      <w:rPr>
        <w:sz w:val="16"/>
      </w:rPr>
      <w:t>01 – 44/2019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F2C13">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4B81"/>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29F1"/>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469E6"/>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0A84"/>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17A91"/>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C13"/>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D9215-B745-4F1D-8565-C522A30D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3105</Words>
  <Characters>18069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2019-02-04T13:24:00Z</dcterms:created>
  <dcterms:modified xsi:type="dcterms:W3CDTF">2019-02-04T13:25:00Z</dcterms:modified>
</cp:coreProperties>
</file>