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37" w:rsidRDefault="00AF4837" w:rsidP="00AF4837">
      <w:pPr>
        <w:tabs>
          <w:tab w:val="center" w:pos="4536"/>
        </w:tabs>
        <w:jc w:val="right"/>
        <w:rPr>
          <w:sz w:val="22"/>
          <w:szCs w:val="22"/>
        </w:rPr>
      </w:pPr>
      <w:r>
        <w:t xml:space="preserve">       Evidenční číslo smlouvy: </w:t>
      </w:r>
      <w:r w:rsidR="002765FD" w:rsidRPr="006E1AB6">
        <w:rPr>
          <w:b/>
        </w:rPr>
        <w:t>KK00</w:t>
      </w:r>
      <w:r w:rsidR="00576E00" w:rsidRPr="006E1AB6">
        <w:rPr>
          <w:b/>
        </w:rPr>
        <w:t>0</w:t>
      </w:r>
      <w:r w:rsidR="0078441D">
        <w:rPr>
          <w:b/>
        </w:rPr>
        <w:t>84</w:t>
      </w:r>
      <w:r w:rsidR="002765FD" w:rsidRPr="006E1AB6">
        <w:rPr>
          <w:b/>
        </w:rPr>
        <w:t>/2019</w:t>
      </w:r>
    </w:p>
    <w:p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:rsidR="00AF4837" w:rsidRDefault="00AF4837" w:rsidP="00076325">
      <w:pPr>
        <w:tabs>
          <w:tab w:val="left" w:pos="2700"/>
        </w:tabs>
        <w:outlineLvl w:val="0"/>
        <w:rPr>
          <w:b/>
        </w:rPr>
      </w:pPr>
    </w:p>
    <w:p w:rsidR="00076325" w:rsidRDefault="00076325" w:rsidP="00076325">
      <w:pPr>
        <w:tabs>
          <w:tab w:val="left" w:pos="2700"/>
        </w:tabs>
        <w:outlineLvl w:val="0"/>
        <w:rPr>
          <w:b/>
        </w:rPr>
      </w:pPr>
      <w:r>
        <w:rPr>
          <w:b/>
        </w:rPr>
        <w:t>Karlovarský kraj – Krajský úřad</w:t>
      </w:r>
    </w:p>
    <w:p w:rsidR="00076325" w:rsidRDefault="0031189E" w:rsidP="00076325">
      <w:pPr>
        <w:tabs>
          <w:tab w:val="left" w:pos="2700"/>
        </w:tabs>
      </w:pPr>
      <w:r>
        <w:t>Sídlo</w:t>
      </w:r>
      <w:r w:rsidR="00076325">
        <w:t xml:space="preserve">:                    </w:t>
      </w:r>
      <w:r w:rsidR="00076325">
        <w:tab/>
        <w:t>Závodní 353/88, 360 06</w:t>
      </w:r>
      <w:r w:rsidR="00076325">
        <w:rPr>
          <w:color w:val="FF0000"/>
        </w:rPr>
        <w:t xml:space="preserve"> </w:t>
      </w:r>
      <w:r w:rsidR="00076325">
        <w:t xml:space="preserve">Karlovy Vary </w:t>
      </w:r>
    </w:p>
    <w:p w:rsidR="00076325" w:rsidRDefault="0031189E" w:rsidP="00076325">
      <w:pPr>
        <w:tabs>
          <w:tab w:val="left" w:pos="2700"/>
        </w:tabs>
      </w:pPr>
      <w:r>
        <w:t>Identifikační číslo:</w:t>
      </w:r>
      <w:r w:rsidR="00076325">
        <w:tab/>
        <w:t>70891168</w:t>
      </w:r>
    </w:p>
    <w:p w:rsidR="00076325" w:rsidRDefault="00076325" w:rsidP="00076325">
      <w:pPr>
        <w:tabs>
          <w:tab w:val="left" w:pos="2700"/>
        </w:tabs>
      </w:pPr>
      <w:r>
        <w:t xml:space="preserve">DIČ:     </w:t>
      </w:r>
      <w:r>
        <w:tab/>
        <w:t xml:space="preserve">CZ70891168 </w:t>
      </w:r>
    </w:p>
    <w:p w:rsidR="00076325" w:rsidRDefault="0031189E" w:rsidP="00076325">
      <w:pPr>
        <w:tabs>
          <w:tab w:val="left" w:pos="2700"/>
        </w:tabs>
      </w:pPr>
      <w:r>
        <w:t>Z</w:t>
      </w:r>
      <w:r w:rsidR="00076325">
        <w:t xml:space="preserve">astoupený:      </w:t>
      </w:r>
      <w:r w:rsidR="00076325">
        <w:tab/>
        <w:t xml:space="preserve">Mgr. Monika Havlová, vedoucí odboru školství,    </w:t>
      </w:r>
    </w:p>
    <w:p w:rsidR="00076325" w:rsidRDefault="00076325" w:rsidP="00076325">
      <w:pPr>
        <w:tabs>
          <w:tab w:val="left" w:pos="2700"/>
        </w:tabs>
      </w:pPr>
      <w:r>
        <w:t xml:space="preserve">                                             mládeže a tělovýchovy Krajského úřadu Karlovarského kraje</w:t>
      </w:r>
    </w:p>
    <w:p w:rsidR="00076325" w:rsidRDefault="0031189E" w:rsidP="00076325">
      <w:pPr>
        <w:tabs>
          <w:tab w:val="left" w:pos="2700"/>
        </w:tabs>
      </w:pPr>
      <w:r>
        <w:t>B</w:t>
      </w:r>
      <w:r w:rsidR="00EF48B0">
        <w:t xml:space="preserve">ankovní spojení:    </w:t>
      </w:r>
      <w:r w:rsidR="00EF48B0">
        <w:tab/>
        <w:t>XXXX</w:t>
      </w:r>
    </w:p>
    <w:p w:rsidR="00076325" w:rsidRDefault="0031189E" w:rsidP="00076325">
      <w:pPr>
        <w:tabs>
          <w:tab w:val="left" w:pos="2700"/>
        </w:tabs>
      </w:pPr>
      <w:r>
        <w:t>Č</w:t>
      </w:r>
      <w:r w:rsidR="00076325">
        <w:t xml:space="preserve">íslo účtu:        </w:t>
      </w:r>
      <w:r w:rsidR="00EF48B0">
        <w:t xml:space="preserve">             </w:t>
      </w:r>
      <w:r w:rsidR="00EF48B0">
        <w:tab/>
        <w:t>XXXX</w:t>
      </w:r>
    </w:p>
    <w:p w:rsidR="0031189E" w:rsidRDefault="0031189E" w:rsidP="00076325">
      <w:pPr>
        <w:tabs>
          <w:tab w:val="left" w:pos="2700"/>
        </w:tabs>
      </w:pPr>
      <w:r>
        <w:t>Datová s</w:t>
      </w:r>
      <w:r w:rsidR="00EF48B0">
        <w:t>chránka:                 XXXX</w:t>
      </w:r>
    </w:p>
    <w:p w:rsidR="0031189E" w:rsidRDefault="0031189E" w:rsidP="00076325">
      <w:pPr>
        <w:tabs>
          <w:tab w:val="left" w:pos="2700"/>
        </w:tabs>
      </w:pPr>
      <w:proofErr w:type="spellStart"/>
      <w:r>
        <w:t>Administrující</w:t>
      </w:r>
      <w:proofErr w:type="spellEnd"/>
      <w:r>
        <w:t xml:space="preserve"> odbor:          odbor školství, mládeže a tělovýchovy</w:t>
      </w:r>
    </w:p>
    <w:p w:rsidR="00076325" w:rsidRDefault="00076325" w:rsidP="00076325">
      <w:pPr>
        <w:tabs>
          <w:tab w:val="left" w:pos="2700"/>
        </w:tabs>
      </w:pPr>
      <w:r>
        <w:t>(dále jen „krajský úřad“)</w:t>
      </w:r>
    </w:p>
    <w:p w:rsidR="00076325" w:rsidRDefault="00076325" w:rsidP="00076325">
      <w:pPr>
        <w:tabs>
          <w:tab w:val="left" w:pos="2700"/>
        </w:tabs>
      </w:pPr>
    </w:p>
    <w:p w:rsidR="00076325" w:rsidRDefault="00076325" w:rsidP="00076325">
      <w:pPr>
        <w:tabs>
          <w:tab w:val="left" w:pos="2700"/>
        </w:tabs>
      </w:pPr>
      <w:r>
        <w:t>a</w:t>
      </w:r>
    </w:p>
    <w:p w:rsidR="00076325" w:rsidRDefault="00076325" w:rsidP="00076325">
      <w:pPr>
        <w:tabs>
          <w:tab w:val="left" w:pos="2700"/>
        </w:tabs>
        <w:rPr>
          <w:b/>
        </w:rPr>
      </w:pPr>
    </w:p>
    <w:p w:rsidR="00076325" w:rsidRPr="007739D5" w:rsidRDefault="0078441D" w:rsidP="00343ACA">
      <w:pPr>
        <w:tabs>
          <w:tab w:val="left" w:pos="2700"/>
        </w:tabs>
        <w:jc w:val="both"/>
        <w:rPr>
          <w:b/>
        </w:rPr>
      </w:pPr>
      <w:r>
        <w:rPr>
          <w:b/>
        </w:rPr>
        <w:t>Svobodná chebská škola, základní škola a gymnázium s.r.o.</w:t>
      </w:r>
    </w:p>
    <w:p w:rsidR="00076325" w:rsidRPr="00B00161" w:rsidRDefault="00611FC3" w:rsidP="00076325">
      <w:pPr>
        <w:tabs>
          <w:tab w:val="left" w:pos="2700"/>
        </w:tabs>
      </w:pPr>
      <w:r w:rsidRPr="00B00161">
        <w:t>Adresa sídla</w:t>
      </w:r>
      <w:r w:rsidR="00076325" w:rsidRPr="00B00161">
        <w:t xml:space="preserve">:                   </w:t>
      </w:r>
      <w:r w:rsidR="001D74EE" w:rsidRPr="00B00161">
        <w:t xml:space="preserve"> </w:t>
      </w:r>
      <w:r w:rsidRPr="00B00161">
        <w:t xml:space="preserve">    </w:t>
      </w:r>
      <w:r w:rsidR="00A10B52">
        <w:t>Jánské náměstí 256/15, 350 02 Cheb</w:t>
      </w:r>
    </w:p>
    <w:p w:rsidR="00611FC3" w:rsidRPr="00B00161" w:rsidRDefault="00611FC3" w:rsidP="00076325">
      <w:pPr>
        <w:tabs>
          <w:tab w:val="left" w:pos="2700"/>
        </w:tabs>
      </w:pPr>
      <w:r w:rsidRPr="00B00161">
        <w:t>Identifikační číslo</w:t>
      </w:r>
      <w:r w:rsidR="0078441D">
        <w:t>:</w:t>
      </w:r>
      <w:r w:rsidR="0078441D">
        <w:tab/>
        <w:t>25249355</w:t>
      </w:r>
    </w:p>
    <w:p w:rsidR="00611FC3" w:rsidRPr="00B00161" w:rsidRDefault="00611FC3" w:rsidP="00076325">
      <w:pPr>
        <w:tabs>
          <w:tab w:val="left" w:pos="2700"/>
        </w:tabs>
      </w:pPr>
      <w:r w:rsidRPr="00B00161">
        <w:t>Právní forma:                       společnost s ručením omezeným</w:t>
      </w:r>
    </w:p>
    <w:p w:rsidR="00611FC3" w:rsidRPr="00B00161" w:rsidRDefault="00611FC3" w:rsidP="00611FC3">
      <w:pPr>
        <w:tabs>
          <w:tab w:val="left" w:pos="2700"/>
        </w:tabs>
      </w:pPr>
      <w:r w:rsidRPr="00B00161">
        <w:t>Zastoup</w:t>
      </w:r>
      <w:r w:rsidR="005B5820">
        <w:t>ená</w:t>
      </w:r>
      <w:r w:rsidR="0078441D">
        <w:t>:</w:t>
      </w:r>
      <w:r w:rsidR="0078441D">
        <w:tab/>
        <w:t xml:space="preserve">Ing. Lenka </w:t>
      </w:r>
      <w:proofErr w:type="spellStart"/>
      <w:r w:rsidR="0078441D">
        <w:t>Malkovská</w:t>
      </w:r>
      <w:proofErr w:type="spellEnd"/>
      <w:r w:rsidR="0078441D">
        <w:t>, jednatelka</w:t>
      </w:r>
    </w:p>
    <w:p w:rsidR="00076325" w:rsidRPr="00B00161" w:rsidRDefault="00611FC3" w:rsidP="00076325">
      <w:pPr>
        <w:tabs>
          <w:tab w:val="left" w:pos="2700"/>
        </w:tabs>
      </w:pPr>
      <w:r w:rsidRPr="00B00161">
        <w:t>Registrace ve veřejném rejstříku:</w:t>
      </w:r>
      <w:r w:rsidR="001D74EE" w:rsidRPr="00B00161">
        <w:t xml:space="preserve"> </w:t>
      </w:r>
      <w:r w:rsidR="00916633">
        <w:t>spisová značka C 12645</w:t>
      </w:r>
      <w:r w:rsidRPr="00B00161">
        <w:t xml:space="preserve"> vedená</w:t>
      </w:r>
      <w:r w:rsidR="00076325" w:rsidRPr="00B00161">
        <w:t xml:space="preserve"> </w:t>
      </w:r>
      <w:r w:rsidR="00963D9C" w:rsidRPr="00B00161">
        <w:t>u Krajského soudu</w:t>
      </w:r>
      <w:r w:rsidRPr="00B00161">
        <w:t xml:space="preserve"> v Plzni</w:t>
      </w:r>
    </w:p>
    <w:p w:rsidR="00076325" w:rsidRPr="00B00161" w:rsidRDefault="00611FC3" w:rsidP="00076325">
      <w:pPr>
        <w:tabs>
          <w:tab w:val="left" w:pos="2700"/>
        </w:tabs>
      </w:pPr>
      <w:r w:rsidRPr="00B00161">
        <w:t>B</w:t>
      </w:r>
      <w:r w:rsidR="001D74EE" w:rsidRPr="00B00161">
        <w:t>a</w:t>
      </w:r>
      <w:r w:rsidR="00C74B59" w:rsidRPr="00B00161">
        <w:t>nkovní spojen</w:t>
      </w:r>
      <w:r w:rsidR="00EF48B0">
        <w:t>í:</w:t>
      </w:r>
      <w:r w:rsidR="00EF48B0">
        <w:tab/>
        <w:t>XXXX</w:t>
      </w:r>
    </w:p>
    <w:p w:rsidR="00076325" w:rsidRPr="00B00161" w:rsidRDefault="00EF48B0" w:rsidP="00076325">
      <w:pPr>
        <w:tabs>
          <w:tab w:val="left" w:pos="2700"/>
        </w:tabs>
      </w:pPr>
      <w:r>
        <w:t>číslo účtu:</w:t>
      </w:r>
      <w:r>
        <w:tab/>
        <w:t>XXXX</w:t>
      </w:r>
    </w:p>
    <w:p w:rsidR="00611FC3" w:rsidRPr="00B00161" w:rsidRDefault="00611FC3" w:rsidP="00963D9C">
      <w:pPr>
        <w:tabs>
          <w:tab w:val="left" w:pos="2700"/>
        </w:tabs>
      </w:pPr>
      <w:r w:rsidRPr="00B00161">
        <w:t>Datová schránka:</w:t>
      </w:r>
      <w:r w:rsidR="00EF48B0">
        <w:t xml:space="preserve">                 XXXX</w:t>
      </w:r>
    </w:p>
    <w:p w:rsidR="00611FC3" w:rsidRPr="00B00161" w:rsidRDefault="00611FC3" w:rsidP="00076325">
      <w:pPr>
        <w:tabs>
          <w:tab w:val="left" w:pos="2700"/>
        </w:tabs>
      </w:pPr>
      <w:r w:rsidRPr="00B00161">
        <w:t>E-mail:</w:t>
      </w:r>
      <w:r w:rsidR="006D7853" w:rsidRPr="00B00161">
        <w:t xml:space="preserve">                      </w:t>
      </w:r>
      <w:r w:rsidR="00EF48B0">
        <w:t xml:space="preserve">           XXXX</w:t>
      </w:r>
    </w:p>
    <w:p w:rsidR="00611FC3" w:rsidRPr="00B00161" w:rsidRDefault="00611FC3" w:rsidP="00076325">
      <w:pPr>
        <w:tabs>
          <w:tab w:val="left" w:pos="2700"/>
        </w:tabs>
      </w:pPr>
      <w:r w:rsidRPr="00B00161">
        <w:t>Není plátce DPH.</w:t>
      </w:r>
    </w:p>
    <w:p w:rsidR="00076325" w:rsidRDefault="00076325" w:rsidP="00076325">
      <w:pPr>
        <w:tabs>
          <w:tab w:val="left" w:pos="2700"/>
        </w:tabs>
      </w:pPr>
      <w:r>
        <w:t>(dále jen „právnická osoba“)</w:t>
      </w:r>
    </w:p>
    <w:p w:rsidR="00076325" w:rsidRDefault="00076325" w:rsidP="00076325">
      <w:pPr>
        <w:tabs>
          <w:tab w:val="left" w:pos="2700"/>
        </w:tabs>
      </w:pPr>
      <w:r>
        <w:t>(společně dále jen „smluvní strany“)</w:t>
      </w:r>
    </w:p>
    <w:p w:rsidR="00076325" w:rsidRDefault="00076325" w:rsidP="00076325">
      <w:pPr>
        <w:tabs>
          <w:tab w:val="left" w:pos="2700"/>
        </w:tabs>
      </w:pPr>
    </w:p>
    <w:p w:rsidR="00076325" w:rsidRDefault="00076325" w:rsidP="00076325">
      <w:pPr>
        <w:tabs>
          <w:tab w:val="left" w:pos="2700"/>
        </w:tabs>
        <w:jc w:val="both"/>
      </w:pPr>
      <w:r>
        <w:t>uzavírají v souladu s ustanovením § 162 zákona č. 561/2004 Sb., o předškolním, základním, středním, vyšším odborném a jiném vzdělávání (školský zákon), ve znění pozdějších předpisů, se zákonem č. 306/1999 Sb., o poskytování dotací soukromým školám, předškolním a školským zařízením, ve znění pozdějších předpisů (dále jen „zákon č. 306/1999 Sb.“), a ustanoveními § 159 a násl. zákona č. 500/2004 Sb., správní řád, ve znění pozdějších předpisů, tuto</w:t>
      </w:r>
    </w:p>
    <w:p w:rsidR="00076325" w:rsidRDefault="00076325" w:rsidP="00076325">
      <w:pPr>
        <w:tabs>
          <w:tab w:val="left" w:pos="2700"/>
        </w:tabs>
        <w:jc w:val="both"/>
      </w:pPr>
    </w:p>
    <w:p w:rsidR="00076325" w:rsidRDefault="00076325" w:rsidP="00076325">
      <w:pPr>
        <w:tabs>
          <w:tab w:val="left" w:pos="2700"/>
        </w:tabs>
        <w:jc w:val="both"/>
      </w:pPr>
    </w:p>
    <w:p w:rsidR="00076325" w:rsidRDefault="00890480" w:rsidP="00076325">
      <w:pPr>
        <w:tabs>
          <w:tab w:val="left" w:pos="270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076325">
        <w:rPr>
          <w:b/>
          <w:sz w:val="28"/>
          <w:szCs w:val="28"/>
        </w:rPr>
        <w:t>eřejnoprávní smlouvu o poskytnutí dotace</w:t>
      </w:r>
    </w:p>
    <w:p w:rsidR="00076325" w:rsidRDefault="00076325" w:rsidP="00076325">
      <w:pPr>
        <w:tabs>
          <w:tab w:val="left" w:pos="2700"/>
        </w:tabs>
        <w:jc w:val="center"/>
        <w:rPr>
          <w:b/>
          <w:sz w:val="28"/>
          <w:szCs w:val="28"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  <w:color w:val="FF0000"/>
        </w:rPr>
      </w:pPr>
      <w:r>
        <w:rPr>
          <w:b/>
        </w:rPr>
        <w:t>Článek I.</w:t>
      </w:r>
    </w:p>
    <w:p w:rsidR="00076325" w:rsidRDefault="00076325" w:rsidP="00076325">
      <w:pPr>
        <w:tabs>
          <w:tab w:val="left" w:pos="2700"/>
        </w:tabs>
        <w:ind w:left="284" w:hanging="284"/>
        <w:jc w:val="center"/>
        <w:rPr>
          <w:b/>
        </w:rPr>
      </w:pPr>
    </w:p>
    <w:p w:rsidR="00076325" w:rsidRDefault="00076325" w:rsidP="00671165">
      <w:pPr>
        <w:tabs>
          <w:tab w:val="left" w:pos="142"/>
          <w:tab w:val="left" w:pos="2700"/>
        </w:tabs>
        <w:ind w:left="426" w:hanging="426"/>
        <w:jc w:val="both"/>
      </w:pPr>
      <w:r>
        <w:t xml:space="preserve">1. </w:t>
      </w:r>
      <w:r w:rsidR="00671165">
        <w:tab/>
      </w:r>
      <w:r>
        <w:t>Předmětem této smlouvy je poskytnutí dota</w:t>
      </w:r>
      <w:r w:rsidR="00AD0162">
        <w:t xml:space="preserve">ce právnické osobě podle zákona č. 306/1999 Sb., </w:t>
      </w:r>
      <w:r w:rsidR="004367E6" w:rsidRPr="00671165">
        <w:rPr>
          <w:b/>
        </w:rPr>
        <w:t>pro školní rok</w:t>
      </w:r>
      <w:r w:rsidR="00734739" w:rsidRPr="00671165">
        <w:rPr>
          <w:b/>
        </w:rPr>
        <w:t xml:space="preserve"> 2019/2020</w:t>
      </w:r>
      <w:r w:rsidRPr="00671165">
        <w:t xml:space="preserve"> </w:t>
      </w:r>
      <w:r>
        <w:t>(dále jen „dotace“).</w:t>
      </w:r>
    </w:p>
    <w:p w:rsidR="00076325" w:rsidRDefault="00076325" w:rsidP="00AD0162">
      <w:pPr>
        <w:tabs>
          <w:tab w:val="left" w:pos="142"/>
          <w:tab w:val="left" w:pos="2700"/>
        </w:tabs>
        <w:ind w:left="426" w:hanging="426"/>
        <w:jc w:val="both"/>
      </w:pPr>
    </w:p>
    <w:p w:rsidR="00076325" w:rsidRDefault="00076325" w:rsidP="00076325">
      <w:pPr>
        <w:tabs>
          <w:tab w:val="left" w:pos="142"/>
          <w:tab w:val="left" w:pos="2700"/>
        </w:tabs>
        <w:ind w:left="426" w:hanging="426"/>
        <w:jc w:val="both"/>
      </w:pPr>
      <w:r>
        <w:t>2.</w:t>
      </w:r>
      <w:r>
        <w:tab/>
        <w:t xml:space="preserve">Právnická osoba je povinna dotaci použít pouze na činnost uvedenou v § 1 odst. 2 zákona č. 306/1999 Sb., tedy k financování neinvestičních výdajů souvisejících s výchovou a vzděláváním ve školách a se službami a vzděláváním, které doplňují nebo podporují vzdělávání ve školách nebo s ním přímo souvisí, nebo zajišťováním ústavní a ochranné </w:t>
      </w:r>
      <w:r>
        <w:lastRenderedPageBreak/>
        <w:t>výchovy nebo preventivně výchovné péče ve školských zařízeních (dále jen „školské služby“) a s běžným provozem školy a školského zařízení s výjimkou nájemného v</w:t>
      </w:r>
      <w:r w:rsidR="00A0488D">
        <w:t> </w:t>
      </w:r>
      <w:r>
        <w:t>rámci</w:t>
      </w:r>
      <w:r w:rsidR="00A0488D">
        <w:t xml:space="preserve"> </w:t>
      </w:r>
      <w:r>
        <w:t xml:space="preserve">smlouvy o koupi najaté věci uzavřené po 1. lednu 1997 a reklamy, a u právnických osob, které poskytují vzdělání a školské služby pro děti, žáky a studenty s mentálním, tělesným, zrakovým nebo sluchovým postižením, závažnými vadami řeči, závažnými vývojovými poruchami učení, závažnými vývojovými poruchami chování, souběžným postižením více vadami nebo autismem, i s rehabilitací.   </w:t>
      </w:r>
    </w:p>
    <w:p w:rsidR="00076325" w:rsidRDefault="00076325" w:rsidP="00076325">
      <w:pPr>
        <w:tabs>
          <w:tab w:val="left" w:pos="142"/>
          <w:tab w:val="left" w:pos="2700"/>
        </w:tabs>
        <w:jc w:val="both"/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II.</w:t>
      </w:r>
    </w:p>
    <w:p w:rsidR="00076325" w:rsidRDefault="00076325" w:rsidP="00076325">
      <w:pPr>
        <w:tabs>
          <w:tab w:val="left" w:pos="2700"/>
        </w:tabs>
        <w:jc w:val="center"/>
        <w:rPr>
          <w:b/>
        </w:rPr>
      </w:pPr>
    </w:p>
    <w:p w:rsidR="00076325" w:rsidRDefault="00076325" w:rsidP="00076325">
      <w:pPr>
        <w:tabs>
          <w:tab w:val="left" w:pos="2700"/>
        </w:tabs>
        <w:jc w:val="both"/>
      </w:pPr>
      <w:r>
        <w:t>Smluvní strany konstatují, že podmínky zákona č. 306/1999 Sb. pro poskytnutí dotace právnické osobě byly splněny, neboť právnická osoba předložila v termínu stanoveném v ustanovení § 2 odst. 1 zákona č. 306/1999 Sb. krajskému úřadu žádost o poskytnutí dotace, která odpovídá požadavkům stanoveným v ustanovení § 2 odst. 2 zákona č. 306/1999 Sb. a zároveň ze strany právnické osoby došlo ke splnění požadavků uvedených v ustanovení § 3 odst. 2 zákona č. 306/1999 Sb.</w:t>
      </w: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III.</w:t>
      </w:r>
    </w:p>
    <w:p w:rsidR="00076325" w:rsidRDefault="00076325" w:rsidP="00076325">
      <w:pPr>
        <w:tabs>
          <w:tab w:val="left" w:pos="2700"/>
        </w:tabs>
        <w:jc w:val="both"/>
        <w:rPr>
          <w:b/>
        </w:rPr>
      </w:pP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>1.</w:t>
      </w:r>
      <w:r>
        <w:tab/>
        <w:t>Roční výše dotace se stanoví v souladu s ustanovením § 4 zákona č. 306/1999 Sb.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076325" w:rsidRDefault="00076325" w:rsidP="00153FEF">
      <w:pPr>
        <w:tabs>
          <w:tab w:val="left" w:pos="2700"/>
        </w:tabs>
        <w:ind w:left="426" w:hanging="426"/>
        <w:jc w:val="both"/>
      </w:pPr>
      <w:r>
        <w:t xml:space="preserve">2. </w:t>
      </w:r>
      <w:r>
        <w:tab/>
        <w:t>Normativy na příslušný k</w:t>
      </w:r>
      <w:r w:rsidR="00153FEF">
        <w:t xml:space="preserve">alendářní rok stanoví v souladu s </w:t>
      </w:r>
      <w:r>
        <w:t xml:space="preserve">ustanovením § 4 odst. </w:t>
      </w:r>
      <w:r w:rsidR="00153FEF">
        <w:t xml:space="preserve">4 zákona č. 306/1999 Sb. Ministerstvo </w:t>
      </w:r>
      <w:r>
        <w:t>školství, mláde</w:t>
      </w:r>
      <w:r w:rsidR="00153FEF">
        <w:t xml:space="preserve">že a </w:t>
      </w:r>
      <w:r>
        <w:t>tělovýchovy (dále jen „MŠMT“) nejpozději do 31. ledna a zveřejní je ve Věstníku ministerstva.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</w:p>
    <w:p w:rsidR="004367E6" w:rsidRDefault="00076325" w:rsidP="00076325">
      <w:pPr>
        <w:tabs>
          <w:tab w:val="left" w:pos="2700"/>
        </w:tabs>
        <w:ind w:left="426" w:hanging="426"/>
        <w:jc w:val="both"/>
      </w:pPr>
      <w:r>
        <w:t xml:space="preserve">3. </w:t>
      </w:r>
      <w:r>
        <w:tab/>
        <w:t xml:space="preserve">Dotace se podle § 6 odst. 2 zákona č. 306/1999 Sb. poskytuje podle skutečného počtu dětí, žáků nebo studentů ve škole nebo školském zařízení, v jednotlivých oborech a formách vzdělávání, lůžek, stravovaných nebo jiných jednotek stanovených zvláštním právním předpisem, uvedeného ve školních matrikách pro příslušný školní rok, nejvýše však </w:t>
      </w:r>
      <w:r w:rsidR="00FD6000">
        <w:t xml:space="preserve">            </w:t>
      </w:r>
      <w:r>
        <w:t>do výše povoleného počtu dětí, žáků nebo studentů ve škole nebo školském zařízení, v jednotlivých oborech a formách vzdělávání, lůžek, stravovaných nebo jiných jednotek stanovených zvláštním právním předpisem, u</w:t>
      </w:r>
      <w:r w:rsidR="00860573">
        <w:t xml:space="preserve">vedeného ve školském rejstříku. </w:t>
      </w:r>
      <w:r w:rsidR="00FD6000">
        <w:t xml:space="preserve">                       </w:t>
      </w:r>
      <w:r>
        <w:t>Do skutečného počtu podle věty první se započítávají i cizinci, kterým se podle zvláštního právního předpisu poskytuje vzdělávání nebo školské služby za stejných podmínek jako státním občanům České republiky. U žáků a studentů závěrečných ročníků se dotace poskytuje až do konce školního roku bez ohledu na to, že maturitní nebo závěrečná zkouška byla konána již v květnu nebo červnu.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   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</w:pPr>
      <w:r>
        <w:t xml:space="preserve">4. </w:t>
      </w:r>
      <w:r>
        <w:tab/>
        <w:t>Na základě splnění podmínek uvedených v článku II. této smlouvy krajský úřad právnické osobě stanoví v souladu s ustanoveními § 4 odst. 1, 2 a 5 zákona č. 306/1999 Sb. činnosti, na které se dotace poskytuje, jejich rozsah, počet dětí</w:t>
      </w:r>
      <w:r w:rsidR="00E35072">
        <w:t>,</w:t>
      </w:r>
      <w:r>
        <w:t xml:space="preserve"> žáků nebo studentů ve školním roce, na který se dotace poskytuje, a výše dotace stanovená procentním podílem, </w:t>
      </w:r>
      <w:r w:rsidR="00FD6000">
        <w:t xml:space="preserve">                                 </w:t>
      </w:r>
      <w:r>
        <w:t>a to následujícím způsobem:</w:t>
      </w:r>
    </w:p>
    <w:p w:rsidR="00076325" w:rsidRDefault="00076325" w:rsidP="00076325">
      <w:pPr>
        <w:tabs>
          <w:tab w:val="left" w:pos="2700"/>
        </w:tabs>
        <w:ind w:left="426" w:hanging="426"/>
        <w:jc w:val="both"/>
        <w:rPr>
          <w:i/>
          <w:color w:val="002060"/>
        </w:rPr>
      </w:pPr>
    </w:p>
    <w:p w:rsidR="00A20105" w:rsidRPr="005165BA" w:rsidRDefault="00410DB7" w:rsidP="00A20105">
      <w:pPr>
        <w:tabs>
          <w:tab w:val="left" w:pos="2700"/>
        </w:tabs>
        <w:ind w:left="426" w:hanging="426"/>
        <w:jc w:val="both"/>
      </w:pPr>
      <w:r>
        <w:t xml:space="preserve">                  </w:t>
      </w:r>
      <w:r w:rsidR="00BB2A08">
        <w:t xml:space="preserve">                             </w:t>
      </w:r>
      <w:r>
        <w:t xml:space="preserve"> </w:t>
      </w:r>
      <w:r w:rsidR="00A20105" w:rsidRPr="005165BA">
        <w:t>Činnost výchovně vzdělávací</w:t>
      </w:r>
    </w:p>
    <w:tbl>
      <w:tblPr>
        <w:tblW w:w="86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263"/>
        <w:gridCol w:w="2064"/>
        <w:gridCol w:w="1536"/>
        <w:gridCol w:w="1363"/>
      </w:tblGrid>
      <w:tr w:rsidR="00A20105" w:rsidTr="00034F16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05" w:rsidRDefault="000F25D9" w:rsidP="004B0CA8">
            <w:pPr>
              <w:tabs>
                <w:tab w:val="left" w:pos="2700"/>
              </w:tabs>
            </w:pPr>
            <w:r>
              <w:t>K</w:t>
            </w:r>
            <w:r w:rsidR="00A20105">
              <w:t>ód oboru vzdělání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05" w:rsidRDefault="000F25D9" w:rsidP="004B0CA8">
            <w:pPr>
              <w:tabs>
                <w:tab w:val="left" w:pos="2700"/>
              </w:tabs>
            </w:pPr>
            <w:r>
              <w:t>D</w:t>
            </w:r>
            <w:r w:rsidR="00A20105">
              <w:t>ruh/typ školy, školského zařízení</w:t>
            </w:r>
            <w:r w:rsidR="00424B92">
              <w:t>/</w:t>
            </w:r>
            <w:r w:rsidR="00034F16">
              <w:t xml:space="preserve">název </w:t>
            </w:r>
            <w:r w:rsidR="00424B92">
              <w:t>obor</w:t>
            </w:r>
            <w:r w:rsidR="00034F16">
              <w:t>u</w:t>
            </w:r>
            <w:r w:rsidR="00424B92">
              <w:t xml:space="preserve"> vzdělání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05" w:rsidRDefault="000F25D9" w:rsidP="004B0CA8">
            <w:pPr>
              <w:tabs>
                <w:tab w:val="left" w:pos="2700"/>
              </w:tabs>
            </w:pPr>
            <w:r>
              <w:t>F</w:t>
            </w:r>
            <w:r w:rsidR="00A20105">
              <w:t>orma vzdělávání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05" w:rsidRDefault="000F25D9" w:rsidP="004B0CA8">
            <w:pPr>
              <w:tabs>
                <w:tab w:val="left" w:pos="2700"/>
              </w:tabs>
            </w:pPr>
            <w:r>
              <w:t>P</w:t>
            </w:r>
            <w:r w:rsidR="00A20105">
              <w:t>řepokládaný počet žáků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05" w:rsidRDefault="000F25D9" w:rsidP="004B0CA8">
            <w:pPr>
              <w:tabs>
                <w:tab w:val="left" w:pos="2700"/>
              </w:tabs>
            </w:pPr>
            <w:r>
              <w:t>V</w:t>
            </w:r>
            <w:r w:rsidR="00A20105">
              <w:t>ýše procentního podílu</w:t>
            </w:r>
          </w:p>
        </w:tc>
      </w:tr>
      <w:tr w:rsidR="00A20105" w:rsidTr="004B0CA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105" w:rsidRDefault="00A20105" w:rsidP="004B0CA8">
            <w:pPr>
              <w:tabs>
                <w:tab w:val="left" w:pos="2700"/>
              </w:tabs>
            </w:pPr>
            <w:r>
              <w:t>79-01-C/01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105" w:rsidRDefault="00A20105" w:rsidP="004B0CA8">
            <w:pPr>
              <w:tabs>
                <w:tab w:val="left" w:pos="2700"/>
              </w:tabs>
            </w:pPr>
            <w:r>
              <w:t>Základní škola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105" w:rsidRDefault="00A20105" w:rsidP="004B0CA8">
            <w:pPr>
              <w:tabs>
                <w:tab w:val="left" w:pos="2700"/>
              </w:tabs>
            </w:pPr>
            <w:r>
              <w:t>denní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105" w:rsidRDefault="000C04D4" w:rsidP="004B0CA8">
            <w:pPr>
              <w:tabs>
                <w:tab w:val="left" w:pos="2700"/>
              </w:tabs>
              <w:jc w:val="center"/>
            </w:pPr>
            <w:r>
              <w:t>145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105" w:rsidRDefault="00A20105" w:rsidP="004B0CA8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A20105" w:rsidTr="004B0CA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105" w:rsidRDefault="00A20105" w:rsidP="004B0CA8">
            <w:pPr>
              <w:tabs>
                <w:tab w:val="left" w:pos="2700"/>
              </w:tabs>
            </w:pPr>
            <w:r>
              <w:lastRenderedPageBreak/>
              <w:t>79-41-K/81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105" w:rsidRDefault="00A20105" w:rsidP="004B0CA8">
            <w:pPr>
              <w:tabs>
                <w:tab w:val="left" w:pos="2700"/>
              </w:tabs>
            </w:pPr>
            <w:r>
              <w:t>Gymnázium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105" w:rsidRDefault="00A20105" w:rsidP="004B0CA8">
            <w:pPr>
              <w:tabs>
                <w:tab w:val="left" w:pos="2700"/>
              </w:tabs>
            </w:pPr>
            <w:r>
              <w:t xml:space="preserve">denní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105" w:rsidRDefault="000C04D4" w:rsidP="004B0CA8">
            <w:pPr>
              <w:tabs>
                <w:tab w:val="left" w:pos="2700"/>
              </w:tabs>
              <w:jc w:val="center"/>
            </w:pPr>
            <w:r>
              <w:t>14</w:t>
            </w:r>
            <w:r w:rsidR="00A20105"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105" w:rsidRDefault="00A20105" w:rsidP="004B0CA8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  <w:tr w:rsidR="00A20105" w:rsidTr="004B0CA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105" w:rsidRDefault="00A20105" w:rsidP="004B0CA8">
            <w:pPr>
              <w:tabs>
                <w:tab w:val="left" w:pos="2700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105" w:rsidRDefault="00A20105" w:rsidP="004B0CA8">
            <w:pPr>
              <w:tabs>
                <w:tab w:val="left" w:pos="2700"/>
              </w:tabs>
            </w:pPr>
            <w:r>
              <w:t>Školní družina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105" w:rsidRDefault="00A20105" w:rsidP="004B0CA8">
            <w:pPr>
              <w:tabs>
                <w:tab w:val="left" w:pos="2700"/>
              </w:tabs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105" w:rsidRDefault="00A20105" w:rsidP="004B0CA8">
            <w:pPr>
              <w:tabs>
                <w:tab w:val="left" w:pos="2700"/>
              </w:tabs>
              <w:jc w:val="center"/>
            </w:pPr>
            <w: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105" w:rsidRDefault="00A20105" w:rsidP="004B0CA8">
            <w:pPr>
              <w:tabs>
                <w:tab w:val="left" w:pos="2700"/>
              </w:tabs>
              <w:jc w:val="center"/>
            </w:pPr>
            <w:r>
              <w:t>60%</w:t>
            </w:r>
          </w:p>
        </w:tc>
      </w:tr>
    </w:tbl>
    <w:p w:rsidR="00A20105" w:rsidRDefault="00A20105" w:rsidP="00A20105">
      <w:pPr>
        <w:tabs>
          <w:tab w:val="left" w:pos="2700"/>
        </w:tabs>
        <w:jc w:val="both"/>
      </w:pPr>
    </w:p>
    <w:p w:rsidR="00424B92" w:rsidRDefault="00424B92" w:rsidP="00A20105">
      <w:pPr>
        <w:tabs>
          <w:tab w:val="left" w:pos="2700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5"/>
        <w:gridCol w:w="1125"/>
      </w:tblGrid>
      <w:tr w:rsidR="00A20105" w:rsidTr="004B0CA8"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05" w:rsidRDefault="00A20105" w:rsidP="004B0CA8">
            <w:pPr>
              <w:tabs>
                <w:tab w:val="left" w:pos="2700"/>
              </w:tabs>
              <w:jc w:val="both"/>
            </w:pPr>
            <w:r>
              <w:t>Kapacita dle údajů uvedených v Rejstříku škol a školských zařízení:</w:t>
            </w:r>
          </w:p>
        </w:tc>
      </w:tr>
      <w:tr w:rsidR="00A20105" w:rsidTr="004B0CA8">
        <w:trPr>
          <w:trHeight w:val="425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05" w:rsidRDefault="00A20105" w:rsidP="004B0CA8">
            <w:pPr>
              <w:tabs>
                <w:tab w:val="left" w:pos="2700"/>
              </w:tabs>
              <w:jc w:val="both"/>
            </w:pPr>
            <w:r>
              <w:t>Základní škola</w:t>
            </w:r>
          </w:p>
          <w:p w:rsidR="00A20105" w:rsidRDefault="00A20105" w:rsidP="004B0CA8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:rsidR="00A20105" w:rsidRDefault="00A20105" w:rsidP="004B0CA8">
            <w:pPr>
              <w:tabs>
                <w:tab w:val="left" w:pos="2700"/>
              </w:tabs>
              <w:jc w:val="both"/>
            </w:pPr>
            <w:r>
              <w:t>79-01-C/01 Základní škola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105" w:rsidRDefault="00A20105" w:rsidP="004B0CA8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A20105" w:rsidRDefault="00A20105" w:rsidP="004B0CA8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:rsidR="00A20105" w:rsidRPr="004F0A96" w:rsidRDefault="00A20105" w:rsidP="004B0CA8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A20105" w:rsidTr="00ED0C35">
        <w:trPr>
          <w:trHeight w:val="869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05" w:rsidRDefault="00A20105" w:rsidP="004B0CA8">
            <w:pPr>
              <w:tabs>
                <w:tab w:val="left" w:pos="2700"/>
              </w:tabs>
              <w:jc w:val="both"/>
            </w:pPr>
            <w:r>
              <w:t>Střední škola</w:t>
            </w:r>
          </w:p>
          <w:p w:rsidR="00A20105" w:rsidRDefault="00A20105" w:rsidP="004B0CA8">
            <w:pPr>
              <w:tabs>
                <w:tab w:val="left" w:pos="2700"/>
              </w:tabs>
              <w:jc w:val="both"/>
            </w:pPr>
            <w:r>
              <w:t>nejvyšší povolený počet žáků ve škole</w:t>
            </w:r>
          </w:p>
          <w:p w:rsidR="00A20105" w:rsidRDefault="00A20105" w:rsidP="004B0CA8">
            <w:pPr>
              <w:tabs>
                <w:tab w:val="left" w:pos="2700"/>
              </w:tabs>
              <w:jc w:val="both"/>
            </w:pPr>
            <w:r>
              <w:t>79-41-K/81 Gymnázium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105" w:rsidRDefault="00A20105" w:rsidP="004B0CA8">
            <w:pPr>
              <w:tabs>
                <w:tab w:val="left" w:pos="2700"/>
              </w:tabs>
              <w:jc w:val="center"/>
              <w:rPr>
                <w:b/>
              </w:rPr>
            </w:pPr>
          </w:p>
          <w:p w:rsidR="00A20105" w:rsidRDefault="00A20105" w:rsidP="004B0CA8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:rsidR="00A20105" w:rsidRDefault="00A20105" w:rsidP="004B0CA8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:rsidR="00A20105" w:rsidRDefault="00A20105" w:rsidP="004B0CA8">
            <w:pPr>
              <w:tabs>
                <w:tab w:val="left" w:pos="2700"/>
              </w:tabs>
              <w:jc w:val="center"/>
              <w:rPr>
                <w:b/>
              </w:rPr>
            </w:pPr>
          </w:p>
        </w:tc>
      </w:tr>
      <w:tr w:rsidR="00A20105" w:rsidTr="004B0CA8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05" w:rsidRDefault="00A20105" w:rsidP="004B0CA8">
            <w:pPr>
              <w:tabs>
                <w:tab w:val="left" w:pos="2700"/>
              </w:tabs>
              <w:jc w:val="both"/>
            </w:pPr>
            <w:r>
              <w:t xml:space="preserve">Školní družina </w:t>
            </w:r>
          </w:p>
          <w:p w:rsidR="00A20105" w:rsidRDefault="00A20105" w:rsidP="004B0CA8">
            <w:pPr>
              <w:tabs>
                <w:tab w:val="left" w:pos="2700"/>
              </w:tabs>
              <w:jc w:val="both"/>
            </w:pPr>
            <w:r>
              <w:t>nejvyšší povolený počet žáků ve školském zařízení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0105" w:rsidRDefault="00A20105" w:rsidP="004B0CA8">
            <w:pPr>
              <w:tabs>
                <w:tab w:val="left" w:pos="2700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A20105" w:rsidRDefault="00A20105" w:rsidP="00A20105">
      <w:pPr>
        <w:tabs>
          <w:tab w:val="left" w:pos="2700"/>
        </w:tabs>
        <w:jc w:val="both"/>
      </w:pPr>
    </w:p>
    <w:p w:rsidR="00A20105" w:rsidRDefault="00410DB7" w:rsidP="00410DB7">
      <w:pPr>
        <w:tabs>
          <w:tab w:val="left" w:pos="2700"/>
        </w:tabs>
        <w:ind w:left="426" w:hanging="426"/>
        <w:jc w:val="both"/>
      </w:pPr>
      <w:r>
        <w:t xml:space="preserve">                          </w:t>
      </w:r>
    </w:p>
    <w:p w:rsidR="00076325" w:rsidRDefault="00076325" w:rsidP="00076325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IV.</w:t>
      </w:r>
    </w:p>
    <w:p w:rsidR="00076325" w:rsidRDefault="00076325" w:rsidP="00076325">
      <w:pPr>
        <w:tabs>
          <w:tab w:val="left" w:pos="2700"/>
        </w:tabs>
        <w:jc w:val="center"/>
        <w:rPr>
          <w:b/>
        </w:rPr>
      </w:pPr>
    </w:p>
    <w:p w:rsidR="00076325" w:rsidRDefault="00076325" w:rsidP="00024C1A">
      <w:pPr>
        <w:tabs>
          <w:tab w:val="left" w:pos="2700"/>
        </w:tabs>
        <w:ind w:left="426" w:hanging="426"/>
        <w:jc w:val="both"/>
      </w:pPr>
      <w:r>
        <w:t>1. </w:t>
      </w:r>
      <w:r>
        <w:tab/>
        <w:t>Krajský úřad může výši dotace v průběhu školního</w:t>
      </w:r>
      <w:r>
        <w:rPr>
          <w:color w:val="FF0000"/>
        </w:rPr>
        <w:t xml:space="preserve"> </w:t>
      </w:r>
      <w:r>
        <w:t>roku, na který je pos</w:t>
      </w:r>
      <w:r w:rsidR="00F077E4">
        <w:t xml:space="preserve">kytována, snížit, poskytnout na </w:t>
      </w:r>
      <w:r>
        <w:t xml:space="preserve">kratší období než na </w:t>
      </w:r>
      <w:r w:rsidR="00F077E4">
        <w:t xml:space="preserve">období uvedené v </w:t>
      </w:r>
      <w:r>
        <w:t xml:space="preserve">čl. I. této smlouvy nebo zvýšit, </w:t>
      </w:r>
      <w:r w:rsidR="00024C1A">
        <w:t xml:space="preserve">             a to </w:t>
      </w:r>
      <w:r w:rsidR="00F077E4">
        <w:t xml:space="preserve">v souladu s regulačními opatřeními k </w:t>
      </w:r>
      <w:r>
        <w:t>čerpání výdajů státního rozpočtu, o nichž rozho</w:t>
      </w:r>
      <w:r w:rsidR="00F077E4">
        <w:t xml:space="preserve">dla </w:t>
      </w:r>
      <w:r w:rsidR="00024C1A">
        <w:t>vláda, nebo ministr financí.</w:t>
      </w:r>
      <w:r w:rsidR="00024C1A" w:rsidRPr="00024C1A">
        <w:t xml:space="preserve"> </w:t>
      </w:r>
      <w:r w:rsidR="00024C1A">
        <w:t>Krajský úřad může výši dotace v průběhu školního</w:t>
      </w:r>
      <w:r w:rsidR="00024C1A">
        <w:rPr>
          <w:color w:val="FF0000"/>
        </w:rPr>
        <w:t xml:space="preserve"> </w:t>
      </w:r>
      <w:r w:rsidR="00024C1A">
        <w:t>roku, n</w:t>
      </w:r>
      <w:r w:rsidR="00F14E33">
        <w:t xml:space="preserve">a který je poskytována, snížit nebo </w:t>
      </w:r>
      <w:r w:rsidR="00F077E4">
        <w:t xml:space="preserve">poskytnout na </w:t>
      </w:r>
      <w:r w:rsidR="00024C1A">
        <w:t xml:space="preserve">kratší období než na </w:t>
      </w:r>
      <w:r w:rsidR="00F14E33">
        <w:t xml:space="preserve">období uvedené v </w:t>
      </w:r>
      <w:r w:rsidR="00024C1A">
        <w:t>čl. I. této smlouvy, a to</w:t>
      </w:r>
      <w:r w:rsidR="00F14E33">
        <w:t xml:space="preserve"> v</w:t>
      </w:r>
      <w:r w:rsidR="00E80FF5">
        <w:t xml:space="preserve"> </w:t>
      </w:r>
      <w:r w:rsidR="00F14E33">
        <w:t xml:space="preserve">případě, že </w:t>
      </w:r>
      <w:r>
        <w:t>právnická</w:t>
      </w:r>
      <w:r w:rsidR="00F14E33">
        <w:t xml:space="preserve"> os</w:t>
      </w:r>
      <w:r w:rsidR="00F077E4">
        <w:t xml:space="preserve">oba nepředloží krajskému úřadu vyúčtování </w:t>
      </w:r>
      <w:r>
        <w:t>poskytnuté dotace podle skutečnosti kalendářního roku postupem stanoveným Ministerstvem financí pro  zúčtování vztahů se státním rozpočtem.</w:t>
      </w:r>
    </w:p>
    <w:p w:rsidR="00076325" w:rsidRDefault="00076325" w:rsidP="00076325">
      <w:pPr>
        <w:tabs>
          <w:tab w:val="left" w:pos="2700"/>
        </w:tabs>
        <w:ind w:left="426" w:hanging="567"/>
        <w:jc w:val="both"/>
      </w:pPr>
    </w:p>
    <w:p w:rsidR="00076325" w:rsidRDefault="002E746F" w:rsidP="00076325">
      <w:pPr>
        <w:tabs>
          <w:tab w:val="left" w:pos="2700"/>
        </w:tabs>
        <w:ind w:left="426" w:hanging="426"/>
        <w:jc w:val="both"/>
        <w:rPr>
          <w:color w:val="FF0000"/>
        </w:rPr>
      </w:pPr>
      <w:r>
        <w:t>2</w:t>
      </w:r>
      <w:r w:rsidR="00076325">
        <w:t>. </w:t>
      </w:r>
      <w:r w:rsidR="00076325">
        <w:tab/>
        <w:t xml:space="preserve">Krajský úřad poskytne dotaci bezhotovostním převodem finančních prostředků </w:t>
      </w:r>
      <w:r w:rsidR="00FD6000">
        <w:t xml:space="preserve">                     </w:t>
      </w:r>
      <w:r w:rsidR="00076325">
        <w:t>na bankovní účet právnické osoby uvedený v záhlaví této smlouvy.</w:t>
      </w:r>
      <w:r w:rsidR="00076325">
        <w:rPr>
          <w:color w:val="FF0000"/>
        </w:rPr>
        <w:t xml:space="preserve"> </w:t>
      </w:r>
      <w:r w:rsidR="00076325">
        <w:t xml:space="preserve">Dotace se poskytne </w:t>
      </w:r>
      <w:r w:rsidR="00FD6000">
        <w:t xml:space="preserve">    </w:t>
      </w:r>
      <w:r w:rsidR="00076325">
        <w:t>na školní rok zálohově na jednotlivá čtvrtletí kalendářního roku nejpozději poslední den prvního měsíce prvního, druhého a třetího čtvrtletí a patnáctý den</w:t>
      </w:r>
      <w:r w:rsidR="006D61D1">
        <w:t xml:space="preserve"> druhého měsíce čtvrtého </w:t>
      </w:r>
      <w:r w:rsidR="00076325">
        <w:t>čtvrtletí.</w:t>
      </w:r>
    </w:p>
    <w:p w:rsidR="00076325" w:rsidRDefault="00076325" w:rsidP="00076325">
      <w:pPr>
        <w:tabs>
          <w:tab w:val="left" w:pos="2700"/>
        </w:tabs>
        <w:ind w:left="426" w:hanging="426"/>
      </w:pPr>
    </w:p>
    <w:p w:rsidR="00076325" w:rsidRDefault="002E746F" w:rsidP="00076325">
      <w:pPr>
        <w:tabs>
          <w:tab w:val="left" w:pos="2880"/>
        </w:tabs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 xml:space="preserve">Pokud dojde v průběhu školního roku ke změně počtu dětí, žáků nebo studentů ve škole nebo školském zařízení, v jednotlivých oborech a formách vzdělávání, lůžek, stravovaných nebo jiných jednotek stanovených zvláštním právním předpisem ve srovnání s počtem, </w:t>
      </w:r>
      <w:r w:rsidR="001B6A4A">
        <w:t xml:space="preserve">     </w:t>
      </w:r>
      <w:r w:rsidR="00076325">
        <w:t>na který se poskytuje dotace, právnická osoba neprodleně tuto skutečnost písemně oznámí a zároveň ji hodnověrně prokáže krajskému úřadu. Výše dotace se upraví od počátku čtvrtlet</w:t>
      </w:r>
      <w:r w:rsidR="00112350">
        <w:t xml:space="preserve">í následujícího po </w:t>
      </w:r>
      <w:r w:rsidR="00D00C8B">
        <w:t xml:space="preserve">změně, kdy </w:t>
      </w:r>
      <w:r w:rsidR="00076325">
        <w:t>došlo k p</w:t>
      </w:r>
      <w:r w:rsidR="00112350">
        <w:t xml:space="preserve">řeplatku či nedoplatku, a tento </w:t>
      </w:r>
      <w:r w:rsidR="00076325">
        <w:t>je vyúčtován podle ustanovení § 6 odst. 7 zákona č. 306/1999 Sb.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  <w:r>
        <w:rPr>
          <w:b/>
        </w:rPr>
        <w:t>Článek V.</w:t>
      </w:r>
    </w:p>
    <w:p w:rsidR="00076325" w:rsidRDefault="00076325" w:rsidP="00076325">
      <w:pPr>
        <w:tabs>
          <w:tab w:val="left" w:pos="2880"/>
        </w:tabs>
        <w:ind w:left="284" w:hanging="284"/>
        <w:jc w:val="both"/>
        <w:rPr>
          <w:color w:val="FF0000"/>
        </w:rPr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dotaci používat účelně, efektivně, hospodárně a v souladu s účelem specifikovaným v čl. I. této smlouvy. </w:t>
      </w:r>
    </w:p>
    <w:p w:rsidR="00076325" w:rsidRDefault="00076325" w:rsidP="00076325">
      <w:pPr>
        <w:pStyle w:val="Odstavecseseznamem"/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 xml:space="preserve">Právnická osoba je povinna dotaci použít ve lhůtě stanovené příslušným rozhodnutím MŠMT. Krajský úřad se zavazuje, že bude právnickou osobu informovat o Podmínkách použití dotace, Dalších podmínkách a Ostatních povinnostech právnické osoby, které budou vyplývat z jednotlivých rozhodnutí MŠMT o poskytnutí neinvestiční dotace </w:t>
      </w:r>
      <w:r w:rsidR="001B6A4A">
        <w:t xml:space="preserve">           </w:t>
      </w:r>
      <w:r>
        <w:t xml:space="preserve">pro příslušné čtvrtletí roku, a které je právnická osoba povinna dodržet. </w:t>
      </w:r>
    </w:p>
    <w:p w:rsidR="00076325" w:rsidRDefault="00076325" w:rsidP="009B0FC6">
      <w:pPr>
        <w:tabs>
          <w:tab w:val="left" w:pos="2880"/>
        </w:tabs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vést účetnictví podle zákona č. 563/1991 Sb., o účetnictví, </w:t>
      </w:r>
      <w:r w:rsidR="001B6A4A">
        <w:t xml:space="preserve">      </w:t>
      </w:r>
      <w:r>
        <w:t>ve znění pozdějších předpisů.</w:t>
      </w:r>
    </w:p>
    <w:p w:rsidR="00076325" w:rsidRDefault="00076325" w:rsidP="004B4FDA">
      <w:pPr>
        <w:pStyle w:val="Odstavecseseznamem"/>
        <w:tabs>
          <w:tab w:val="left" w:pos="2880"/>
        </w:tabs>
        <w:ind w:left="426" w:hanging="426"/>
        <w:jc w:val="both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vést ú</w:t>
      </w:r>
      <w:r w:rsidR="001C4D5C">
        <w:t xml:space="preserve">četnictví </w:t>
      </w:r>
      <w:r>
        <w:t>řádně a odděleně od ostatních účetních operací v </w:t>
      </w:r>
      <w:r w:rsidR="001C4D5C">
        <w:t xml:space="preserve">účetnictví </w:t>
      </w:r>
      <w:r>
        <w:t xml:space="preserve">právnické osoby. </w:t>
      </w:r>
      <w:r w:rsidR="001C4D5C">
        <w:t xml:space="preserve"> </w:t>
      </w:r>
      <w:r>
        <w:t>To znamená, že účetní operace související s do</w:t>
      </w:r>
      <w:r w:rsidR="001C4D5C">
        <w:t xml:space="preserve">tací musí být účtovány odděleně </w:t>
      </w:r>
      <w:r>
        <w:t>od ostatních aktivit příjemce (např. na zvláštním účetním středisku, oddělenou analytickou evidencí, nebo jinak průkazně).</w:t>
      </w:r>
    </w:p>
    <w:p w:rsidR="00076325" w:rsidRDefault="00076325" w:rsidP="00076325">
      <w:pPr>
        <w:pStyle w:val="Odstavecseseznamem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předloží krajskému úřadu vyúčtování poskytnuté dotace podle skutečnosti kalendářního roku postupem stanoveným Ministerstvem financí pro zúčtování vztahů </w:t>
      </w:r>
      <w:r w:rsidR="001B6A4A">
        <w:t xml:space="preserve">        </w:t>
      </w:r>
      <w:r>
        <w:t>se státním rozpočtem a v souladu se Směrnicí MŠMT o postupu vyúčtování dotací poskytnutých soukromým školám a školským zařízením, č. j. MŠMT-6309/2017.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osoba, která uplatňuje hospodářský rok podle ustanovení § 3 odst. 2 a 3 zákona č. 563/1991 Sb., o účetnictví, ve znění pozdějších předpisů (dále jen „zákon o účetnictví“), má povinnost sestavit v souladu s ustanovením § 19 odst. 3 věty čtvrté zákona o účetnictví, </w:t>
      </w:r>
      <w:proofErr w:type="spellStart"/>
      <w:r>
        <w:t>mezitimní</w:t>
      </w:r>
      <w:proofErr w:type="spellEnd"/>
      <w:r>
        <w:t xml:space="preserve"> závěrku k 31. prosinci kalendářního roku.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podle § 75 zákona č. 218/2000 Sb., o rozpočtových pravidlech  a o změně některých souvisejících zákonů (rozpočtová pravidla), ve znění pozdějších předpisů, provést finanční vypořádání přidělených prostředků v termínech stanovených krajským úřadem v souladu s vyhláškou č. 367/2015 Sb., o zásadách a lhůtách finančního vypořádání vztahů se státním rozpočtem</w:t>
      </w:r>
      <w:r w:rsidR="00AE05D8">
        <w:t>, státními finančními aktivy a N</w:t>
      </w:r>
      <w:r>
        <w:t xml:space="preserve">árodním fondem (vyhláška o finančním vypořádání).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poskytnout součinnost a vytvořit podmínky pro kontrolu   hospodaření s přidělenou dotací prováděnou krajským úřadem, Českou školní inspekcí, Ministerstvem školství, mládeže a tělovýchovy, popřípadě jiným kompetentním orgánem, zejména je povinna zpřístupnit a předložit kontrolním orgánům originály veškerých potřebných dokladů, podkladů a záznamů vztahujících se k účelu dotace a předmětu smlouvy, vstupovat do souvisejících prostor, umožnit kontrolu souvisejících skutečností, strpět i předložení veškerých účetních záznamů, které nemají přímý vztah k předmětu smlouvy (např. v případě nepřímých společných nákladů), a v odůvodněných případech umožnit kontrolním orgánům zajištění originálních účetních záznamů, včetně podkladů.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oprávněna hradit z přidělené dotace též daň z přidané hodnoty, pokud dle § 73 zákona č. 235/2004 Sb., o dani z přidané hodnoty, ve znění pozdějších předpisů, nemá nárok na odpočet této daně.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 xml:space="preserve">Právnická osoba je povinna písemně informovat krajský úřad o jakékoliv změně v údajích uvedených v této smlouvě a o všech okolnostech, které mají nebo by mohly mít vliv </w:t>
      </w:r>
      <w:r w:rsidR="001B6A4A">
        <w:t xml:space="preserve">           </w:t>
      </w:r>
      <w:r>
        <w:t xml:space="preserve">na plnění této smlouvy, a to neprodleně poté, co tato změna nastala. 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lastRenderedPageBreak/>
        <w:t>Právnická osoba je povinna oznámit krajskému úřad do 14 dnů ode dne, kdy došlo k události, skutečnosti, které mají nebo mohou mít za následek zánik, transformaci, sloučení či splynutí právnické osoby s jiným subjektem, zrušení právnické osoby s likvidací, zahájení insolvenčního řízení, zm</w:t>
      </w:r>
      <w:r w:rsidR="00CC0DC7">
        <w:t>ěnu statutárního orgánu právnické osoby</w:t>
      </w:r>
      <w:r>
        <w:t>, zm</w:t>
      </w:r>
      <w:r w:rsidR="00CC0DC7">
        <w:t>ěnu vlastnického vztahu právnické osoby</w:t>
      </w:r>
      <w:r>
        <w:t xml:space="preserve"> nebo zřizovatele k věci, na niž se dotace poskytuje, apod.</w:t>
      </w:r>
    </w:p>
    <w:p w:rsidR="00076325" w:rsidRDefault="00076325" w:rsidP="004B4FDA">
      <w:pPr>
        <w:pStyle w:val="Odstavecseseznamem"/>
        <w:ind w:left="426" w:hanging="426"/>
      </w:pPr>
    </w:p>
    <w:p w:rsidR="00076325" w:rsidRDefault="00076325" w:rsidP="004B4FDA">
      <w:pPr>
        <w:pStyle w:val="Odstavecseseznamem"/>
        <w:numPr>
          <w:ilvl w:val="0"/>
          <w:numId w:val="2"/>
        </w:numPr>
        <w:tabs>
          <w:tab w:val="left" w:pos="2880"/>
        </w:tabs>
        <w:ind w:left="426" w:hanging="426"/>
        <w:jc w:val="both"/>
      </w:pPr>
      <w:r>
        <w:t>Právnická osoba je povinna hradit náklady související s poskytnutou dotací, pouze z jejího bankovního účtu uvedeného v záhlaví této smlouvy, popř. z peněžní hotovosti převedené z tohoto bank</w:t>
      </w:r>
      <w:r w:rsidR="00252F39">
        <w:t>ovního účtu do pokladny právnické osoby</w:t>
      </w:r>
      <w:r w:rsidR="006A4FB1">
        <w:t xml:space="preserve">. </w:t>
      </w:r>
      <w:r>
        <w:t>Úhrada nákladů z jiného bankovního účtu, než z účtu právnické osoby uvede</w:t>
      </w:r>
      <w:r w:rsidR="006938E9">
        <w:t>ného v záhlaví této smlouvy, je </w:t>
      </w:r>
      <w:r>
        <w:t>přípustná pouze v případě, kdy před uskutečněním úhrady nákladů byly peněžní prostředky dotace či jejich část bezhotovostně převedeny na bankovní účet, ze kterého byla úhra</w:t>
      </w:r>
      <w:r w:rsidR="00C16DA6">
        <w:t>da nákladů uskutečněna. Právnická povinnost je povinna</w:t>
      </w:r>
      <w:r>
        <w:t xml:space="preserve"> doložit převod peněžních prostředků mezi bankovními účty.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t>Článek V</w:t>
      </w:r>
      <w:r w:rsidR="003713AD">
        <w:rPr>
          <w:b/>
        </w:rPr>
        <w:t>I</w:t>
      </w:r>
      <w:r>
        <w:rPr>
          <w:b/>
        </w:rPr>
        <w:t xml:space="preserve">.   </w:t>
      </w:r>
    </w:p>
    <w:p w:rsidR="00051C29" w:rsidRDefault="00051C29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>1.</w:t>
      </w:r>
      <w:r>
        <w:tab/>
        <w:t>Neoprávněné použití nebo zadržení peněžních prostředků dotace a související sankce upravuje zákon č. 250/2000 Sb., o rozpočtových pravidlech územních rozpočtů, ve znění pozdějších předpisů (dále jen „zákon č. 250/2000 Sb.“).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Neoprávněné použití nebo zadržení peněžních prostředků dotace se považuje za porušení rozpočtové kázně ve smyslu ustanovení § 22 zákona č. 250/2000 Sb. Právnická osoba </w:t>
      </w:r>
      <w:r w:rsidR="001B6A4A">
        <w:t xml:space="preserve">         </w:t>
      </w:r>
      <w:r>
        <w:t>je v tomto případě povinna provést odvod do rozpočtu Karlovarského kraje ve výši částky neoprávněně použitých nebo zadržených prostředků.</w:t>
      </w:r>
    </w:p>
    <w:p w:rsidR="00AE05D8" w:rsidRDefault="00AE05D8" w:rsidP="00076325">
      <w:pPr>
        <w:tabs>
          <w:tab w:val="left" w:pos="2880"/>
        </w:tabs>
        <w:ind w:left="426" w:hanging="426"/>
        <w:jc w:val="both"/>
      </w:pPr>
    </w:p>
    <w:p w:rsidR="00AE05D8" w:rsidRDefault="007705C9" w:rsidP="00AE05D8">
      <w:pPr>
        <w:tabs>
          <w:tab w:val="left" w:pos="2880"/>
        </w:tabs>
        <w:ind w:left="426" w:hanging="426"/>
        <w:jc w:val="both"/>
      </w:pPr>
      <w:r>
        <w:t xml:space="preserve">3. </w:t>
      </w:r>
      <w:r>
        <w:tab/>
        <w:t xml:space="preserve">V případě, </w:t>
      </w:r>
      <w:r w:rsidR="00AE05D8">
        <w:t xml:space="preserve">prodlení s odvodem za porušení rozpočtové kázně je právnická osoba povinna zaplatit penále ve výši 1 promile z částky odvodu za každý den prodlení, nejvýše však         do výše tohoto odvodu.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4. </w:t>
      </w:r>
      <w:r>
        <w:tab/>
        <w:t>Veškeré platby jako důsledky porušení rozpočtové kázně provede právnická osoba formou bezhotovostního převodu na účet krajského úřadu uvedený v záhlaví této smlouvy a opat</w:t>
      </w:r>
      <w:r w:rsidR="00EF48B0">
        <w:t>ří je variabilním symbolem XXXX</w:t>
      </w:r>
      <w:r w:rsidR="00A305AF">
        <w:t xml:space="preserve"> a specifickým symbolem </w:t>
      </w:r>
      <w:r w:rsidR="00EF48B0">
        <w:t>XXXX</w:t>
      </w:r>
      <w:bookmarkStart w:id="0" w:name="_GoBack"/>
      <w:bookmarkEnd w:id="0"/>
      <w:r>
        <w:t xml:space="preserve"> a písemně informuje krajský úřad o vrácení peněžních prostředků na jeho účet.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076325" w:rsidP="00076325">
      <w:pPr>
        <w:tabs>
          <w:tab w:val="left" w:pos="2880"/>
        </w:tabs>
        <w:ind w:left="284" w:hanging="284"/>
        <w:jc w:val="center"/>
        <w:rPr>
          <w:b/>
        </w:rPr>
      </w:pPr>
      <w:r>
        <w:rPr>
          <w:b/>
        </w:rPr>
        <w:t>Článek VI</w:t>
      </w:r>
      <w:r w:rsidR="003713AD">
        <w:rPr>
          <w:b/>
        </w:rPr>
        <w:t>I</w:t>
      </w:r>
      <w:r>
        <w:rPr>
          <w:b/>
        </w:rPr>
        <w:t>.</w:t>
      </w:r>
    </w:p>
    <w:p w:rsidR="00076325" w:rsidRDefault="00076325" w:rsidP="00076325">
      <w:pPr>
        <w:tabs>
          <w:tab w:val="left" w:pos="2880"/>
        </w:tabs>
        <w:ind w:hanging="284"/>
        <w:jc w:val="center"/>
        <w:rPr>
          <w:b/>
        </w:rPr>
      </w:pPr>
    </w:p>
    <w:p w:rsidR="00076325" w:rsidRDefault="00076325" w:rsidP="00076325">
      <w:pPr>
        <w:tabs>
          <w:tab w:val="left" w:pos="2880"/>
        </w:tabs>
        <w:jc w:val="both"/>
      </w:pPr>
      <w:r>
        <w:t xml:space="preserve">Krajský úřad může odstoupit od smlouvy, zjistí-li v průběhu školního roku Česká školní inspekce nebo jiný kontrolní orgán závažné nedostatky v činnosti právnické osoby a nedojde-li mezi smluvními stranami k jiné dohodě. Odstoupení od smlouvy musí být písemné s uvedením důvodu odstoupení a musí být prokazatelně doručeno druhé smluvní straně. Odmítne-li právnická osoba odstoupení od smlouvy převzít, dnem odepření převzetí </w:t>
      </w:r>
      <w:r w:rsidR="001B6A4A">
        <w:t xml:space="preserve">                     </w:t>
      </w:r>
      <w:r>
        <w:t>se odstoupení od smlouvy považuje za doručené.</w:t>
      </w:r>
      <w:r>
        <w:rPr>
          <w:color w:val="FF0000"/>
        </w:rPr>
        <w:t xml:space="preserve"> </w:t>
      </w:r>
      <w:r>
        <w:t xml:space="preserve">Odstoupením krajského úřadu od smlouvy </w:t>
      </w:r>
      <w:r w:rsidR="001B6A4A">
        <w:t xml:space="preserve">    </w:t>
      </w:r>
      <w:r>
        <w:t>se smlouva ruší ode dne následujícího po dni, kdy bylo oznámení o odstoupení od smlouvy doručeno druhé smluvní straně.</w:t>
      </w:r>
    </w:p>
    <w:p w:rsidR="00962101" w:rsidRDefault="00962101" w:rsidP="00076325">
      <w:pPr>
        <w:tabs>
          <w:tab w:val="left" w:pos="2880"/>
        </w:tabs>
        <w:jc w:val="center"/>
        <w:outlineLvl w:val="0"/>
        <w:rPr>
          <w:b/>
        </w:rPr>
      </w:pPr>
    </w:p>
    <w:p w:rsidR="00962101" w:rsidRDefault="00962101" w:rsidP="00076325">
      <w:pPr>
        <w:tabs>
          <w:tab w:val="left" w:pos="2880"/>
        </w:tabs>
        <w:jc w:val="center"/>
        <w:outlineLvl w:val="0"/>
        <w:rPr>
          <w:b/>
        </w:rPr>
      </w:pPr>
    </w:p>
    <w:p w:rsidR="00962101" w:rsidRDefault="00962101" w:rsidP="00076325">
      <w:pPr>
        <w:tabs>
          <w:tab w:val="left" w:pos="2880"/>
        </w:tabs>
        <w:jc w:val="center"/>
        <w:outlineLvl w:val="0"/>
        <w:rPr>
          <w:b/>
        </w:rPr>
      </w:pPr>
    </w:p>
    <w:p w:rsidR="00962101" w:rsidRDefault="00962101" w:rsidP="00076325">
      <w:pPr>
        <w:tabs>
          <w:tab w:val="left" w:pos="2880"/>
        </w:tabs>
        <w:jc w:val="center"/>
        <w:outlineLvl w:val="0"/>
        <w:rPr>
          <w:b/>
        </w:rPr>
      </w:pPr>
    </w:p>
    <w:p w:rsidR="00076325" w:rsidRDefault="00076325" w:rsidP="00076325">
      <w:pPr>
        <w:tabs>
          <w:tab w:val="left" w:pos="2880"/>
        </w:tabs>
        <w:jc w:val="center"/>
        <w:outlineLvl w:val="0"/>
        <w:rPr>
          <w:b/>
        </w:rPr>
      </w:pPr>
      <w:r>
        <w:rPr>
          <w:b/>
        </w:rPr>
        <w:lastRenderedPageBreak/>
        <w:t>Článek VII</w:t>
      </w:r>
      <w:r w:rsidR="003713AD">
        <w:rPr>
          <w:b/>
        </w:rPr>
        <w:t>I</w:t>
      </w:r>
      <w:r>
        <w:rPr>
          <w:b/>
        </w:rPr>
        <w:t>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Poskytnutou dotaci nebo její příslušnou část právnická osoba vrátí na účet krajského úřadu</w:t>
      </w:r>
      <w:r w:rsidRPr="00076325">
        <w:rPr>
          <w:color w:val="FF0000"/>
        </w:rPr>
        <w:t xml:space="preserve"> </w:t>
      </w:r>
      <w:r>
        <w:t>uvedený v záhlaví této smlouvy  do 15 dnů po obdržení písemné výzvy, jestliže dotace,  nebo její část: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použita v rozpočtu s účelem, na který byla poskytnuta,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získána na základě nepravdivých nebo neúplných údajů,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byla poskytnuta na období, kdy právnická osoba nebyla zapsána do rejstříku škol a školských zařízení,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došlo-li k odstoupení od smlouvy dle čl. VI</w:t>
      </w:r>
      <w:r w:rsidR="0021497B">
        <w:t>I</w:t>
      </w:r>
      <w:r>
        <w:t>. této smlouvy,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odpadne-li účel, na který byla použita,</w:t>
      </w:r>
    </w:p>
    <w:p w:rsidR="00076325" w:rsidRDefault="00076325" w:rsidP="00076325">
      <w:pPr>
        <w:numPr>
          <w:ilvl w:val="0"/>
          <w:numId w:val="1"/>
        </w:numPr>
        <w:tabs>
          <w:tab w:val="left" w:pos="-5954"/>
        </w:tabs>
        <w:jc w:val="both"/>
      </w:pPr>
      <w:r>
        <w:t>nevyužije-li dotaci v poskytnuté výši.</w:t>
      </w:r>
    </w:p>
    <w:p w:rsidR="00076325" w:rsidRDefault="00076325" w:rsidP="00076325">
      <w:pPr>
        <w:tabs>
          <w:tab w:val="left" w:pos="2880"/>
        </w:tabs>
        <w:jc w:val="both"/>
        <w:rPr>
          <w:color w:val="FF0000"/>
        </w:rPr>
      </w:pP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Pokud skutečnosti podle odstavce 1 tohoto článku jsou zjištěny v kalendářních letech následujících po roce,  ve kterém byla dotace poskytnuta, vrátí právnická osoba prostřednictvím krajského úřadu</w:t>
      </w:r>
      <w:r w:rsidRPr="00076325">
        <w:rPr>
          <w:color w:val="FF0000"/>
        </w:rPr>
        <w:t xml:space="preserve"> </w:t>
      </w:r>
      <w:r>
        <w:t xml:space="preserve">dotaci nebo její část do státního rozpočtu  včetně penále podle předpisů o hospodaření s prostředky státního rozpočtu. </w:t>
      </w: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  <w:r>
        <w:t xml:space="preserve"> </w:t>
      </w:r>
    </w:p>
    <w:p w:rsid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 xml:space="preserve">Právnická osoba je povinna vrátit nevyčerpanou část dotace v průběhu kalendářního roku pokud bude zjevné, že dotace nebude využita, dále nevyčerpanou část dotace v rámci finančního vypořádání vztahů se státním rozpočtem, sankci za porušení rozpočtové kázně nebo finanční prostředky z minulých let, které nemohly být vráceny v průběhu kalendářního roku, na účet krajského úřadu uvedený v záhlaví smlouvy. </w:t>
      </w:r>
    </w:p>
    <w:p w:rsidR="00076325" w:rsidRDefault="00076325" w:rsidP="00076325">
      <w:pPr>
        <w:pStyle w:val="Odstavecseseznamem"/>
        <w:tabs>
          <w:tab w:val="left" w:pos="2880"/>
        </w:tabs>
        <w:ind w:left="338"/>
        <w:jc w:val="both"/>
      </w:pPr>
    </w:p>
    <w:p w:rsidR="00076325" w:rsidRPr="00076325" w:rsidRDefault="00076325" w:rsidP="00076325">
      <w:pPr>
        <w:pStyle w:val="Odstavecseseznamem"/>
        <w:numPr>
          <w:ilvl w:val="0"/>
          <w:numId w:val="3"/>
        </w:numPr>
        <w:tabs>
          <w:tab w:val="left" w:pos="2880"/>
        </w:tabs>
        <w:jc w:val="both"/>
      </w:pPr>
      <w:r>
        <w:t>Veškeré převody fina</w:t>
      </w:r>
      <w:r w:rsidR="00062BBD">
        <w:t>nčních prostředků dle čl. VI</w:t>
      </w:r>
      <w:r w:rsidR="0006059A">
        <w:t>I</w:t>
      </w:r>
      <w:r w:rsidR="00062BBD">
        <w:t>I. t</w:t>
      </w:r>
      <w:r>
        <w:t>éto smlouvy provede právnická osoba formou bezhotovostního převodu na účet uvedený v záhlaví této smlouvy. Platba bude opa</w:t>
      </w:r>
      <w:r w:rsidR="00EF48B0">
        <w:t>třena variabilním symbolem XXXX</w:t>
      </w:r>
      <w:r w:rsidR="00A305AF">
        <w:t xml:space="preserve"> a specifickým symbolem </w:t>
      </w:r>
      <w:r w:rsidR="00EF48B0">
        <w:t>XXXX</w:t>
      </w:r>
      <w:r>
        <w:t xml:space="preserve">. Právnická osoba před uskutečněním převodu písemně informuje krajský úřad o této skutečnosti. </w:t>
      </w:r>
    </w:p>
    <w:p w:rsidR="004A4062" w:rsidRDefault="004A4062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</w:p>
    <w:p w:rsidR="00076325" w:rsidRDefault="00B704FC" w:rsidP="00076325">
      <w:pPr>
        <w:tabs>
          <w:tab w:val="left" w:pos="709"/>
          <w:tab w:val="left" w:pos="2880"/>
        </w:tabs>
        <w:jc w:val="center"/>
        <w:outlineLvl w:val="0"/>
        <w:rPr>
          <w:b/>
        </w:rPr>
      </w:pPr>
      <w:r>
        <w:rPr>
          <w:b/>
        </w:rPr>
        <w:t xml:space="preserve">Článek </w:t>
      </w:r>
      <w:r w:rsidR="003713AD">
        <w:rPr>
          <w:b/>
        </w:rPr>
        <w:t>I</w:t>
      </w:r>
      <w:r>
        <w:rPr>
          <w:b/>
        </w:rPr>
        <w:t>X</w:t>
      </w:r>
      <w:r w:rsidR="00076325">
        <w:rPr>
          <w:b/>
        </w:rPr>
        <w:t>.</w:t>
      </w:r>
    </w:p>
    <w:p w:rsidR="00076325" w:rsidRDefault="00076325" w:rsidP="00076325">
      <w:pPr>
        <w:tabs>
          <w:tab w:val="left" w:pos="2880"/>
        </w:tabs>
        <w:jc w:val="center"/>
        <w:rPr>
          <w:b/>
        </w:rPr>
      </w:pP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  <w:r>
        <w:t>1. </w:t>
      </w:r>
      <w:r>
        <w:tab/>
        <w:t xml:space="preserve">Změny a doplňky této smlouvy lze provádět pouze formou písemných číslovaných dodatků, podepsaných oběma smluvními stranami. 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076325" w:rsidRDefault="00076325" w:rsidP="00076325">
      <w:pPr>
        <w:tabs>
          <w:tab w:val="left" w:pos="2880"/>
        </w:tabs>
        <w:ind w:left="426" w:hanging="426"/>
        <w:jc w:val="both"/>
      </w:pPr>
      <w:r>
        <w:t xml:space="preserve">2. </w:t>
      </w:r>
      <w:r>
        <w:tab/>
        <w:t xml:space="preserve">Tato smlouva nabývá platnosti podpisem zástupců smluvních stran a účinnosti dnem zveřejnění v Registru smluv. 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D511E1" w:rsidP="00076325">
      <w:pPr>
        <w:autoSpaceDE w:val="0"/>
        <w:autoSpaceDN w:val="0"/>
        <w:adjustRightInd w:val="0"/>
        <w:ind w:left="426" w:hanging="426"/>
        <w:jc w:val="both"/>
      </w:pPr>
      <w:r>
        <w:t>3</w:t>
      </w:r>
      <w:r w:rsidR="00076325">
        <w:t xml:space="preserve">. </w:t>
      </w:r>
      <w:r w:rsidR="00076325">
        <w:tab/>
        <w:t>Právnická osoba prohlašuje, že k uzavření této smlouvy poskytla úplné a pravdivé údaje.</w:t>
      </w:r>
    </w:p>
    <w:p w:rsidR="00076325" w:rsidRDefault="00076325" w:rsidP="00076325">
      <w:pPr>
        <w:autoSpaceDE w:val="0"/>
        <w:autoSpaceDN w:val="0"/>
        <w:adjustRightInd w:val="0"/>
        <w:ind w:left="426" w:hanging="426"/>
        <w:jc w:val="both"/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4</w:t>
      </w:r>
      <w:r w:rsidR="004A4FB8">
        <w:t>.</w:t>
      </w:r>
      <w:r w:rsidR="004A4FB8">
        <w:tab/>
      </w:r>
      <w:r w:rsidR="00076325">
        <w:t>Pokud tato smlouva nestanoví jinak, řídí se práva a povinnosti smluvních stran platnou právní úpravou, zejména zákonem č. 306/1999 Sb.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5</w:t>
      </w:r>
      <w:r w:rsidR="00076325">
        <w:t>. </w:t>
      </w:r>
      <w:r w:rsidR="00076325">
        <w:tab/>
        <w:t>Tato smlouva je vyhotovena ve třech stejnopisech, z nichž krajský úřad obdrží dva a právnická osoba jeden.</w:t>
      </w:r>
    </w:p>
    <w:p w:rsidR="00076325" w:rsidRDefault="00076325" w:rsidP="00076325">
      <w:pPr>
        <w:tabs>
          <w:tab w:val="left" w:pos="2880"/>
        </w:tabs>
        <w:ind w:left="426" w:hanging="426"/>
        <w:jc w:val="both"/>
        <w:rPr>
          <w:color w:val="FF0000"/>
        </w:rPr>
      </w:pPr>
    </w:p>
    <w:p w:rsidR="00076325" w:rsidRDefault="00D511E1" w:rsidP="00076325">
      <w:pPr>
        <w:tabs>
          <w:tab w:val="left" w:pos="2880"/>
        </w:tabs>
        <w:ind w:left="426" w:hanging="426"/>
        <w:jc w:val="both"/>
      </w:pPr>
      <w:r>
        <w:t>6</w:t>
      </w:r>
      <w:r w:rsidR="00076325">
        <w:t>. </w:t>
      </w:r>
      <w:r w:rsidR="00076325">
        <w:tab/>
        <w:t>Smluvní strany prohlašují, že tuto smlouvu si před podpisem přečetly, souhlasí s jejím obsahem, a že tato smlouva byla sepsána na základě pravdivých a úplných údajů, podle jejich svobodné a vážné vůle, na důkaz čehož připojují své vlastnoruční podpisy.</w:t>
      </w:r>
    </w:p>
    <w:p w:rsidR="004A4FB8" w:rsidRDefault="004A4FB8" w:rsidP="004A4FB8">
      <w:pPr>
        <w:tabs>
          <w:tab w:val="left" w:pos="2880"/>
        </w:tabs>
        <w:ind w:left="426" w:hanging="426"/>
        <w:jc w:val="both"/>
        <w:rPr>
          <w:color w:val="FF0000"/>
        </w:rPr>
      </w:pPr>
    </w:p>
    <w:p w:rsidR="004A4FB8" w:rsidRDefault="00D511E1" w:rsidP="004A4FB8">
      <w:pPr>
        <w:tabs>
          <w:tab w:val="left" w:pos="2880"/>
        </w:tabs>
        <w:ind w:left="426" w:hanging="426"/>
        <w:jc w:val="both"/>
      </w:pPr>
      <w:r>
        <w:lastRenderedPageBreak/>
        <w:t>7</w:t>
      </w:r>
      <w:r w:rsidR="00F857CD">
        <w:t>. </w:t>
      </w:r>
      <w:r w:rsidR="00F857CD">
        <w:tab/>
        <w:t xml:space="preserve">Smluvní strany </w:t>
      </w:r>
      <w:r w:rsidR="00405D91">
        <w:t xml:space="preserve">se </w:t>
      </w:r>
      <w:r w:rsidR="00F857CD">
        <w:t>dohodly</w:t>
      </w:r>
      <w:r w:rsidR="004A4FB8">
        <w:t>, že uveřejnění smlouvy v registru smluv provede Karlovarský kraj, kontakt na doručení oznámení o vk</w:t>
      </w:r>
      <w:r w:rsidR="00E34A59">
        <w:t>l</w:t>
      </w:r>
      <w:r w:rsidR="00E57B1E">
        <w:t xml:space="preserve">adu smluvní protistraně: </w:t>
      </w:r>
      <w:r w:rsidR="00EF48B0">
        <w:t>XXXX</w:t>
      </w:r>
      <w:r w:rsidR="004A4FB8">
        <w:t xml:space="preserve"> (identi</w:t>
      </w:r>
      <w:r w:rsidR="00235238">
        <w:t>fikátor datové schránky právnické osoby</w:t>
      </w:r>
      <w:r w:rsidR="004A4FB8">
        <w:t xml:space="preserve">). </w:t>
      </w:r>
    </w:p>
    <w:p w:rsidR="004A4FB8" w:rsidRDefault="004A4FB8" w:rsidP="00076325">
      <w:pPr>
        <w:tabs>
          <w:tab w:val="left" w:pos="2880"/>
        </w:tabs>
        <w:ind w:left="426" w:hanging="426"/>
        <w:jc w:val="both"/>
      </w:pPr>
    </w:p>
    <w:p w:rsidR="00FB5F85" w:rsidRDefault="00FB5F85" w:rsidP="00FB5F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4C13A6" w:rsidRPr="004C13A6" w:rsidTr="00FB5F85">
        <w:trPr>
          <w:trHeight w:val="64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  <w:r w:rsidRPr="00051C29">
              <w:rPr>
                <w:b/>
              </w:rPr>
              <w:t xml:space="preserve">Karlovy Vary dne </w:t>
            </w:r>
          </w:p>
          <w:p w:rsidR="00FB5F85" w:rsidRPr="00051C29" w:rsidRDefault="00FB5F85">
            <w:pPr>
              <w:jc w:val="center"/>
              <w:rPr>
                <w:b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051C29">
            <w:pPr>
              <w:jc w:val="center"/>
              <w:rPr>
                <w:b/>
              </w:rPr>
            </w:pPr>
            <w:r>
              <w:rPr>
                <w:b/>
              </w:rPr>
              <w:t xml:space="preserve"> ….. ….. ….. …..  </w:t>
            </w:r>
            <w:r w:rsidR="00FB5F85" w:rsidRPr="00051C29">
              <w:rPr>
                <w:b/>
              </w:rPr>
              <w:t xml:space="preserve">dne </w:t>
            </w:r>
          </w:p>
        </w:tc>
      </w:tr>
      <w:tr w:rsidR="004C13A6" w:rsidRPr="004C13A6" w:rsidTr="00FB5F85">
        <w:trPr>
          <w:trHeight w:val="153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  <w:r w:rsidRPr="00051C29">
              <w:rPr>
                <w:b/>
              </w:rPr>
              <w:t>..... ..... ..... ..... ..... .....</w:t>
            </w:r>
          </w:p>
          <w:p w:rsidR="00FB5F85" w:rsidRPr="00051C29" w:rsidRDefault="00FB5F85">
            <w:pPr>
              <w:jc w:val="center"/>
              <w:rPr>
                <w:b/>
              </w:rPr>
            </w:pPr>
            <w:r w:rsidRPr="00051C29">
              <w:rPr>
                <w:b/>
              </w:rPr>
              <w:t>krajský úřad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jc w:val="center"/>
              <w:rPr>
                <w:b/>
              </w:rPr>
            </w:pPr>
          </w:p>
          <w:p w:rsidR="00FB5F85" w:rsidRPr="00051C29" w:rsidRDefault="00FB5F85">
            <w:pPr>
              <w:ind w:left="72" w:firstLine="64"/>
              <w:jc w:val="center"/>
              <w:rPr>
                <w:b/>
              </w:rPr>
            </w:pPr>
            <w:r w:rsidRPr="00051C29">
              <w:rPr>
                <w:b/>
              </w:rPr>
              <w:t>..... ..... ..... ..... ..... .....</w:t>
            </w:r>
          </w:p>
          <w:p w:rsidR="00FB5F85" w:rsidRPr="00051C29" w:rsidRDefault="00FB5F85">
            <w:pPr>
              <w:ind w:left="72" w:firstLine="64"/>
              <w:jc w:val="center"/>
              <w:rPr>
                <w:b/>
              </w:rPr>
            </w:pPr>
            <w:r w:rsidRPr="00051C29">
              <w:rPr>
                <w:b/>
              </w:rPr>
              <w:t>právnická osoba</w:t>
            </w:r>
          </w:p>
        </w:tc>
      </w:tr>
    </w:tbl>
    <w:p w:rsidR="00FB5F85" w:rsidRPr="004C13A6" w:rsidRDefault="00FB5F85" w:rsidP="00FB5F85">
      <w:pPr>
        <w:rPr>
          <w:color w:val="FF0000"/>
          <w:sz w:val="22"/>
          <w:szCs w:val="22"/>
        </w:rPr>
      </w:pPr>
    </w:p>
    <w:p w:rsidR="00FB5F85" w:rsidRDefault="00FB5F85" w:rsidP="00FB5F85"/>
    <w:p w:rsidR="00FB5F85" w:rsidRDefault="00FB5F85" w:rsidP="00FB5F85">
      <w:r>
        <w:t>Za správnost:</w:t>
      </w:r>
    </w:p>
    <w:p w:rsidR="00665A72" w:rsidRDefault="00665A72" w:rsidP="00FB5F85"/>
    <w:p w:rsidR="00FB5F85" w:rsidRDefault="00FB5F85" w:rsidP="00FB5F85">
      <w:r>
        <w:t>.... ..... ..... ..... ..... .....</w:t>
      </w:r>
    </w:p>
    <w:p w:rsidR="00FB5F85" w:rsidRDefault="00FB5F85" w:rsidP="00FB5F85">
      <w:r>
        <w:t>Ing. Bc. Dagmar Hríňová</w:t>
      </w:r>
    </w:p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665A72" w:rsidRDefault="00665A72" w:rsidP="00FB5F85"/>
    <w:p w:rsidR="00BA55D8" w:rsidRDefault="00BA55D8" w:rsidP="00076325">
      <w:pPr>
        <w:tabs>
          <w:tab w:val="left" w:pos="2880"/>
        </w:tabs>
        <w:jc w:val="both"/>
      </w:pPr>
    </w:p>
    <w:sectPr w:rsidR="00BA55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9C" w:rsidRDefault="005A619C" w:rsidP="00F2490D">
      <w:r>
        <w:separator/>
      </w:r>
    </w:p>
  </w:endnote>
  <w:endnote w:type="continuationSeparator" w:id="0">
    <w:p w:rsidR="005A619C" w:rsidRDefault="005A619C" w:rsidP="00F2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357463"/>
      <w:docPartObj>
        <w:docPartGallery w:val="Page Numbers (Bottom of Page)"/>
        <w:docPartUnique/>
      </w:docPartObj>
    </w:sdtPr>
    <w:sdtEndPr/>
    <w:sdtContent>
      <w:p w:rsidR="00F2490D" w:rsidRDefault="00F249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8B0">
          <w:rPr>
            <w:noProof/>
          </w:rPr>
          <w:t>4</w:t>
        </w:r>
        <w:r>
          <w:fldChar w:fldCharType="end"/>
        </w:r>
      </w:p>
    </w:sdtContent>
  </w:sdt>
  <w:p w:rsidR="00F2490D" w:rsidRDefault="00F24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9C" w:rsidRDefault="005A619C" w:rsidP="00F2490D">
      <w:r>
        <w:separator/>
      </w:r>
    </w:p>
  </w:footnote>
  <w:footnote w:type="continuationSeparator" w:id="0">
    <w:p w:rsidR="005A619C" w:rsidRDefault="005A619C" w:rsidP="00F2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6F44"/>
    <w:multiLevelType w:val="hybridMultilevel"/>
    <w:tmpl w:val="A1A47D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0F08"/>
    <w:multiLevelType w:val="hybridMultilevel"/>
    <w:tmpl w:val="E1283B7C"/>
    <w:lvl w:ilvl="0" w:tplc="E81E4D9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 w15:restartNumberingAfterBreak="0">
    <w:nsid w:val="5D751009"/>
    <w:multiLevelType w:val="hybridMultilevel"/>
    <w:tmpl w:val="409626F6"/>
    <w:lvl w:ilvl="0" w:tplc="B942B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0115E"/>
    <w:multiLevelType w:val="hybridMultilevel"/>
    <w:tmpl w:val="13E6D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25"/>
    <w:rsid w:val="000005AC"/>
    <w:rsid w:val="00000D8C"/>
    <w:rsid w:val="00006298"/>
    <w:rsid w:val="00010856"/>
    <w:rsid w:val="00024C1A"/>
    <w:rsid w:val="00027C57"/>
    <w:rsid w:val="00031E40"/>
    <w:rsid w:val="00034F16"/>
    <w:rsid w:val="00037E77"/>
    <w:rsid w:val="00042A1B"/>
    <w:rsid w:val="00047C32"/>
    <w:rsid w:val="00051C29"/>
    <w:rsid w:val="000552D0"/>
    <w:rsid w:val="0006059A"/>
    <w:rsid w:val="00062BBD"/>
    <w:rsid w:val="00076325"/>
    <w:rsid w:val="00092FDF"/>
    <w:rsid w:val="000C04D4"/>
    <w:rsid w:val="000C2D53"/>
    <w:rsid w:val="000D5E98"/>
    <w:rsid w:val="000E313A"/>
    <w:rsid w:val="000F25D9"/>
    <w:rsid w:val="00101A97"/>
    <w:rsid w:val="00107C1F"/>
    <w:rsid w:val="00112350"/>
    <w:rsid w:val="00113743"/>
    <w:rsid w:val="00147B50"/>
    <w:rsid w:val="00151F92"/>
    <w:rsid w:val="00153FEF"/>
    <w:rsid w:val="00167EF9"/>
    <w:rsid w:val="00186883"/>
    <w:rsid w:val="00187409"/>
    <w:rsid w:val="001877AA"/>
    <w:rsid w:val="001B3F4A"/>
    <w:rsid w:val="001B6A4A"/>
    <w:rsid w:val="001C4D5C"/>
    <w:rsid w:val="001D371C"/>
    <w:rsid w:val="001D74EE"/>
    <w:rsid w:val="0021497B"/>
    <w:rsid w:val="00231D8F"/>
    <w:rsid w:val="00235238"/>
    <w:rsid w:val="00252F39"/>
    <w:rsid w:val="002642CB"/>
    <w:rsid w:val="002662D8"/>
    <w:rsid w:val="002765FD"/>
    <w:rsid w:val="00281183"/>
    <w:rsid w:val="00281237"/>
    <w:rsid w:val="002820C2"/>
    <w:rsid w:val="00295386"/>
    <w:rsid w:val="002B6E4C"/>
    <w:rsid w:val="002C0C12"/>
    <w:rsid w:val="002E11D6"/>
    <w:rsid w:val="002E746F"/>
    <w:rsid w:val="00300E5C"/>
    <w:rsid w:val="003104C5"/>
    <w:rsid w:val="0031189E"/>
    <w:rsid w:val="0031324D"/>
    <w:rsid w:val="00317729"/>
    <w:rsid w:val="00321190"/>
    <w:rsid w:val="00343ACA"/>
    <w:rsid w:val="003713AD"/>
    <w:rsid w:val="00373CEE"/>
    <w:rsid w:val="00376481"/>
    <w:rsid w:val="00393C39"/>
    <w:rsid w:val="003B1997"/>
    <w:rsid w:val="003C6376"/>
    <w:rsid w:val="003E084D"/>
    <w:rsid w:val="003F037F"/>
    <w:rsid w:val="003F12C7"/>
    <w:rsid w:val="003F2400"/>
    <w:rsid w:val="00403722"/>
    <w:rsid w:val="00403C63"/>
    <w:rsid w:val="00405D91"/>
    <w:rsid w:val="00410DB7"/>
    <w:rsid w:val="00424B92"/>
    <w:rsid w:val="004367E6"/>
    <w:rsid w:val="004436CE"/>
    <w:rsid w:val="004445DD"/>
    <w:rsid w:val="004660CE"/>
    <w:rsid w:val="00466D46"/>
    <w:rsid w:val="00476FFD"/>
    <w:rsid w:val="004A3EA9"/>
    <w:rsid w:val="004A4062"/>
    <w:rsid w:val="004A4FB8"/>
    <w:rsid w:val="004B4FDA"/>
    <w:rsid w:val="004C13A6"/>
    <w:rsid w:val="004C777A"/>
    <w:rsid w:val="004D183E"/>
    <w:rsid w:val="004E3F56"/>
    <w:rsid w:val="005165BA"/>
    <w:rsid w:val="00526A37"/>
    <w:rsid w:val="005521B9"/>
    <w:rsid w:val="00571693"/>
    <w:rsid w:val="00576E00"/>
    <w:rsid w:val="005931EC"/>
    <w:rsid w:val="005A619C"/>
    <w:rsid w:val="005A794B"/>
    <w:rsid w:val="005B5820"/>
    <w:rsid w:val="005E5D72"/>
    <w:rsid w:val="005F1419"/>
    <w:rsid w:val="00611FC3"/>
    <w:rsid w:val="006226B7"/>
    <w:rsid w:val="006315DC"/>
    <w:rsid w:val="00636FDA"/>
    <w:rsid w:val="0064054A"/>
    <w:rsid w:val="00665A72"/>
    <w:rsid w:val="00671165"/>
    <w:rsid w:val="006938E9"/>
    <w:rsid w:val="006A13DD"/>
    <w:rsid w:val="006A2D99"/>
    <w:rsid w:val="006A4FB1"/>
    <w:rsid w:val="006B318E"/>
    <w:rsid w:val="006D3BB2"/>
    <w:rsid w:val="006D61D1"/>
    <w:rsid w:val="006D7853"/>
    <w:rsid w:val="006E1AB6"/>
    <w:rsid w:val="00707C27"/>
    <w:rsid w:val="00724031"/>
    <w:rsid w:val="00734739"/>
    <w:rsid w:val="0075239A"/>
    <w:rsid w:val="00756DF4"/>
    <w:rsid w:val="00757090"/>
    <w:rsid w:val="00765973"/>
    <w:rsid w:val="007705C9"/>
    <w:rsid w:val="007739D5"/>
    <w:rsid w:val="00774361"/>
    <w:rsid w:val="007813EC"/>
    <w:rsid w:val="0078441D"/>
    <w:rsid w:val="007A215F"/>
    <w:rsid w:val="007C0246"/>
    <w:rsid w:val="007C2B91"/>
    <w:rsid w:val="007F2E78"/>
    <w:rsid w:val="007F3BDD"/>
    <w:rsid w:val="00801CB0"/>
    <w:rsid w:val="0080539A"/>
    <w:rsid w:val="0081692D"/>
    <w:rsid w:val="008418F4"/>
    <w:rsid w:val="00852452"/>
    <w:rsid w:val="00860573"/>
    <w:rsid w:val="00876A16"/>
    <w:rsid w:val="00877889"/>
    <w:rsid w:val="00883B90"/>
    <w:rsid w:val="008902B8"/>
    <w:rsid w:val="00890480"/>
    <w:rsid w:val="008A2668"/>
    <w:rsid w:val="008A31D8"/>
    <w:rsid w:val="008C505E"/>
    <w:rsid w:val="008D0625"/>
    <w:rsid w:val="008E0439"/>
    <w:rsid w:val="008F4007"/>
    <w:rsid w:val="009066A5"/>
    <w:rsid w:val="00911017"/>
    <w:rsid w:val="00916633"/>
    <w:rsid w:val="00921B52"/>
    <w:rsid w:val="00946B99"/>
    <w:rsid w:val="00962101"/>
    <w:rsid w:val="00963D9C"/>
    <w:rsid w:val="00965AC6"/>
    <w:rsid w:val="00971D25"/>
    <w:rsid w:val="00980F40"/>
    <w:rsid w:val="00981BD8"/>
    <w:rsid w:val="009B0FC6"/>
    <w:rsid w:val="009B365A"/>
    <w:rsid w:val="009C083F"/>
    <w:rsid w:val="009C1A2B"/>
    <w:rsid w:val="009D024D"/>
    <w:rsid w:val="009E1A94"/>
    <w:rsid w:val="009E3EA1"/>
    <w:rsid w:val="009E6EA0"/>
    <w:rsid w:val="00A0368D"/>
    <w:rsid w:val="00A0488D"/>
    <w:rsid w:val="00A10B52"/>
    <w:rsid w:val="00A20105"/>
    <w:rsid w:val="00A23A5B"/>
    <w:rsid w:val="00A23D73"/>
    <w:rsid w:val="00A2513E"/>
    <w:rsid w:val="00A305AF"/>
    <w:rsid w:val="00A56560"/>
    <w:rsid w:val="00A712B9"/>
    <w:rsid w:val="00A76A09"/>
    <w:rsid w:val="00A87E0F"/>
    <w:rsid w:val="00AC4614"/>
    <w:rsid w:val="00AD0162"/>
    <w:rsid w:val="00AE05D8"/>
    <w:rsid w:val="00AF4837"/>
    <w:rsid w:val="00AF4CBA"/>
    <w:rsid w:val="00B00161"/>
    <w:rsid w:val="00B027D7"/>
    <w:rsid w:val="00B47246"/>
    <w:rsid w:val="00B5400B"/>
    <w:rsid w:val="00B704FC"/>
    <w:rsid w:val="00B70747"/>
    <w:rsid w:val="00B739F7"/>
    <w:rsid w:val="00B74F11"/>
    <w:rsid w:val="00BA41C5"/>
    <w:rsid w:val="00BA55D8"/>
    <w:rsid w:val="00BA79FA"/>
    <w:rsid w:val="00BB1AE0"/>
    <w:rsid w:val="00BB2A08"/>
    <w:rsid w:val="00BB4CA6"/>
    <w:rsid w:val="00BC0B47"/>
    <w:rsid w:val="00BD6B35"/>
    <w:rsid w:val="00BE0F33"/>
    <w:rsid w:val="00BF1346"/>
    <w:rsid w:val="00C00FE1"/>
    <w:rsid w:val="00C02C7D"/>
    <w:rsid w:val="00C02C8E"/>
    <w:rsid w:val="00C14FD9"/>
    <w:rsid w:val="00C16DA6"/>
    <w:rsid w:val="00C2338F"/>
    <w:rsid w:val="00C2602F"/>
    <w:rsid w:val="00C444A5"/>
    <w:rsid w:val="00C720D6"/>
    <w:rsid w:val="00C74B59"/>
    <w:rsid w:val="00C92100"/>
    <w:rsid w:val="00CA2144"/>
    <w:rsid w:val="00CC0DC7"/>
    <w:rsid w:val="00CE4741"/>
    <w:rsid w:val="00CF672D"/>
    <w:rsid w:val="00D00C8B"/>
    <w:rsid w:val="00D20483"/>
    <w:rsid w:val="00D213CC"/>
    <w:rsid w:val="00D23D56"/>
    <w:rsid w:val="00D248D6"/>
    <w:rsid w:val="00D27488"/>
    <w:rsid w:val="00D36A8D"/>
    <w:rsid w:val="00D511E1"/>
    <w:rsid w:val="00D72055"/>
    <w:rsid w:val="00D87F2F"/>
    <w:rsid w:val="00DB6820"/>
    <w:rsid w:val="00DD669A"/>
    <w:rsid w:val="00DF34CC"/>
    <w:rsid w:val="00E24A8E"/>
    <w:rsid w:val="00E34A59"/>
    <w:rsid w:val="00E35072"/>
    <w:rsid w:val="00E5398F"/>
    <w:rsid w:val="00E57B1E"/>
    <w:rsid w:val="00E602C5"/>
    <w:rsid w:val="00E747BA"/>
    <w:rsid w:val="00E80FF5"/>
    <w:rsid w:val="00E82C1F"/>
    <w:rsid w:val="00ED092E"/>
    <w:rsid w:val="00ED0C35"/>
    <w:rsid w:val="00EF31F4"/>
    <w:rsid w:val="00EF48B0"/>
    <w:rsid w:val="00F02599"/>
    <w:rsid w:val="00F0439D"/>
    <w:rsid w:val="00F077E4"/>
    <w:rsid w:val="00F14E33"/>
    <w:rsid w:val="00F20168"/>
    <w:rsid w:val="00F22DCF"/>
    <w:rsid w:val="00F2490D"/>
    <w:rsid w:val="00F37295"/>
    <w:rsid w:val="00F857CD"/>
    <w:rsid w:val="00F95BA1"/>
    <w:rsid w:val="00F97DE5"/>
    <w:rsid w:val="00FB5F85"/>
    <w:rsid w:val="00FC17F0"/>
    <w:rsid w:val="00FC2FA5"/>
    <w:rsid w:val="00FC7A16"/>
    <w:rsid w:val="00FD3447"/>
    <w:rsid w:val="00FD5189"/>
    <w:rsid w:val="00FD6000"/>
    <w:rsid w:val="00FF034A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CC86C51"/>
  <w15:chartTrackingRefBased/>
  <w15:docId w15:val="{DE0719B6-930B-42DA-9572-05292E0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3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49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9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4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9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59E5-42F5-41B6-A58E-D4B387EF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2369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Hríňová Dagmar</cp:lastModifiedBy>
  <cp:revision>344</cp:revision>
  <cp:lastPrinted>2019-01-17T08:28:00Z</cp:lastPrinted>
  <dcterms:created xsi:type="dcterms:W3CDTF">2018-01-15T09:43:00Z</dcterms:created>
  <dcterms:modified xsi:type="dcterms:W3CDTF">2019-02-04T10:19:00Z</dcterms:modified>
</cp:coreProperties>
</file>