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0C" w:rsidRDefault="007B1A0C" w:rsidP="007B1A0C">
      <w:pPr>
        <w:ind w:left="4956" w:firstLine="708"/>
      </w:pPr>
      <w:r>
        <w:t xml:space="preserve">Číslo smlouvy: </w:t>
      </w:r>
      <w:r>
        <w:t>820/2016/OÚPPP</w:t>
      </w:r>
    </w:p>
    <w:p w:rsidR="007B1A0C" w:rsidRDefault="007B1A0C" w:rsidP="007B1A0C">
      <w:pPr>
        <w:ind w:left="4956" w:firstLine="708"/>
        <w:rPr>
          <w:sz w:val="16"/>
          <w:szCs w:val="16"/>
        </w:rPr>
      </w:pPr>
    </w:p>
    <w:p w:rsidR="007B1A0C" w:rsidRDefault="007B1A0C" w:rsidP="007B1A0C">
      <w:pPr>
        <w:ind w:left="-142" w:firstLine="708"/>
        <w:jc w:val="center"/>
        <w:rPr>
          <w:b/>
          <w:sz w:val="36"/>
          <w:szCs w:val="36"/>
        </w:rPr>
      </w:pPr>
      <w:r>
        <w:rPr>
          <w:b/>
          <w:sz w:val="36"/>
          <w:szCs w:val="36"/>
        </w:rPr>
        <w:t>Smlouva</w:t>
      </w:r>
    </w:p>
    <w:p w:rsidR="007B1A0C" w:rsidRPr="00A6390F" w:rsidRDefault="007B1A0C" w:rsidP="007B1A0C">
      <w:pPr>
        <w:ind w:left="-142"/>
        <w:jc w:val="center"/>
        <w:rPr>
          <w:b/>
        </w:rPr>
      </w:pPr>
      <w:r>
        <w:rPr>
          <w:b/>
        </w:rPr>
        <w:t xml:space="preserve">o poskytnutí finančního příspěvku v rámci Programu regenerace městské památkové rezervace Český Krumlov pro </w:t>
      </w:r>
      <w:r w:rsidRPr="00A6390F">
        <w:rPr>
          <w:b/>
        </w:rPr>
        <w:t>rok 2016 v souladu se zákonem č. 250/2000 Sb., o rozpočtových pravidlech územních rozpočtů, v platném znění, v součinnosti s § 16 odst. 1 zákona č. 20/1987 Sb., o státní památkové péči, v platném znění</w:t>
      </w:r>
    </w:p>
    <w:p w:rsidR="007B1A0C" w:rsidRPr="00A6390F" w:rsidRDefault="007B1A0C" w:rsidP="007B1A0C">
      <w:pPr>
        <w:ind w:left="-142"/>
        <w:jc w:val="center"/>
        <w:rPr>
          <w:b/>
        </w:rPr>
      </w:pPr>
    </w:p>
    <w:p w:rsidR="007B1A0C" w:rsidRPr="00A6390F" w:rsidRDefault="007B1A0C" w:rsidP="007B1A0C">
      <w:pPr>
        <w:ind w:left="-142"/>
        <w:jc w:val="center"/>
      </w:pPr>
      <w:r w:rsidRPr="00A6390F">
        <w:t>uzavřená mezi smluvními stranami:</w:t>
      </w:r>
    </w:p>
    <w:p w:rsidR="007B1A0C" w:rsidRPr="00A6390F" w:rsidRDefault="007B1A0C" w:rsidP="007B1A0C">
      <w:pPr>
        <w:jc w:val="both"/>
        <w:rPr>
          <w:b/>
        </w:rPr>
      </w:pPr>
    </w:p>
    <w:p w:rsidR="007B1A0C" w:rsidRPr="00A6390F" w:rsidRDefault="007B1A0C" w:rsidP="007B1A0C">
      <w:pPr>
        <w:jc w:val="both"/>
      </w:pPr>
      <w:r w:rsidRPr="00A6390F">
        <w:rPr>
          <w:b/>
        </w:rPr>
        <w:t>město Český Krumlov</w:t>
      </w:r>
      <w:r w:rsidRPr="00A6390F">
        <w:t xml:space="preserve"> </w:t>
      </w:r>
    </w:p>
    <w:p w:rsidR="007B1A0C" w:rsidRPr="00A6390F" w:rsidRDefault="007B1A0C" w:rsidP="007B1A0C">
      <w:pPr>
        <w:jc w:val="both"/>
      </w:pPr>
      <w:r w:rsidRPr="00A6390F">
        <w:t>se sídlem náměstí Svornosti 1, 381 01 Český Krumlov</w:t>
      </w:r>
    </w:p>
    <w:p w:rsidR="007B1A0C" w:rsidRPr="00A6390F" w:rsidRDefault="007B1A0C" w:rsidP="007B1A0C">
      <w:pPr>
        <w:jc w:val="both"/>
        <w:rPr>
          <w:i/>
        </w:rPr>
      </w:pPr>
      <w:r w:rsidRPr="00A6390F">
        <w:t>zastoupené Mgr. Daliborem Cardou, starostou města</w:t>
      </w:r>
    </w:p>
    <w:p w:rsidR="007B1A0C" w:rsidRPr="00A6390F" w:rsidRDefault="007B1A0C" w:rsidP="007B1A0C">
      <w:pPr>
        <w:jc w:val="both"/>
      </w:pPr>
      <w:r w:rsidRPr="00A6390F">
        <w:t>IČ: 245836, DIČ: CZ00245836 (je plátcem DPH),</w:t>
      </w:r>
    </w:p>
    <w:p w:rsidR="007B1A0C" w:rsidRPr="00A6390F" w:rsidRDefault="007B1A0C" w:rsidP="007B1A0C">
      <w:pPr>
        <w:jc w:val="both"/>
      </w:pPr>
      <w:r w:rsidRPr="00A6390F">
        <w:t>Bankovní spojení: Komerční banka a.s.</w:t>
      </w:r>
    </w:p>
    <w:p w:rsidR="007B1A0C" w:rsidRPr="00A6390F" w:rsidRDefault="007B1A0C" w:rsidP="007B1A0C">
      <w:pPr>
        <w:jc w:val="both"/>
      </w:pPr>
      <w:r w:rsidRPr="00A6390F">
        <w:t>číslo účtu 221241/0100</w:t>
      </w:r>
    </w:p>
    <w:p w:rsidR="007B1A0C" w:rsidRPr="00A6390F" w:rsidRDefault="007B1A0C" w:rsidP="007B1A0C">
      <w:pPr>
        <w:jc w:val="both"/>
      </w:pPr>
      <w:r w:rsidRPr="00A6390F">
        <w:t>(dále jen poskytovatel)</w:t>
      </w:r>
    </w:p>
    <w:p w:rsidR="007B1A0C" w:rsidRPr="00A6390F" w:rsidRDefault="007B1A0C" w:rsidP="007B1A0C">
      <w:pPr>
        <w:jc w:val="both"/>
        <w:rPr>
          <w:sz w:val="16"/>
          <w:szCs w:val="16"/>
        </w:rPr>
      </w:pPr>
    </w:p>
    <w:p w:rsidR="007B1A0C" w:rsidRPr="00A6390F" w:rsidRDefault="007B1A0C" w:rsidP="007B1A0C">
      <w:pPr>
        <w:jc w:val="both"/>
      </w:pPr>
      <w:r w:rsidRPr="00A6390F">
        <w:t>a</w:t>
      </w:r>
    </w:p>
    <w:p w:rsidR="007B1A0C" w:rsidRPr="00A6390F" w:rsidRDefault="007B1A0C" w:rsidP="007B1A0C">
      <w:pPr>
        <w:jc w:val="both"/>
        <w:rPr>
          <w:sz w:val="16"/>
          <w:szCs w:val="16"/>
        </w:rPr>
      </w:pPr>
    </w:p>
    <w:p w:rsidR="007B1A0C" w:rsidRPr="00A6390F" w:rsidRDefault="007B1A0C" w:rsidP="007B1A0C">
      <w:pPr>
        <w:rPr>
          <w:b/>
          <w:bCs/>
        </w:rPr>
      </w:pPr>
      <w:r w:rsidRPr="00A6390F">
        <w:rPr>
          <w:b/>
          <w:bCs/>
        </w:rPr>
        <w:t>Římskokatolická farnost-prelatura Český Krumlov, IČO 42396565,</w:t>
      </w:r>
    </w:p>
    <w:p w:rsidR="007B1A0C" w:rsidRPr="00A6390F" w:rsidRDefault="007B1A0C" w:rsidP="007B1A0C">
      <w:pPr>
        <w:rPr>
          <w:b/>
          <w:bCs/>
        </w:rPr>
      </w:pPr>
      <w:r w:rsidRPr="00A6390F">
        <w:rPr>
          <w:b/>
          <w:bCs/>
        </w:rPr>
        <w:t>Horní č.p. 156, Vnitřní Město, 381 01 Český Krumlov 1,</w:t>
      </w:r>
      <w:r w:rsidRPr="00A6390F">
        <w:rPr>
          <w:b/>
          <w:bCs/>
        </w:rPr>
        <w:br/>
      </w:r>
      <w:r w:rsidRPr="00A6390F">
        <w:t xml:space="preserve">kterého zastupuje P. Václav Pícha, JC.D.  </w:t>
      </w:r>
    </w:p>
    <w:p w:rsidR="007B1A0C" w:rsidRPr="00A6390F" w:rsidRDefault="007B1A0C" w:rsidP="007B1A0C">
      <w:pPr>
        <w:jc w:val="both"/>
      </w:pPr>
      <w:r w:rsidRPr="00A6390F">
        <w:t>Bankovní spojení: Raiffeisenbank</w:t>
      </w:r>
    </w:p>
    <w:p w:rsidR="007B1A0C" w:rsidRPr="00A6390F" w:rsidRDefault="007B1A0C" w:rsidP="007B1A0C">
      <w:pPr>
        <w:jc w:val="both"/>
      </w:pPr>
      <w:r w:rsidRPr="00A6390F">
        <w:t>číslo účtu: 1002009089/5500</w:t>
      </w:r>
    </w:p>
    <w:p w:rsidR="007B1A0C" w:rsidRPr="00A6390F" w:rsidRDefault="007B1A0C" w:rsidP="007B1A0C">
      <w:pPr>
        <w:jc w:val="both"/>
      </w:pPr>
      <w:r w:rsidRPr="00A6390F">
        <w:t>(dále jen příjemce)</w:t>
      </w:r>
    </w:p>
    <w:p w:rsidR="007B1A0C" w:rsidRPr="00A6390F" w:rsidRDefault="007B1A0C" w:rsidP="007B1A0C">
      <w:pPr>
        <w:jc w:val="both"/>
      </w:pPr>
    </w:p>
    <w:p w:rsidR="007B1A0C" w:rsidRPr="00A6390F" w:rsidRDefault="007B1A0C" w:rsidP="007B1A0C">
      <w:pPr>
        <w:jc w:val="both"/>
      </w:pPr>
    </w:p>
    <w:p w:rsidR="007B1A0C" w:rsidRPr="00A6390F" w:rsidRDefault="007B1A0C" w:rsidP="007B1A0C">
      <w:pPr>
        <w:numPr>
          <w:ilvl w:val="0"/>
          <w:numId w:val="1"/>
        </w:numPr>
        <w:autoSpaceDE/>
        <w:autoSpaceDN/>
        <w:jc w:val="center"/>
        <w:rPr>
          <w:b/>
          <w:szCs w:val="20"/>
        </w:rPr>
      </w:pPr>
      <w:r w:rsidRPr="00A6390F">
        <w:rPr>
          <w:b/>
        </w:rPr>
        <w:t>Obecná ustanovení</w:t>
      </w:r>
    </w:p>
    <w:p w:rsidR="007B1A0C" w:rsidRPr="00A6390F" w:rsidRDefault="007B1A0C" w:rsidP="007B1A0C">
      <w:pPr>
        <w:ind w:left="-142"/>
        <w:jc w:val="center"/>
        <w:rPr>
          <w:b/>
        </w:rPr>
      </w:pPr>
    </w:p>
    <w:p w:rsidR="007B1A0C" w:rsidRPr="00A6390F" w:rsidRDefault="007B1A0C" w:rsidP="007B1A0C">
      <w:pPr>
        <w:ind w:firstLine="360"/>
        <w:jc w:val="both"/>
      </w:pPr>
      <w:r w:rsidRPr="00A6390F">
        <w:t>Zastupitelstvo města Český Krumlov rozhodlo svým usnesením číslo 0046/ZM3 - 2016/2016 ze dne 23.6.2016 v souladu se zákonem číslo 128/2000 Sb., o obcích (obecní zřízení), v platném znění, v souladu se zákonem číslo 250/2000 Sb., o rozpočtových pravidlech územních rozpočtů, v platném znění, a dle Zásad Ministerstva kultury České republiky pro užití a alokaci státní finanční podpory v Programu regenerace městských památkových rezervací (dále jen „MPR“) a městských památkových zón (dále jen „MPZ“) č.j. MK 28.808/2010 OPP ze dne 12.5.2011, ve znění vydaných opatření, zároveň v souladu s Rozpisem účelové dotace poskytnuté ze státního rozpočtu v Programu regenerace MPR a MPZ na rok 2016 pro MPR Český Krumlov, který je součástí rozhodnutí Ministerstva kultury o poskytnutí dotace ze státního rozpočtu městu Český Krumlov v Programu regenerace MPR a MPZ na rok 2016 ze dne 25.10.2016, č.j. MK 68236/2016 OPP o poskytnutí finančních prostředků ve výši a za podmínek dále uvedených v této smlouvě,</w:t>
      </w:r>
    </w:p>
    <w:p w:rsidR="007B1A0C" w:rsidRPr="00A6390F" w:rsidRDefault="007B1A0C" w:rsidP="007B1A0C">
      <w:pPr>
        <w:jc w:val="center"/>
        <w:rPr>
          <w:b/>
        </w:rPr>
      </w:pPr>
    </w:p>
    <w:p w:rsidR="007B1A0C" w:rsidRPr="00A6390F" w:rsidRDefault="007B1A0C" w:rsidP="007B1A0C">
      <w:pPr>
        <w:jc w:val="center"/>
        <w:rPr>
          <w:b/>
        </w:rPr>
      </w:pPr>
    </w:p>
    <w:p w:rsidR="007B1A0C" w:rsidRPr="00A6390F" w:rsidRDefault="007B1A0C" w:rsidP="007B1A0C">
      <w:pPr>
        <w:jc w:val="center"/>
        <w:rPr>
          <w:b/>
        </w:rPr>
      </w:pPr>
    </w:p>
    <w:p w:rsidR="007B1A0C" w:rsidRPr="00A6390F" w:rsidRDefault="007B1A0C" w:rsidP="007B1A0C">
      <w:pPr>
        <w:numPr>
          <w:ilvl w:val="0"/>
          <w:numId w:val="1"/>
        </w:numPr>
        <w:autoSpaceDE/>
        <w:autoSpaceDN/>
        <w:jc w:val="center"/>
        <w:rPr>
          <w:b/>
        </w:rPr>
      </w:pPr>
      <w:r w:rsidRPr="00A6390F">
        <w:rPr>
          <w:b/>
        </w:rPr>
        <w:t>Předmět smlouvy</w:t>
      </w:r>
    </w:p>
    <w:p w:rsidR="007B1A0C" w:rsidRPr="00A6390F" w:rsidRDefault="007B1A0C" w:rsidP="007B1A0C">
      <w:pPr>
        <w:jc w:val="center"/>
        <w:rPr>
          <w:b/>
        </w:rPr>
      </w:pPr>
    </w:p>
    <w:p w:rsidR="007B1A0C" w:rsidRPr="00A6390F" w:rsidRDefault="007B1A0C" w:rsidP="007B1A0C">
      <w:pPr>
        <w:numPr>
          <w:ilvl w:val="0"/>
          <w:numId w:val="2"/>
        </w:numPr>
        <w:autoSpaceDE/>
        <w:autoSpaceDN/>
        <w:ind w:left="360"/>
        <w:jc w:val="both"/>
      </w:pPr>
      <w:r w:rsidRPr="00A6390F">
        <w:t xml:space="preserve">Na základě smlouvy se poskytuje finanční příspěvek účelově, jako nevratný a neinvestiční, na úhradu nákladů spojených s obnovou kulturní památky: </w:t>
      </w:r>
      <w:r w:rsidRPr="00A6390F">
        <w:rPr>
          <w:b/>
          <w:bCs/>
        </w:rPr>
        <w:t xml:space="preserve">kaplanka Horní č. p. 159, Český Krumlov-Vnitřní Město na pozemku st. p. 210 v katastrálním území Český Krumlov, rejstříkové číslo 25510 / 3-1176, </w:t>
      </w:r>
      <w:r w:rsidRPr="00A6390F">
        <w:t xml:space="preserve">okres Český Krumlov, kraj Jihočeský v rámci Programu regenerace MPR </w:t>
      </w:r>
      <w:r w:rsidRPr="00A6390F">
        <w:rPr>
          <w:bCs/>
          <w:iCs/>
        </w:rPr>
        <w:t>Český Krumlov</w:t>
      </w:r>
      <w:r w:rsidRPr="00A6390F">
        <w:t xml:space="preserve"> pro rok 2016, na základě žádosti příjemce, podané formou Souhrnného přehledu s povinnými doklady.</w:t>
      </w:r>
    </w:p>
    <w:p w:rsidR="007B1A0C" w:rsidRPr="00A6390F" w:rsidRDefault="007B1A0C" w:rsidP="007B1A0C">
      <w:pPr>
        <w:numPr>
          <w:ilvl w:val="0"/>
          <w:numId w:val="2"/>
        </w:numPr>
        <w:autoSpaceDE/>
        <w:autoSpaceDN/>
        <w:ind w:left="360"/>
        <w:jc w:val="both"/>
      </w:pPr>
      <w:r w:rsidRPr="00A6390F">
        <w:t xml:space="preserve">Příjemce je povinen použít poskytnuté finanční prostředky pouze na úhradu nákladů spojených s realizací prací zabezpečujících uchování souhrnné památkové hodnoty kulturní památky uvedené v čl. II., bodě 1., v rozsahu prací: </w:t>
      </w:r>
      <w:r w:rsidRPr="00A6390F">
        <w:rPr>
          <w:b/>
        </w:rPr>
        <w:t xml:space="preserve">Restaurování 3 kamenných náhrobků a kamenného vstupního portálu jižního průčelí a související práce </w:t>
      </w:r>
      <w:r w:rsidRPr="00A6390F">
        <w:t>(dále „obnova“).</w:t>
      </w:r>
    </w:p>
    <w:p w:rsidR="007B1A0C" w:rsidRPr="00A6390F" w:rsidRDefault="007B1A0C" w:rsidP="007B1A0C">
      <w:pPr>
        <w:jc w:val="both"/>
      </w:pPr>
    </w:p>
    <w:p w:rsidR="007B1A0C" w:rsidRPr="00A6390F" w:rsidRDefault="007B1A0C" w:rsidP="007B1A0C">
      <w:pPr>
        <w:jc w:val="right"/>
        <w:rPr>
          <w:i/>
          <w:sz w:val="18"/>
          <w:szCs w:val="18"/>
        </w:rPr>
      </w:pPr>
      <w:r w:rsidRPr="00A6390F">
        <w:rPr>
          <w:i/>
          <w:sz w:val="18"/>
          <w:szCs w:val="18"/>
        </w:rPr>
        <w:t xml:space="preserve">Spisová značka: 50014/2015/OÚPPP-PP, </w:t>
      </w:r>
      <w:proofErr w:type="spellStart"/>
      <w:r w:rsidRPr="00A6390F">
        <w:rPr>
          <w:i/>
          <w:sz w:val="18"/>
          <w:szCs w:val="18"/>
        </w:rPr>
        <w:t>č.j</w:t>
      </w:r>
      <w:proofErr w:type="spellEnd"/>
      <w:r w:rsidRPr="00A6390F">
        <w:rPr>
          <w:i/>
          <w:sz w:val="18"/>
          <w:szCs w:val="18"/>
        </w:rPr>
        <w:t>: MUCK 60549/2016/OÚPPP/PP</w:t>
      </w:r>
    </w:p>
    <w:p w:rsidR="007B1A0C" w:rsidRPr="00A6390F" w:rsidRDefault="007B1A0C" w:rsidP="007B1A0C">
      <w:pPr>
        <w:jc w:val="both"/>
      </w:pPr>
    </w:p>
    <w:p w:rsidR="007B1A0C" w:rsidRPr="00A6390F" w:rsidRDefault="007B1A0C" w:rsidP="007B1A0C">
      <w:pPr>
        <w:numPr>
          <w:ilvl w:val="0"/>
          <w:numId w:val="1"/>
        </w:numPr>
        <w:autoSpaceDE/>
        <w:autoSpaceDN/>
        <w:jc w:val="center"/>
        <w:rPr>
          <w:b/>
        </w:rPr>
      </w:pPr>
      <w:r w:rsidRPr="00A6390F">
        <w:rPr>
          <w:b/>
        </w:rPr>
        <w:t xml:space="preserve">Výše příspěvku </w:t>
      </w:r>
    </w:p>
    <w:p w:rsidR="007B1A0C" w:rsidRPr="00A6390F" w:rsidRDefault="007B1A0C" w:rsidP="007B1A0C">
      <w:pPr>
        <w:jc w:val="center"/>
        <w:rPr>
          <w:b/>
        </w:rPr>
      </w:pPr>
      <w:r w:rsidRPr="00A6390F">
        <w:rPr>
          <w:b/>
        </w:rPr>
        <w:t>a povinné podíly v Programu regenerace MPR Český Krumlov</w:t>
      </w:r>
    </w:p>
    <w:p w:rsidR="007B1A0C" w:rsidRPr="00A6390F" w:rsidRDefault="007B1A0C" w:rsidP="007B1A0C">
      <w:pPr>
        <w:ind w:left="-142"/>
        <w:jc w:val="center"/>
        <w:rPr>
          <w:b/>
        </w:rPr>
      </w:pPr>
    </w:p>
    <w:p w:rsidR="007B1A0C" w:rsidRPr="00A6390F" w:rsidRDefault="007B1A0C" w:rsidP="007B1A0C">
      <w:pPr>
        <w:numPr>
          <w:ilvl w:val="0"/>
          <w:numId w:val="3"/>
        </w:numPr>
        <w:tabs>
          <w:tab w:val="num" w:pos="360"/>
          <w:tab w:val="num" w:pos="1440"/>
        </w:tabs>
        <w:autoSpaceDE/>
        <w:autoSpaceDN/>
        <w:ind w:left="360"/>
        <w:jc w:val="both"/>
      </w:pPr>
      <w:r w:rsidRPr="00A6390F">
        <w:t xml:space="preserve">Poskytovatel touto smlouvou poskytuje na obnovu výše uvedené nemovité kulturní památky bezhotovostním převodem z účtu poskytovatele číslo 221241/0100 vedeného u Komerční banky a.s. na účet příjemce (vlastníka kulturní památky): 1002009089/5500 vedený u Raiffeisenbank finanční příspěvek ve výši </w:t>
      </w:r>
      <w:r w:rsidRPr="00A6390F">
        <w:rPr>
          <w:b/>
        </w:rPr>
        <w:t>127 000,-</w:t>
      </w:r>
      <w:r w:rsidRPr="00A6390F">
        <w:t xml:space="preserve"> Kč (slovy: sto dvacet sedm tisíc korun českých) jako příspěvek z účelové státní dotace.</w:t>
      </w:r>
    </w:p>
    <w:p w:rsidR="007B1A0C" w:rsidRPr="00A6390F" w:rsidRDefault="007B1A0C" w:rsidP="007B1A0C">
      <w:pPr>
        <w:jc w:val="both"/>
      </w:pPr>
    </w:p>
    <w:p w:rsidR="007B1A0C" w:rsidRPr="00A6390F" w:rsidRDefault="007B1A0C" w:rsidP="007B1A0C">
      <w:pPr>
        <w:numPr>
          <w:ilvl w:val="0"/>
          <w:numId w:val="3"/>
        </w:numPr>
        <w:tabs>
          <w:tab w:val="num" w:pos="360"/>
        </w:tabs>
        <w:autoSpaceDE/>
        <w:autoSpaceDN/>
        <w:ind w:left="360"/>
        <w:jc w:val="both"/>
      </w:pPr>
      <w:r w:rsidRPr="00A6390F">
        <w:rPr>
          <w:rFonts w:eastAsia="Calibri"/>
          <w:lang w:eastAsia="en-US"/>
        </w:rPr>
        <w:t>Závazné finanční podíly na nákladech vynaložených s obnovou kulturní památky v období od 1.1.2016 do 5.12.2016 podle této smlouvy jsou:</w:t>
      </w:r>
    </w:p>
    <w:p w:rsidR="007B1A0C" w:rsidRPr="00A6390F" w:rsidRDefault="007B1A0C" w:rsidP="007B1A0C">
      <w:pPr>
        <w:numPr>
          <w:ilvl w:val="0"/>
          <w:numId w:val="12"/>
        </w:numPr>
        <w:tabs>
          <w:tab w:val="num" w:pos="-3828"/>
        </w:tabs>
        <w:autoSpaceDE/>
        <w:autoSpaceDN/>
        <w:ind w:left="567" w:firstLine="0"/>
        <w:jc w:val="both"/>
        <w:rPr>
          <w:rFonts w:eastAsia="Calibri"/>
          <w:lang w:eastAsia="en-US"/>
        </w:rPr>
      </w:pPr>
      <w:r w:rsidRPr="00A6390F">
        <w:rPr>
          <w:rFonts w:eastAsia="Calibri"/>
          <w:lang w:eastAsia="en-US"/>
        </w:rPr>
        <w:t xml:space="preserve"> náklady celkem (vč./bez DPH)</w:t>
      </w:r>
      <w:r w:rsidRPr="00A6390F">
        <w:rPr>
          <w:rFonts w:eastAsia="Calibri"/>
          <w:lang w:eastAsia="en-US"/>
        </w:rPr>
        <w:tab/>
        <w:t xml:space="preserve">               </w:t>
      </w:r>
      <w:r w:rsidRPr="00A6390F">
        <w:rPr>
          <w:bCs/>
        </w:rPr>
        <w:t>127.880</w:t>
      </w:r>
      <w:r w:rsidRPr="00A6390F">
        <w:rPr>
          <w:rFonts w:eastAsia="Calibri"/>
          <w:bCs/>
          <w:lang w:eastAsia="en-US"/>
        </w:rPr>
        <w:t xml:space="preserve"> </w:t>
      </w:r>
      <w:r w:rsidRPr="00A6390F">
        <w:rPr>
          <w:rFonts w:eastAsia="Calibri"/>
          <w:lang w:eastAsia="en-US"/>
        </w:rPr>
        <w:t>Kč, to je: 100 %,</w:t>
      </w:r>
    </w:p>
    <w:p w:rsidR="007B1A0C" w:rsidRPr="00A6390F" w:rsidRDefault="007B1A0C" w:rsidP="007B1A0C">
      <w:pPr>
        <w:tabs>
          <w:tab w:val="num" w:pos="0"/>
        </w:tabs>
        <w:ind w:left="567"/>
        <w:rPr>
          <w:rFonts w:eastAsia="Calibri"/>
          <w:lang w:eastAsia="en-US"/>
        </w:rPr>
      </w:pPr>
      <w:r w:rsidRPr="00A6390F">
        <w:rPr>
          <w:rFonts w:eastAsia="Calibri"/>
          <w:lang w:eastAsia="en-US"/>
        </w:rPr>
        <w:t>z toho:</w:t>
      </w:r>
    </w:p>
    <w:p w:rsidR="007B1A0C" w:rsidRPr="00A6390F" w:rsidRDefault="007B1A0C" w:rsidP="007B1A0C">
      <w:pPr>
        <w:numPr>
          <w:ilvl w:val="0"/>
          <w:numId w:val="13"/>
        </w:numPr>
        <w:autoSpaceDE/>
        <w:autoSpaceDN/>
        <w:ind w:hanging="180"/>
        <w:jc w:val="both"/>
        <w:rPr>
          <w:rFonts w:eastAsia="Calibri"/>
          <w:lang w:eastAsia="en-US"/>
        </w:rPr>
      </w:pPr>
      <w:r w:rsidRPr="00A6390F">
        <w:rPr>
          <w:rFonts w:eastAsia="Calibri"/>
          <w:lang w:eastAsia="en-US"/>
        </w:rPr>
        <w:t xml:space="preserve"> příspěvek z Programu</w:t>
      </w:r>
      <w:r w:rsidRPr="00A6390F">
        <w:rPr>
          <w:rFonts w:eastAsia="Calibri"/>
          <w:lang w:eastAsia="en-US"/>
        </w:rPr>
        <w:tab/>
      </w:r>
      <w:r w:rsidRPr="00A6390F">
        <w:rPr>
          <w:rFonts w:eastAsia="Calibri"/>
          <w:lang w:eastAsia="en-US"/>
        </w:rPr>
        <w:tab/>
      </w:r>
      <w:proofErr w:type="gramStart"/>
      <w:r w:rsidRPr="00A6390F">
        <w:rPr>
          <w:rFonts w:eastAsia="Calibri"/>
          <w:lang w:eastAsia="en-US"/>
        </w:rPr>
        <w:tab/>
        <w:t xml:space="preserve">  127.</w:t>
      </w:r>
      <w:proofErr w:type="gramEnd"/>
      <w:r w:rsidRPr="00A6390F">
        <w:rPr>
          <w:rFonts w:eastAsia="Calibri"/>
          <w:lang w:eastAsia="en-US"/>
        </w:rPr>
        <w:t>000,- Kč, to je: 99,3 %,</w:t>
      </w:r>
    </w:p>
    <w:p w:rsidR="007B1A0C" w:rsidRPr="00A6390F" w:rsidRDefault="007B1A0C" w:rsidP="007B1A0C">
      <w:pPr>
        <w:numPr>
          <w:ilvl w:val="0"/>
          <w:numId w:val="13"/>
        </w:numPr>
        <w:autoSpaceDE/>
        <w:autoSpaceDN/>
        <w:ind w:hanging="180"/>
        <w:jc w:val="both"/>
        <w:rPr>
          <w:rFonts w:eastAsia="Calibri"/>
          <w:lang w:eastAsia="en-US"/>
        </w:rPr>
      </w:pPr>
      <w:r w:rsidRPr="00A6390F">
        <w:rPr>
          <w:rFonts w:eastAsia="Calibri"/>
          <w:lang w:eastAsia="en-US"/>
        </w:rPr>
        <w:t xml:space="preserve"> podíl města</w:t>
      </w:r>
      <w:r w:rsidRPr="00A6390F">
        <w:rPr>
          <w:rFonts w:eastAsia="Calibri"/>
          <w:lang w:eastAsia="en-US"/>
        </w:rPr>
        <w:tab/>
      </w:r>
      <w:r w:rsidRPr="00A6390F">
        <w:rPr>
          <w:rFonts w:eastAsia="Calibri"/>
          <w:lang w:eastAsia="en-US"/>
        </w:rPr>
        <w:tab/>
      </w:r>
      <w:r w:rsidRPr="00A6390F">
        <w:rPr>
          <w:rFonts w:eastAsia="Calibri"/>
          <w:lang w:eastAsia="en-US"/>
        </w:rPr>
        <w:tab/>
      </w:r>
      <w:r w:rsidRPr="00A6390F">
        <w:rPr>
          <w:rFonts w:eastAsia="Calibri"/>
          <w:lang w:eastAsia="en-US"/>
        </w:rPr>
        <w:tab/>
        <w:t xml:space="preserve">             0,- Kč, to </w:t>
      </w:r>
      <w:proofErr w:type="gramStart"/>
      <w:r w:rsidRPr="00A6390F">
        <w:rPr>
          <w:rFonts w:eastAsia="Calibri"/>
          <w:lang w:eastAsia="en-US"/>
        </w:rPr>
        <w:t xml:space="preserve">je:   </w:t>
      </w:r>
      <w:proofErr w:type="gramEnd"/>
      <w:r w:rsidRPr="00A6390F">
        <w:rPr>
          <w:rFonts w:eastAsia="Calibri"/>
          <w:lang w:eastAsia="en-US"/>
        </w:rPr>
        <w:t>0,0 %,</w:t>
      </w:r>
    </w:p>
    <w:p w:rsidR="007B1A0C" w:rsidRPr="00A6390F" w:rsidRDefault="007B1A0C" w:rsidP="007B1A0C">
      <w:pPr>
        <w:numPr>
          <w:ilvl w:val="0"/>
          <w:numId w:val="13"/>
        </w:numPr>
        <w:autoSpaceDE/>
        <w:autoSpaceDN/>
        <w:ind w:hanging="180"/>
        <w:jc w:val="both"/>
        <w:rPr>
          <w:rFonts w:eastAsia="Calibri"/>
          <w:lang w:eastAsia="en-US"/>
        </w:rPr>
      </w:pPr>
      <w:r w:rsidRPr="00A6390F">
        <w:rPr>
          <w:rFonts w:eastAsia="Calibri"/>
          <w:lang w:eastAsia="en-US"/>
        </w:rPr>
        <w:t xml:space="preserve"> podíl příjemce (vlastníka)</w:t>
      </w:r>
      <w:r w:rsidRPr="00A6390F">
        <w:rPr>
          <w:rFonts w:eastAsia="Calibri"/>
          <w:lang w:eastAsia="en-US"/>
        </w:rPr>
        <w:tab/>
      </w:r>
      <w:r w:rsidRPr="00A6390F">
        <w:rPr>
          <w:rFonts w:eastAsia="Calibri"/>
          <w:lang w:eastAsia="en-US"/>
        </w:rPr>
        <w:tab/>
        <w:t xml:space="preserve">         </w:t>
      </w:r>
      <w:r w:rsidRPr="00A6390F">
        <w:rPr>
          <w:bCs/>
        </w:rPr>
        <w:t>880,-</w:t>
      </w:r>
      <w:r w:rsidRPr="00A6390F">
        <w:rPr>
          <w:rFonts w:eastAsia="Calibri"/>
          <w:bCs/>
          <w:lang w:eastAsia="en-US"/>
        </w:rPr>
        <w:t xml:space="preserve"> </w:t>
      </w:r>
      <w:r w:rsidRPr="00A6390F">
        <w:rPr>
          <w:rFonts w:eastAsia="Calibri"/>
          <w:lang w:eastAsia="en-US"/>
        </w:rPr>
        <w:t xml:space="preserve">Kč, to </w:t>
      </w:r>
      <w:proofErr w:type="gramStart"/>
      <w:r w:rsidRPr="00A6390F">
        <w:rPr>
          <w:rFonts w:eastAsia="Calibri"/>
          <w:lang w:eastAsia="en-US"/>
        </w:rPr>
        <w:t xml:space="preserve">je:   </w:t>
      </w:r>
      <w:proofErr w:type="gramEnd"/>
      <w:r w:rsidRPr="00A6390F">
        <w:rPr>
          <w:rFonts w:eastAsia="Calibri"/>
          <w:lang w:eastAsia="en-US"/>
        </w:rPr>
        <w:t>0,7 %.</w:t>
      </w:r>
    </w:p>
    <w:p w:rsidR="007B1A0C" w:rsidRPr="00A6390F" w:rsidRDefault="007B1A0C" w:rsidP="007B1A0C">
      <w:pPr>
        <w:jc w:val="both"/>
      </w:pPr>
    </w:p>
    <w:p w:rsidR="007B1A0C" w:rsidRPr="00A6390F" w:rsidRDefault="007B1A0C" w:rsidP="007B1A0C">
      <w:pPr>
        <w:numPr>
          <w:ilvl w:val="0"/>
          <w:numId w:val="3"/>
        </w:numPr>
        <w:tabs>
          <w:tab w:val="num" w:pos="360"/>
        </w:tabs>
        <w:autoSpaceDE/>
        <w:autoSpaceDN/>
        <w:ind w:left="360"/>
        <w:jc w:val="both"/>
      </w:pPr>
      <w:r w:rsidRPr="00A6390F">
        <w:t>Příjemce dotace je povinen spolufinancovat akci obnovy kulturní památky ve výši minimálně dle podílu příjemce uvedeného v souhrnném přehledu.</w:t>
      </w:r>
    </w:p>
    <w:p w:rsidR="007B1A0C" w:rsidRPr="00A6390F" w:rsidRDefault="007B1A0C" w:rsidP="007B1A0C">
      <w:pPr>
        <w:jc w:val="both"/>
      </w:pPr>
    </w:p>
    <w:p w:rsidR="007B1A0C" w:rsidRPr="00A6390F" w:rsidRDefault="007B1A0C" w:rsidP="007B1A0C">
      <w:pPr>
        <w:jc w:val="both"/>
      </w:pPr>
    </w:p>
    <w:p w:rsidR="007B1A0C" w:rsidRPr="00A6390F" w:rsidRDefault="007B1A0C" w:rsidP="007B1A0C">
      <w:pPr>
        <w:jc w:val="both"/>
      </w:pPr>
    </w:p>
    <w:p w:rsidR="007B1A0C" w:rsidRPr="00A6390F" w:rsidRDefault="007B1A0C" w:rsidP="007B1A0C">
      <w:pPr>
        <w:numPr>
          <w:ilvl w:val="0"/>
          <w:numId w:val="1"/>
        </w:numPr>
        <w:autoSpaceDE/>
        <w:autoSpaceDN/>
        <w:jc w:val="center"/>
        <w:rPr>
          <w:b/>
        </w:rPr>
      </w:pPr>
      <w:r w:rsidRPr="00A6390F">
        <w:rPr>
          <w:b/>
        </w:rPr>
        <w:t>Plnění smlouvy</w:t>
      </w:r>
    </w:p>
    <w:p w:rsidR="007B1A0C" w:rsidRPr="00A6390F" w:rsidRDefault="007B1A0C" w:rsidP="007B1A0C">
      <w:pPr>
        <w:jc w:val="center"/>
        <w:rPr>
          <w:b/>
        </w:rPr>
      </w:pPr>
    </w:p>
    <w:p w:rsidR="007B1A0C" w:rsidRPr="00A6390F" w:rsidRDefault="007B1A0C" w:rsidP="007B1A0C">
      <w:pPr>
        <w:numPr>
          <w:ilvl w:val="0"/>
          <w:numId w:val="6"/>
        </w:numPr>
        <w:autoSpaceDE/>
        <w:autoSpaceDN/>
        <w:jc w:val="both"/>
      </w:pPr>
      <w:r w:rsidRPr="00A6390F">
        <w:t>Pro užití a čerpání finančního příspěvku se stanovují tyto podmínky:</w:t>
      </w:r>
    </w:p>
    <w:p w:rsidR="007B1A0C" w:rsidRPr="00A6390F" w:rsidRDefault="007B1A0C" w:rsidP="007B1A0C">
      <w:pPr>
        <w:ind w:left="207"/>
        <w:jc w:val="both"/>
      </w:pPr>
    </w:p>
    <w:p w:rsidR="007B1A0C" w:rsidRPr="00A6390F" w:rsidRDefault="007B1A0C" w:rsidP="007B1A0C">
      <w:pPr>
        <w:numPr>
          <w:ilvl w:val="1"/>
          <w:numId w:val="7"/>
        </w:numPr>
        <w:autoSpaceDE/>
        <w:autoSpaceDN/>
        <w:jc w:val="both"/>
      </w:pPr>
      <w:r w:rsidRPr="00A6390F">
        <w:t>Bude dodržen postup obnovy kulturní památky podle závazného stanoviska Městského úřadu Český Krumlov, Odboru územního plánování a památkové péče, oddělení památkové péče, č.j.: MUCK 54247/2015/OUPPP/JL ze dne 9.10.2015, vydaného k obnově výše uvedené kulturní památky podle § 14 zákona č. 20/1987 Sb., o státní památkové péči, ve znění pozdějších předpisů.</w:t>
      </w:r>
    </w:p>
    <w:p w:rsidR="007B1A0C" w:rsidRPr="00A6390F" w:rsidRDefault="007B1A0C" w:rsidP="007B1A0C">
      <w:pPr>
        <w:numPr>
          <w:ilvl w:val="1"/>
          <w:numId w:val="7"/>
        </w:numPr>
        <w:autoSpaceDE/>
        <w:autoSpaceDN/>
        <w:jc w:val="both"/>
      </w:pPr>
      <w:r w:rsidRPr="00A6390F">
        <w:t xml:space="preserve">Příspěvky budou použity výlučně na uhrazení nákladů spojených s uvedenými pracemi v čl. I. a II. této smlouvy při obnově kulturní památky; nebudou použity na jiný účel. </w:t>
      </w:r>
    </w:p>
    <w:p w:rsidR="007B1A0C" w:rsidRPr="00A6390F" w:rsidRDefault="007B1A0C" w:rsidP="007B1A0C">
      <w:pPr>
        <w:numPr>
          <w:ilvl w:val="1"/>
          <w:numId w:val="7"/>
        </w:numPr>
        <w:autoSpaceDE/>
        <w:autoSpaceDN/>
        <w:jc w:val="both"/>
      </w:pPr>
      <w:r w:rsidRPr="00A6390F">
        <w:t>Uznatelnými náklady jsou materiál zabudovaný do kulturní památky a práce uvedené v položkovém rozpočtu, který byl dán jako povinný doklad k souhrnnému přehledu.</w:t>
      </w:r>
    </w:p>
    <w:p w:rsidR="007B1A0C" w:rsidRPr="00A6390F" w:rsidRDefault="007B1A0C" w:rsidP="007B1A0C">
      <w:pPr>
        <w:numPr>
          <w:ilvl w:val="1"/>
          <w:numId w:val="7"/>
        </w:numPr>
        <w:autoSpaceDE/>
        <w:autoSpaceDN/>
        <w:jc w:val="both"/>
      </w:pPr>
      <w:r w:rsidRPr="00A6390F">
        <w:t xml:space="preserve">Práce obnovy budou provedeny nejpozději </w:t>
      </w:r>
      <w:r w:rsidRPr="00A6390F">
        <w:rPr>
          <w:b/>
          <w:bCs/>
        </w:rPr>
        <w:t>do 5.12.2016</w:t>
      </w:r>
      <w:r w:rsidRPr="00A6390F">
        <w:t xml:space="preserve">. </w:t>
      </w:r>
    </w:p>
    <w:p w:rsidR="007B1A0C" w:rsidRPr="00A6390F" w:rsidRDefault="007B1A0C" w:rsidP="007B1A0C">
      <w:pPr>
        <w:numPr>
          <w:ilvl w:val="1"/>
          <w:numId w:val="7"/>
        </w:numPr>
        <w:autoSpaceDE/>
        <w:autoSpaceDN/>
        <w:jc w:val="both"/>
      </w:pPr>
      <w:r w:rsidRPr="00A6390F">
        <w:t xml:space="preserve">Nejpozději </w:t>
      </w:r>
      <w:r w:rsidRPr="00A6390F">
        <w:rPr>
          <w:b/>
        </w:rPr>
        <w:t>do 7. 12. 2016</w:t>
      </w:r>
      <w:r w:rsidRPr="00A6390F">
        <w:t xml:space="preserve"> budou poskytovateli předloženy doklady k finančnímu vypořádání všech finančních prostředků vynaložených na obnovu nemovité kulturní památky v období od 1.1.2016 do 5.12.2016 v rámci Programu regenerace MPR Český Krumlov v roce 2016. </w:t>
      </w:r>
    </w:p>
    <w:p w:rsidR="007B1A0C" w:rsidRPr="00A6390F" w:rsidRDefault="007B1A0C" w:rsidP="007B1A0C">
      <w:pPr>
        <w:numPr>
          <w:ilvl w:val="1"/>
          <w:numId w:val="7"/>
        </w:numPr>
        <w:autoSpaceDE/>
        <w:autoSpaceDN/>
        <w:jc w:val="both"/>
      </w:pPr>
      <w:r w:rsidRPr="00A6390F">
        <w:t xml:space="preserve">Finanční příspěvky podle čl. III. této smlouvy budou na žádost příjemce převedeny bez zbytečného odkladu na jeho účet, budou-li práce na obnově kulturní památky provedeny v souladu se všemi ustanoveními této smlouvy, po kontrole provedených prací a po předložení faktury (faktur) s uvedením rozpisu prací provedených smluvním zhotovitelem prací specifikovaných v čl. I. a II. této smlouvy v celkové hodnotě </w:t>
      </w:r>
      <w:r w:rsidRPr="00A6390F">
        <w:rPr>
          <w:b/>
        </w:rPr>
        <w:t>127.880</w:t>
      </w:r>
      <w:r w:rsidRPr="00A6390F">
        <w:t xml:space="preserve"> Kč, a to spolu s dokladem o jejím (jejich) zaplacení příjemcem.</w:t>
      </w:r>
    </w:p>
    <w:p w:rsidR="007B1A0C" w:rsidRPr="00A6390F" w:rsidRDefault="007B1A0C" w:rsidP="007B1A0C">
      <w:pPr>
        <w:numPr>
          <w:ilvl w:val="1"/>
          <w:numId w:val="7"/>
        </w:numPr>
        <w:autoSpaceDE/>
        <w:autoSpaceDN/>
        <w:jc w:val="both"/>
      </w:pPr>
      <w:r w:rsidRPr="00A6390F">
        <w:t>Příspěvky je příjemce povinen vést v účetní evidenci odděleně tak, aby tyto finanční prostředky a nakládání s nimi byly odděleny od ostatního majetku příjemce, a to v souladu se zákonem č. 563/1991 Sb., o účetnictví, ve znění pozdějších předpisů.</w:t>
      </w:r>
    </w:p>
    <w:p w:rsidR="007B1A0C" w:rsidRPr="00A6390F" w:rsidRDefault="007B1A0C" w:rsidP="007B1A0C">
      <w:pPr>
        <w:numPr>
          <w:ilvl w:val="1"/>
          <w:numId w:val="7"/>
        </w:numPr>
        <w:autoSpaceDE/>
        <w:autoSpaceDN/>
        <w:jc w:val="both"/>
      </w:pPr>
      <w:r w:rsidRPr="00A6390F">
        <w:t xml:space="preserve">V průběhu obnovy vlastník nemovité kulturní památky upozorní vhodným způsobem (tabulkou, transparentem, umístěním informační tabulky atp.) na skutečnost, že akce obnovy kulturní památky je prováděna s využitím finančního příspěvku poskytnutého Ministerstvem kultury v rámci Programu regenerace MPR a MPZ. </w:t>
      </w:r>
    </w:p>
    <w:p w:rsidR="007B1A0C" w:rsidRPr="00A6390F" w:rsidRDefault="007B1A0C" w:rsidP="007B1A0C">
      <w:pPr>
        <w:numPr>
          <w:ilvl w:val="1"/>
          <w:numId w:val="7"/>
        </w:numPr>
        <w:autoSpaceDE/>
        <w:autoSpaceDN/>
        <w:jc w:val="both"/>
      </w:pPr>
      <w:r w:rsidRPr="00A6390F">
        <w:t xml:space="preserve">Jakákoliv změna obnovy kulturní památky, smlouvy o dílo, bude poskytovateli písemně oznámena s uvedením důvodu bez zbytečného prodlení, nejpozději do 30.11.2016. Oznámení o změně smlouvy o dílo na obnovu kulturní památky bude obsahovat jako přílohy dodatek smlouvy o dílo a nový rozpočet, podle kterého budou práce prováděny; změnou smlouvy o dílo se rozumí i úspora finančních prostředků nebo nerealizace některých položek z rozpočtu). Změny smlouvy o dílo je možné realizovat jen v rámci tzv. </w:t>
      </w:r>
      <w:r w:rsidRPr="00A6390F">
        <w:lastRenderedPageBreak/>
        <w:t xml:space="preserve">"uznatelných položek" </w:t>
      </w:r>
      <w:r w:rsidRPr="00A6390F">
        <w:rPr>
          <w:b/>
          <w:bCs/>
        </w:rPr>
        <w:t>neuvedených</w:t>
      </w:r>
      <w:r w:rsidRPr="00A6390F">
        <w:t xml:space="preserve"> na seznamu v Podmínkách pro přiznání příspěvku z programu v roce 2016.</w:t>
      </w:r>
    </w:p>
    <w:p w:rsidR="007B1A0C" w:rsidRPr="00A6390F" w:rsidRDefault="007B1A0C" w:rsidP="007B1A0C">
      <w:pPr>
        <w:numPr>
          <w:ilvl w:val="1"/>
          <w:numId w:val="7"/>
        </w:numPr>
        <w:autoSpaceDE/>
        <w:autoSpaceDN/>
        <w:jc w:val="both"/>
      </w:pPr>
      <w:r w:rsidRPr="00A6390F">
        <w:t>V případě, že se akce neuskuteční, příjemce příspěvku tuto skutečnost písemně oznámí poskytovateli bezodkladně poté, co tuto skutečnost zjistil.</w:t>
      </w:r>
    </w:p>
    <w:p w:rsidR="007B1A0C" w:rsidRPr="00A6390F" w:rsidRDefault="007B1A0C" w:rsidP="007B1A0C">
      <w:pPr>
        <w:numPr>
          <w:ilvl w:val="1"/>
          <w:numId w:val="7"/>
        </w:numPr>
        <w:autoSpaceDE/>
        <w:autoSpaceDN/>
        <w:jc w:val="both"/>
      </w:pPr>
      <w:r w:rsidRPr="00A6390F">
        <w:t>Nebudou-li práce na obnově kulturní památky provedeny v souladu se závazným stanoviskem státní památkové péče nebo se smlouvou o dílo a rozpočtem či s dodatkem smlouvy, doloženými jako povinné doklady k souhrnnému přehledu, případně nebudou-li dodrženy další ujednání této smlouvy, je toto důvodem k nevyplacení finančních příspěvků, případně, v odůvodněných případech, k úměrnému snížení výše uvedených finančních příspěvků.</w:t>
      </w:r>
    </w:p>
    <w:p w:rsidR="007B1A0C" w:rsidRPr="00A6390F" w:rsidRDefault="007B1A0C" w:rsidP="007B1A0C">
      <w:pPr>
        <w:jc w:val="center"/>
        <w:rPr>
          <w:b/>
        </w:rPr>
      </w:pPr>
    </w:p>
    <w:p w:rsidR="007B1A0C" w:rsidRPr="00A6390F" w:rsidRDefault="007B1A0C" w:rsidP="007B1A0C">
      <w:pPr>
        <w:jc w:val="center"/>
        <w:rPr>
          <w:b/>
        </w:rPr>
      </w:pPr>
    </w:p>
    <w:p w:rsidR="007B1A0C" w:rsidRPr="00A6390F" w:rsidRDefault="007B1A0C" w:rsidP="007B1A0C">
      <w:pPr>
        <w:numPr>
          <w:ilvl w:val="0"/>
          <w:numId w:val="1"/>
        </w:numPr>
        <w:autoSpaceDE/>
        <w:autoSpaceDN/>
        <w:jc w:val="center"/>
      </w:pPr>
      <w:r w:rsidRPr="00A6390F">
        <w:rPr>
          <w:b/>
        </w:rPr>
        <w:t>Povinnosti příjemce</w:t>
      </w:r>
    </w:p>
    <w:p w:rsidR="007B1A0C" w:rsidRPr="00A6390F" w:rsidRDefault="007B1A0C" w:rsidP="007B1A0C">
      <w:pPr>
        <w:jc w:val="center"/>
      </w:pPr>
    </w:p>
    <w:p w:rsidR="007B1A0C" w:rsidRPr="00A6390F" w:rsidRDefault="007B1A0C" w:rsidP="007B1A0C">
      <w:pPr>
        <w:numPr>
          <w:ilvl w:val="0"/>
          <w:numId w:val="9"/>
        </w:numPr>
        <w:tabs>
          <w:tab w:val="left" w:pos="360"/>
        </w:tabs>
        <w:autoSpaceDE/>
        <w:autoSpaceDN/>
        <w:ind w:left="360"/>
        <w:jc w:val="both"/>
      </w:pPr>
      <w:r w:rsidRPr="00A6390F">
        <w:t>Příjemce, vlastník kulturní památky, je povinen pracovníkům státní památkové péče Krajského úřadu Jihočeského kraje, Městského úřadu Český Krumlov a Národního památkového ústavu, územního pracoviště České Budějovice, umožnit přístup do nemovité kulturní památky za účelem provedení průběžné a závěrečné kontroly související s poskytnutím příspěvků, a dále nahlédnout do příslušných dokladů a poskytnout k tomu potřebné údaje a vysvětlení (tzn. provést kontrolu provedených prací, a to přímo na místě stavby a provést kontrolu finančního vyúčtování provedených prací atd.).</w:t>
      </w:r>
    </w:p>
    <w:p w:rsidR="007B1A0C" w:rsidRPr="00A6390F" w:rsidRDefault="007B1A0C" w:rsidP="007B1A0C">
      <w:pPr>
        <w:numPr>
          <w:ilvl w:val="0"/>
          <w:numId w:val="9"/>
        </w:numPr>
        <w:tabs>
          <w:tab w:val="left" w:pos="360"/>
        </w:tabs>
        <w:autoSpaceDE/>
        <w:autoSpaceDN/>
        <w:ind w:left="360"/>
        <w:jc w:val="both"/>
      </w:pPr>
      <w:r w:rsidRPr="00A6390F">
        <w:t>Příjemce oznámí pracovníkům státní památkové péče Městského úřadu Český Krumlov a Národního památkového ústavu, územního pracoviště v Českých Budějovicích zahájení prací.</w:t>
      </w:r>
    </w:p>
    <w:p w:rsidR="007B1A0C" w:rsidRPr="00A6390F" w:rsidRDefault="007B1A0C" w:rsidP="007B1A0C">
      <w:pPr>
        <w:numPr>
          <w:ilvl w:val="0"/>
          <w:numId w:val="9"/>
        </w:numPr>
        <w:tabs>
          <w:tab w:val="left" w:pos="360"/>
        </w:tabs>
        <w:autoSpaceDE/>
        <w:autoSpaceDN/>
        <w:ind w:left="360"/>
        <w:jc w:val="both"/>
      </w:pPr>
      <w:r w:rsidRPr="00A6390F">
        <w:t>Příjemce odpovídá za to, že poskytnutá částka bude čerpána pouze k účelu uvedenému</w:t>
      </w:r>
      <w:r w:rsidRPr="00A6390F">
        <w:br w:type="textWrapping" w:clear="all"/>
        <w:t>v článku I. a II. této smlouvy.</w:t>
      </w:r>
    </w:p>
    <w:p w:rsidR="007B1A0C" w:rsidRPr="00A6390F" w:rsidRDefault="007B1A0C" w:rsidP="007B1A0C">
      <w:pPr>
        <w:numPr>
          <w:ilvl w:val="0"/>
          <w:numId w:val="9"/>
        </w:numPr>
        <w:tabs>
          <w:tab w:val="left" w:pos="360"/>
        </w:tabs>
        <w:autoSpaceDE/>
        <w:autoSpaceDN/>
        <w:ind w:left="360"/>
        <w:jc w:val="both"/>
      </w:pPr>
      <w:r w:rsidRPr="00A6390F">
        <w:t>Příjemce předloží městu Český Krumlov, prostřednictvím Odboru územního plánování a památkové péče, Městského úřadu Český Krumlov k finančnímu vypořádání následující doklady:</w:t>
      </w:r>
    </w:p>
    <w:p w:rsidR="007B1A0C" w:rsidRPr="00A6390F" w:rsidRDefault="007B1A0C" w:rsidP="007B1A0C">
      <w:pPr>
        <w:numPr>
          <w:ilvl w:val="0"/>
          <w:numId w:val="14"/>
        </w:numPr>
        <w:tabs>
          <w:tab w:val="num" w:pos="720"/>
        </w:tabs>
        <w:autoSpaceDE/>
        <w:autoSpaceDN/>
        <w:ind w:left="720"/>
        <w:jc w:val="both"/>
      </w:pPr>
      <w:r w:rsidRPr="00A6390F">
        <w:t xml:space="preserve">fakturu, případně faktury s položkovým rozpočtem (s uvedením rozpisu prací) vystavené smluvním zhotovitelem prací obnovy (podepsané a orazítkované), </w:t>
      </w:r>
    </w:p>
    <w:p w:rsidR="007B1A0C" w:rsidRPr="00A6390F" w:rsidRDefault="007B1A0C" w:rsidP="007B1A0C">
      <w:pPr>
        <w:numPr>
          <w:ilvl w:val="0"/>
          <w:numId w:val="14"/>
        </w:numPr>
        <w:tabs>
          <w:tab w:val="num" w:pos="720"/>
        </w:tabs>
        <w:autoSpaceDE/>
        <w:autoSpaceDN/>
        <w:ind w:left="720"/>
        <w:jc w:val="both"/>
      </w:pPr>
      <w:r w:rsidRPr="00A6390F">
        <w:t>v případě více faktur bude proveden soupis faktur a součet jednotlivých prostavěných finančních prostředků bude sepsán v přehledné tabulce,</w:t>
      </w:r>
    </w:p>
    <w:p w:rsidR="007B1A0C" w:rsidRPr="00A6390F" w:rsidRDefault="007B1A0C" w:rsidP="007B1A0C">
      <w:pPr>
        <w:numPr>
          <w:ilvl w:val="0"/>
          <w:numId w:val="14"/>
        </w:numPr>
        <w:tabs>
          <w:tab w:val="num" w:pos="720"/>
        </w:tabs>
        <w:autoSpaceDE/>
        <w:autoSpaceDN/>
        <w:ind w:left="720"/>
        <w:jc w:val="both"/>
      </w:pPr>
      <w:r w:rsidRPr="00A6390F">
        <w:t>doklad nebo doklady o zaplacení faktur ve formě výpisu z účtu nebo pokladního dokladu, kterými bude dokladováno, že faktury byly uhrazeny. Ve výpisech z účtů budou samostatně označeny finanční transakce týkající se programu regenerace,</w:t>
      </w:r>
    </w:p>
    <w:p w:rsidR="007B1A0C" w:rsidRPr="00A6390F" w:rsidRDefault="007B1A0C" w:rsidP="007B1A0C">
      <w:pPr>
        <w:numPr>
          <w:ilvl w:val="0"/>
          <w:numId w:val="14"/>
        </w:numPr>
        <w:tabs>
          <w:tab w:val="num" w:pos="720"/>
        </w:tabs>
        <w:autoSpaceDE/>
        <w:autoSpaceDN/>
        <w:ind w:left="720"/>
        <w:jc w:val="both"/>
      </w:pPr>
      <w:r w:rsidRPr="00A6390F">
        <w:t>faktury, výpisy z účtu a pokladní doklady budou originály nebo kopie ověřené podpisem vlastníka, nebo dodavatele stavebních prací nebo stavebního dozoru; účetní doklady dle zákona č. 563/1991 Sb., o účetnictví, ve znění pozdějších předpisů a průkazných daňových dokladů dle zákona č. 235/2004 Sb., o dani z přidané hodnoty, ve znění pozdějších předpisů, musí splňovat předepsané náležitosti v souladu s platnými předpisy, jinak nebudou moc být akceptovány.</w:t>
      </w:r>
    </w:p>
    <w:p w:rsidR="007B1A0C" w:rsidRPr="00A6390F" w:rsidRDefault="007B1A0C" w:rsidP="007B1A0C">
      <w:pPr>
        <w:numPr>
          <w:ilvl w:val="0"/>
          <w:numId w:val="14"/>
        </w:numPr>
        <w:tabs>
          <w:tab w:val="num" w:pos="720"/>
        </w:tabs>
        <w:autoSpaceDE/>
        <w:autoSpaceDN/>
        <w:ind w:left="720"/>
        <w:jc w:val="both"/>
      </w:pPr>
      <w:r w:rsidRPr="00A6390F">
        <w:t xml:space="preserve">fotodokumentace vypovídající o průběhu a výsledku obnovy nemovité kulturní památky v roce 2016 obsahující vytištěné barevné fotografie s popisem (v případě restaurování bude předložena restaurátorská zpráva); fotografie budou také předány na CD nebo poslány e-mailem na adresu </w:t>
      </w:r>
      <w:hyperlink r:id="rId7" w:history="1">
        <w:r w:rsidRPr="00A6390F">
          <w:rPr>
            <w:rStyle w:val="Hypertextovodkaz"/>
          </w:rPr>
          <w:t>petr.papousek@mu.ckrumlov.cz</w:t>
        </w:r>
      </w:hyperlink>
      <w:r w:rsidRPr="00A6390F">
        <w:t xml:space="preserve">. </w:t>
      </w:r>
    </w:p>
    <w:p w:rsidR="007B1A0C" w:rsidRPr="00A6390F" w:rsidRDefault="007B1A0C" w:rsidP="007B1A0C">
      <w:pPr>
        <w:numPr>
          <w:ilvl w:val="0"/>
          <w:numId w:val="9"/>
        </w:numPr>
        <w:tabs>
          <w:tab w:val="left" w:pos="360"/>
        </w:tabs>
        <w:autoSpaceDE/>
        <w:autoSpaceDN/>
        <w:ind w:left="360"/>
        <w:jc w:val="both"/>
      </w:pPr>
      <w:r w:rsidRPr="00A6390F">
        <w:t>Příspěvky vede příjemce v účetní evidenci odděleně tak, aby tyto finanční prostředky a nakládání s nimi byly odděleny od ostatního majetku příjemce, a to v souladu se zákonem č. 563/1991 Sb., o účetnictví, ve znění pozdějších předpisů.</w:t>
      </w:r>
    </w:p>
    <w:p w:rsidR="007B1A0C" w:rsidRPr="00A6390F" w:rsidRDefault="007B1A0C" w:rsidP="007B1A0C">
      <w:pPr>
        <w:numPr>
          <w:ilvl w:val="0"/>
          <w:numId w:val="9"/>
        </w:numPr>
        <w:tabs>
          <w:tab w:val="left" w:pos="360"/>
        </w:tabs>
        <w:autoSpaceDE/>
        <w:autoSpaceDN/>
        <w:ind w:left="360"/>
        <w:jc w:val="both"/>
      </w:pPr>
      <w:r w:rsidRPr="00A6390F">
        <w:t xml:space="preserve">V případě, že u příjemce, nastane proces přeměny podle § 174 a následujících občanského zákoníku a dalších obecně závazných předpisů upravujících přeměnu právnické osoby nebo se stane účastníkem této přeměny, je povinen nejpozději do 14 dnů ode dne schválení záměru uskutečnit přeměnu jakýmkoliv orgánem příjemce, oznámit zahájení přeměny poskytovateli. Proces přeměny je pak povinen dokončit pouze se souhlasem a v souladu s pokyny poskytovatele. </w:t>
      </w:r>
    </w:p>
    <w:p w:rsidR="007B1A0C" w:rsidRPr="00A6390F" w:rsidRDefault="007B1A0C" w:rsidP="007B1A0C">
      <w:pPr>
        <w:numPr>
          <w:ilvl w:val="0"/>
          <w:numId w:val="9"/>
        </w:numPr>
        <w:tabs>
          <w:tab w:val="left" w:pos="360"/>
        </w:tabs>
        <w:autoSpaceDE/>
        <w:autoSpaceDN/>
        <w:ind w:left="360"/>
        <w:jc w:val="both"/>
      </w:pPr>
      <w:r w:rsidRPr="00A6390F">
        <w:t xml:space="preserve">Podle předcházejícího ustanovení (čl. V., bod 6) je příjemce povinen postupovat i v případě, pokud u něj nastane proces zrušení právnické osoby s likvidací dle § 187 a následujících občanského zákoníku a dalších obecně závazných předpisů upravujících zrušení právnické osoby s likvidací.  </w:t>
      </w:r>
    </w:p>
    <w:p w:rsidR="007B1A0C" w:rsidRPr="00A6390F" w:rsidRDefault="007B1A0C" w:rsidP="007B1A0C">
      <w:pPr>
        <w:numPr>
          <w:ilvl w:val="0"/>
          <w:numId w:val="9"/>
        </w:numPr>
        <w:tabs>
          <w:tab w:val="left" w:pos="360"/>
        </w:tabs>
        <w:autoSpaceDE/>
        <w:ind w:left="360"/>
        <w:jc w:val="both"/>
      </w:pPr>
      <w:r w:rsidRPr="00A6390F">
        <w:t xml:space="preserve">Smluvní strany souhlasí, aby tato smlouva byla zveřejněna v plném rozsahu v elektronickém registru smluv, který slouží k uveřejňování smluv dle zákona č. 340/2015 </w:t>
      </w:r>
      <w:proofErr w:type="gramStart"/>
      <w:r w:rsidRPr="00A6390F">
        <w:t>Sb..</w:t>
      </w:r>
      <w:proofErr w:type="gramEnd"/>
    </w:p>
    <w:p w:rsidR="007B1A0C" w:rsidRDefault="007B1A0C" w:rsidP="007B1A0C">
      <w:pPr>
        <w:jc w:val="center"/>
      </w:pPr>
    </w:p>
    <w:p w:rsidR="007B1A0C" w:rsidRPr="00A6390F" w:rsidRDefault="007B1A0C" w:rsidP="007B1A0C">
      <w:pPr>
        <w:jc w:val="center"/>
      </w:pPr>
      <w:bookmarkStart w:id="0" w:name="_GoBack"/>
      <w:bookmarkEnd w:id="0"/>
    </w:p>
    <w:p w:rsidR="007B1A0C" w:rsidRPr="00A6390F" w:rsidRDefault="007B1A0C" w:rsidP="007B1A0C">
      <w:pPr>
        <w:numPr>
          <w:ilvl w:val="0"/>
          <w:numId w:val="1"/>
        </w:numPr>
        <w:autoSpaceDE/>
        <w:autoSpaceDN/>
        <w:jc w:val="center"/>
      </w:pPr>
      <w:r w:rsidRPr="00A6390F">
        <w:rPr>
          <w:b/>
        </w:rPr>
        <w:lastRenderedPageBreak/>
        <w:t>Zvláštní ujednání</w:t>
      </w:r>
    </w:p>
    <w:p w:rsidR="007B1A0C" w:rsidRPr="00A6390F" w:rsidRDefault="007B1A0C" w:rsidP="007B1A0C">
      <w:pPr>
        <w:jc w:val="center"/>
      </w:pPr>
    </w:p>
    <w:p w:rsidR="007B1A0C" w:rsidRPr="00A6390F" w:rsidRDefault="007B1A0C" w:rsidP="007B1A0C">
      <w:pPr>
        <w:numPr>
          <w:ilvl w:val="0"/>
          <w:numId w:val="11"/>
        </w:numPr>
        <w:autoSpaceDE/>
        <w:autoSpaceDN/>
        <w:jc w:val="both"/>
      </w:pPr>
      <w:r w:rsidRPr="00A6390F">
        <w:t>Věci výslovně neupravené touto smlouvou se řídí obecně platnými právními předpisy zejména příslušnými ustanoveními zákona č. 250/2000 Sb., o rozpočtových pravidlech územních rozpočtů.</w:t>
      </w:r>
    </w:p>
    <w:p w:rsidR="007B1A0C" w:rsidRPr="00A6390F" w:rsidRDefault="007B1A0C" w:rsidP="007B1A0C">
      <w:pPr>
        <w:jc w:val="both"/>
      </w:pPr>
    </w:p>
    <w:p w:rsidR="007B1A0C" w:rsidRPr="00A6390F" w:rsidRDefault="007B1A0C" w:rsidP="007B1A0C">
      <w:pPr>
        <w:numPr>
          <w:ilvl w:val="0"/>
          <w:numId w:val="11"/>
        </w:numPr>
        <w:autoSpaceDE/>
        <w:autoSpaceDN/>
        <w:jc w:val="both"/>
      </w:pPr>
      <w:r w:rsidRPr="00A6390F">
        <w:t>Poskytovatel má právo nevyplatit podíly dle čl. III. bod 2. této smlouvy v případě, že příjemce nesplní podmínky stanovené v čl. IV. bod 1. této smlouvy.</w:t>
      </w:r>
    </w:p>
    <w:p w:rsidR="007B1A0C" w:rsidRPr="00A6390F" w:rsidRDefault="007B1A0C" w:rsidP="007B1A0C">
      <w:pPr>
        <w:jc w:val="both"/>
      </w:pPr>
    </w:p>
    <w:p w:rsidR="007B1A0C" w:rsidRPr="00A6390F" w:rsidRDefault="007B1A0C" w:rsidP="007B1A0C">
      <w:pPr>
        <w:numPr>
          <w:ilvl w:val="0"/>
          <w:numId w:val="11"/>
        </w:numPr>
        <w:autoSpaceDE/>
        <w:autoSpaceDN/>
        <w:jc w:val="both"/>
      </w:pPr>
      <w:r w:rsidRPr="00A6390F">
        <w:t>Příjemce je povinen vrátit celou poskytnutou částku na účet poskytovatele, uvedený v záhlaví této smlouvy, v případě, že příjemce nesplní jakoukoliv povinnost uvedenou v článcích I. až V. této smlouvy, a to do 7 dnů od porušení takovéto povinnosti.</w:t>
      </w:r>
    </w:p>
    <w:p w:rsidR="007B1A0C" w:rsidRPr="00A6390F" w:rsidRDefault="007B1A0C" w:rsidP="007B1A0C">
      <w:pPr>
        <w:jc w:val="both"/>
      </w:pPr>
    </w:p>
    <w:p w:rsidR="007B1A0C" w:rsidRPr="00A6390F" w:rsidRDefault="007B1A0C" w:rsidP="007B1A0C">
      <w:pPr>
        <w:numPr>
          <w:ilvl w:val="0"/>
          <w:numId w:val="11"/>
        </w:numPr>
        <w:autoSpaceDE/>
        <w:autoSpaceDN/>
        <w:jc w:val="both"/>
      </w:pPr>
      <w:r w:rsidRPr="00A6390F">
        <w:t xml:space="preserve">Dotace byla po posouzení poskytovatelem vyhodnocena jako nezakládající veřejnou podporu. Příjemce dotace bere na vědomí, že slučitelnost podpory se společným trhem posuzuje a rozhoduje závazným způsobem Evropská komise. Evropská komise může rovněž uložit příjemci navrácení veřejné podpory spolu s příslušným úrokem. Příjemce svým podpisem stvrzuje, že byl s touto skutečností seznámen. </w:t>
      </w:r>
    </w:p>
    <w:p w:rsidR="007B1A0C" w:rsidRPr="00A6390F" w:rsidRDefault="007B1A0C" w:rsidP="007B1A0C">
      <w:pPr>
        <w:jc w:val="both"/>
      </w:pPr>
    </w:p>
    <w:p w:rsidR="007B1A0C" w:rsidRPr="00A6390F" w:rsidRDefault="007B1A0C" w:rsidP="007B1A0C">
      <w:pPr>
        <w:numPr>
          <w:ilvl w:val="0"/>
          <w:numId w:val="11"/>
        </w:numPr>
        <w:autoSpaceDE/>
        <w:autoSpaceDN/>
        <w:jc w:val="both"/>
      </w:pPr>
      <w:r w:rsidRPr="00A6390F">
        <w:t xml:space="preserve">Příjemce podpory bere na vědomí, že tato smlouva bude zveřejněna způsobem dle § </w:t>
      </w:r>
      <w:proofErr w:type="gramStart"/>
      <w:r w:rsidRPr="00A6390F">
        <w:t>10d</w:t>
      </w:r>
      <w:proofErr w:type="gramEnd"/>
      <w:r w:rsidRPr="00A6390F">
        <w:t xml:space="preserve"> zákona č. 250/2000 Sb., o rozpočtových pravidlech územních rozpočtů.</w:t>
      </w:r>
    </w:p>
    <w:p w:rsidR="007B1A0C" w:rsidRPr="00A6390F" w:rsidRDefault="007B1A0C" w:rsidP="007B1A0C">
      <w:pPr>
        <w:jc w:val="both"/>
      </w:pPr>
    </w:p>
    <w:p w:rsidR="007B1A0C" w:rsidRPr="00A6390F" w:rsidRDefault="007B1A0C" w:rsidP="007B1A0C">
      <w:pPr>
        <w:numPr>
          <w:ilvl w:val="0"/>
          <w:numId w:val="11"/>
        </w:numPr>
        <w:autoSpaceDE/>
        <w:autoSpaceDN/>
        <w:jc w:val="both"/>
      </w:pPr>
      <w:r w:rsidRPr="00A6390F">
        <w:t>Smlouva je sepsána ve třech exemplářích, z toho jeden obdrží příjemce a dva poskytovatel.</w:t>
      </w:r>
    </w:p>
    <w:p w:rsidR="007B1A0C" w:rsidRPr="00A6390F" w:rsidRDefault="007B1A0C" w:rsidP="007B1A0C">
      <w:pPr>
        <w:jc w:val="both"/>
      </w:pPr>
    </w:p>
    <w:p w:rsidR="007B1A0C" w:rsidRPr="00A6390F" w:rsidRDefault="007B1A0C" w:rsidP="007B1A0C">
      <w:pPr>
        <w:numPr>
          <w:ilvl w:val="0"/>
          <w:numId w:val="11"/>
        </w:numPr>
        <w:autoSpaceDE/>
        <w:autoSpaceDN/>
        <w:spacing w:line="240" w:lineRule="atLeast"/>
        <w:jc w:val="both"/>
      </w:pPr>
      <w:r w:rsidRPr="00A6390F">
        <w:t>Smlouva nabývá účinnosti dnem podpisu obou smluvních stran.</w:t>
      </w:r>
    </w:p>
    <w:p w:rsidR="007B1A0C" w:rsidRDefault="007B1A0C" w:rsidP="007B1A0C">
      <w:pPr>
        <w:spacing w:line="240" w:lineRule="atLeast"/>
        <w:jc w:val="both"/>
      </w:pPr>
    </w:p>
    <w:p w:rsidR="007B1A0C" w:rsidRDefault="007B1A0C" w:rsidP="007B1A0C">
      <w:pPr>
        <w:numPr>
          <w:ilvl w:val="0"/>
          <w:numId w:val="11"/>
        </w:numPr>
        <w:autoSpaceDE/>
        <w:autoSpaceDN/>
        <w:spacing w:line="240" w:lineRule="atLeast"/>
        <w:jc w:val="both"/>
      </w:pPr>
      <w:r>
        <w:t>Účastníci prohlašují, že smlouva byla sepsána podle jejich skutečné vůle. Účastníci dále prohlašují, že si smlouvu před podpisem přečetli, s jejím obsahem souhlasí a na důkaz toho připojují své vlastnoruční podpisy.</w:t>
      </w:r>
    </w:p>
    <w:p w:rsidR="007B1A0C" w:rsidRDefault="007B1A0C" w:rsidP="007B1A0C">
      <w:pPr>
        <w:jc w:val="both"/>
      </w:pPr>
    </w:p>
    <w:p w:rsidR="007B1A0C" w:rsidRDefault="007B1A0C" w:rsidP="007B1A0C">
      <w:pPr>
        <w:pStyle w:val="Odstavecseseznamem"/>
        <w:rPr>
          <w:sz w:val="22"/>
          <w:szCs w:val="22"/>
        </w:rPr>
      </w:pPr>
    </w:p>
    <w:p w:rsidR="007B1A0C" w:rsidRDefault="007B1A0C" w:rsidP="007B1A0C">
      <w:pPr>
        <w:jc w:val="both"/>
      </w:pPr>
    </w:p>
    <w:p w:rsidR="007B1A0C" w:rsidRDefault="007B1A0C" w:rsidP="007B1A0C">
      <w:pPr>
        <w:jc w:val="both"/>
      </w:pPr>
    </w:p>
    <w:p w:rsidR="007B1A0C" w:rsidRDefault="007B1A0C" w:rsidP="007B1A0C">
      <w:pPr>
        <w:jc w:val="both"/>
      </w:pPr>
      <w:r>
        <w:t xml:space="preserve">V Českém Krumlově dne </w:t>
      </w:r>
      <w:r>
        <w:tab/>
      </w:r>
      <w:r>
        <w:tab/>
      </w:r>
      <w:r>
        <w:tab/>
      </w:r>
      <w:r>
        <w:tab/>
      </w:r>
      <w:r>
        <w:tab/>
      </w:r>
      <w:r>
        <w:tab/>
      </w:r>
    </w:p>
    <w:p w:rsidR="007B1A0C" w:rsidRDefault="007B1A0C" w:rsidP="007B1A0C">
      <w:pPr>
        <w:jc w:val="both"/>
      </w:pPr>
      <w:r>
        <w:tab/>
      </w:r>
    </w:p>
    <w:p w:rsidR="007B1A0C" w:rsidRDefault="007B1A0C" w:rsidP="007B1A0C">
      <w:pPr>
        <w:jc w:val="both"/>
      </w:pPr>
    </w:p>
    <w:p w:rsidR="007B1A0C" w:rsidRDefault="007B1A0C" w:rsidP="007B1A0C">
      <w:pPr>
        <w:jc w:val="both"/>
      </w:pPr>
    </w:p>
    <w:p w:rsidR="007B1A0C" w:rsidRDefault="007B1A0C" w:rsidP="007B1A0C">
      <w:pPr>
        <w:jc w:val="both"/>
      </w:pPr>
      <w:r>
        <w:t>-----------------------------                                                                  ---------------------------------</w:t>
      </w:r>
    </w:p>
    <w:p w:rsidR="007B1A0C" w:rsidRDefault="007B1A0C" w:rsidP="007B1A0C">
      <w:pPr>
        <w:jc w:val="both"/>
      </w:pPr>
      <w:r>
        <w:t xml:space="preserve">   Mgr. Dalibor Carda</w:t>
      </w:r>
      <w:r>
        <w:tab/>
      </w:r>
      <w:r>
        <w:tab/>
      </w:r>
      <w:r>
        <w:tab/>
      </w:r>
      <w:r>
        <w:tab/>
      </w:r>
      <w:r>
        <w:tab/>
      </w:r>
      <w:r>
        <w:tab/>
        <w:t xml:space="preserve">       </w:t>
      </w:r>
      <w:r w:rsidRPr="00A6390F">
        <w:rPr>
          <w:iCs/>
        </w:rPr>
        <w:t>P. Václav Pícha, JC.D.</w:t>
      </w:r>
      <w:r>
        <w:t xml:space="preserve"> </w:t>
      </w:r>
    </w:p>
    <w:p w:rsidR="007F6C6D" w:rsidRPr="007B1A0C" w:rsidRDefault="007F6C6D" w:rsidP="007B1A0C"/>
    <w:sectPr w:rsidR="007F6C6D" w:rsidRPr="007B1A0C" w:rsidSect="00D30862">
      <w:footerReference w:type="default" r:id="rId8"/>
      <w:pgSz w:w="11906" w:h="16838"/>
      <w:pgMar w:top="1276" w:right="851" w:bottom="1276" w:left="113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1A0C">
      <w:r>
        <w:separator/>
      </w:r>
    </w:p>
  </w:endnote>
  <w:endnote w:type="continuationSeparator" w:id="0">
    <w:p w:rsidR="00000000" w:rsidRDefault="007B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51" w:rsidRPr="00583751" w:rsidRDefault="00D30862" w:rsidP="00583751">
    <w:pPr>
      <w:pStyle w:val="Zpat"/>
      <w:jc w:val="center"/>
      <w:rPr>
        <w:sz w:val="18"/>
        <w:szCs w:val="18"/>
      </w:rPr>
    </w:pPr>
    <w:r w:rsidRPr="00583751">
      <w:rPr>
        <w:sz w:val="18"/>
        <w:szCs w:val="18"/>
      </w:rPr>
      <w:t xml:space="preserve">Strana </w:t>
    </w:r>
    <w:r w:rsidRPr="00583751">
      <w:rPr>
        <w:sz w:val="18"/>
        <w:szCs w:val="18"/>
      </w:rPr>
      <w:fldChar w:fldCharType="begin"/>
    </w:r>
    <w:r w:rsidRPr="00583751">
      <w:rPr>
        <w:sz w:val="18"/>
        <w:szCs w:val="18"/>
      </w:rPr>
      <w:instrText xml:space="preserve"> PAGE </w:instrText>
    </w:r>
    <w:r w:rsidRPr="00583751">
      <w:rPr>
        <w:sz w:val="18"/>
        <w:szCs w:val="18"/>
      </w:rPr>
      <w:fldChar w:fldCharType="separate"/>
    </w:r>
    <w:r w:rsidR="007B1A0C">
      <w:rPr>
        <w:noProof/>
        <w:sz w:val="18"/>
        <w:szCs w:val="18"/>
      </w:rPr>
      <w:t>4</w:t>
    </w:r>
    <w:r w:rsidRPr="00583751">
      <w:rPr>
        <w:sz w:val="18"/>
        <w:szCs w:val="18"/>
      </w:rPr>
      <w:fldChar w:fldCharType="end"/>
    </w:r>
    <w:r w:rsidRPr="00583751">
      <w:rPr>
        <w:sz w:val="18"/>
        <w:szCs w:val="18"/>
      </w:rPr>
      <w:t xml:space="preserve"> (celkem </w:t>
    </w:r>
    <w:r w:rsidRPr="00583751">
      <w:rPr>
        <w:sz w:val="18"/>
        <w:szCs w:val="18"/>
      </w:rPr>
      <w:fldChar w:fldCharType="begin"/>
    </w:r>
    <w:r w:rsidRPr="00583751">
      <w:rPr>
        <w:sz w:val="18"/>
        <w:szCs w:val="18"/>
      </w:rPr>
      <w:instrText xml:space="preserve"> NUMPAGES </w:instrText>
    </w:r>
    <w:r w:rsidRPr="00583751">
      <w:rPr>
        <w:sz w:val="18"/>
        <w:szCs w:val="18"/>
      </w:rPr>
      <w:fldChar w:fldCharType="separate"/>
    </w:r>
    <w:r w:rsidR="007B1A0C">
      <w:rPr>
        <w:noProof/>
        <w:sz w:val="18"/>
        <w:szCs w:val="18"/>
      </w:rPr>
      <w:t>4</w:t>
    </w:r>
    <w:r w:rsidRPr="00583751">
      <w:rPr>
        <w:sz w:val="18"/>
        <w:szCs w:val="18"/>
      </w:rPr>
      <w:fldChar w:fldCharType="end"/>
    </w:r>
    <w:r w:rsidRPr="0058375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B1A0C">
      <w:r>
        <w:separator/>
      </w:r>
    </w:p>
  </w:footnote>
  <w:footnote w:type="continuationSeparator" w:id="0">
    <w:p w:rsidR="00000000" w:rsidRDefault="007B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44B2"/>
    <w:multiLevelType w:val="hybridMultilevel"/>
    <w:tmpl w:val="6BE84098"/>
    <w:lvl w:ilvl="0" w:tplc="0405001B">
      <w:start w:val="1"/>
      <w:numFmt w:val="lowerRoman"/>
      <w:lvlText w:val="%1."/>
      <w:lvlJc w:val="righ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5341BBB"/>
    <w:multiLevelType w:val="multilevel"/>
    <w:tmpl w:val="54084F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b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A924FC7"/>
    <w:multiLevelType w:val="hybridMultilevel"/>
    <w:tmpl w:val="ABAA480A"/>
    <w:lvl w:ilvl="0" w:tplc="1DF83640">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4C6599D"/>
    <w:multiLevelType w:val="hybridMultilevel"/>
    <w:tmpl w:val="95CE7842"/>
    <w:lvl w:ilvl="0" w:tplc="CF34B184">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A936077"/>
    <w:multiLevelType w:val="hybridMultilevel"/>
    <w:tmpl w:val="3F2E4022"/>
    <w:lvl w:ilvl="0" w:tplc="F064F2E8">
      <w:start w:val="7"/>
      <w:numFmt w:val="bullet"/>
      <w:lvlText w:val="-"/>
      <w:lvlJc w:val="left"/>
      <w:pPr>
        <w:ind w:left="720" w:hanging="360"/>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434148BF"/>
    <w:multiLevelType w:val="singleLevel"/>
    <w:tmpl w:val="B5B0B23C"/>
    <w:lvl w:ilvl="0">
      <w:start w:val="1"/>
      <w:numFmt w:val="upperRoman"/>
      <w:lvlText w:val="%1. "/>
      <w:legacy w:legacy="1" w:legacySpace="0" w:legacyIndent="283"/>
      <w:lvlJc w:val="left"/>
      <w:pPr>
        <w:ind w:left="283" w:hanging="283"/>
      </w:pPr>
      <w:rPr>
        <w:rFonts w:ascii="Times New Roman" w:hAnsi="Times New Roman" w:cs="Times New Roman" w:hint="default"/>
        <w:b/>
        <w:bCs/>
        <w:i w:val="0"/>
        <w:strike w:val="0"/>
        <w:dstrike w:val="0"/>
        <w:sz w:val="24"/>
        <w:u w:val="none"/>
        <w:effect w:val="none"/>
      </w:rPr>
    </w:lvl>
  </w:abstractNum>
  <w:abstractNum w:abstractNumId="6" w15:restartNumberingAfterBreak="0">
    <w:nsid w:val="524B480F"/>
    <w:multiLevelType w:val="hybridMultilevel"/>
    <w:tmpl w:val="715EC23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3A82919"/>
    <w:multiLevelType w:val="singleLevel"/>
    <w:tmpl w:val="B7A83A6C"/>
    <w:lvl w:ilvl="0">
      <w:start w:val="1"/>
      <w:numFmt w:val="bullet"/>
      <w:lvlText w:val=""/>
      <w:lvlJc w:val="left"/>
      <w:pPr>
        <w:ind w:left="720" w:hanging="360"/>
      </w:pPr>
      <w:rPr>
        <w:rFonts w:ascii="Symbol" w:hAnsi="Symbol" w:hint="default"/>
      </w:rPr>
    </w:lvl>
  </w:abstractNum>
  <w:abstractNum w:abstractNumId="8" w15:restartNumberingAfterBreak="0">
    <w:nsid w:val="580B64AE"/>
    <w:multiLevelType w:val="hybridMultilevel"/>
    <w:tmpl w:val="8BF2682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590063"/>
    <w:multiLevelType w:val="hybridMultilevel"/>
    <w:tmpl w:val="88EA1538"/>
    <w:lvl w:ilvl="0" w:tplc="04050001">
      <w:start w:val="1"/>
      <w:numFmt w:val="bullet"/>
      <w:lvlText w:val=""/>
      <w:lvlJc w:val="left"/>
      <w:pPr>
        <w:tabs>
          <w:tab w:val="num" w:pos="1080"/>
        </w:tabs>
        <w:ind w:left="1080" w:hanging="360"/>
      </w:pPr>
      <w:rPr>
        <w:rFonts w:ascii="Symbol" w:hAnsi="Symbol" w:hint="default"/>
      </w:rPr>
    </w:lvl>
    <w:lvl w:ilvl="1" w:tplc="04050011">
      <w:start w:val="1"/>
      <w:numFmt w:val="decimal"/>
      <w:lvlText w:val="%2)"/>
      <w:lvlJc w:val="left"/>
      <w:pPr>
        <w:tabs>
          <w:tab w:val="num" w:pos="1800"/>
        </w:tabs>
        <w:ind w:left="180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79D52ECA"/>
    <w:multiLevelType w:val="hybridMultilevel"/>
    <w:tmpl w:val="3160B852"/>
    <w:lvl w:ilvl="0" w:tplc="9EFC915A">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62"/>
    <w:rsid w:val="007B1A0C"/>
    <w:rsid w:val="007F6C6D"/>
    <w:rsid w:val="00D30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D652"/>
  <w15:chartTrackingRefBased/>
  <w15:docId w15:val="{CFF50256-0559-4CE0-B9BF-CBC4941F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D30862"/>
    <w:pPr>
      <w:autoSpaceDE w:val="0"/>
      <w:autoSpaceDN w:val="0"/>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30862"/>
    <w:pPr>
      <w:tabs>
        <w:tab w:val="center" w:pos="4536"/>
        <w:tab w:val="right" w:pos="9072"/>
      </w:tabs>
    </w:pPr>
  </w:style>
  <w:style w:type="character" w:customStyle="1" w:styleId="ZpatChar">
    <w:name w:val="Zápatí Char"/>
    <w:basedOn w:val="Standardnpsmoodstavce"/>
    <w:link w:val="Zpat"/>
    <w:rsid w:val="00D30862"/>
    <w:rPr>
      <w:rFonts w:ascii="Times New Roman" w:eastAsia="Times New Roman" w:hAnsi="Times New Roman" w:cs="Times New Roman"/>
      <w:lang w:eastAsia="cs-CZ"/>
    </w:rPr>
  </w:style>
  <w:style w:type="character" w:styleId="Hypertextovodkaz">
    <w:name w:val="Hyperlink"/>
    <w:rsid w:val="00D30862"/>
    <w:rPr>
      <w:color w:val="0000FF"/>
      <w:u w:val="single"/>
    </w:rPr>
  </w:style>
  <w:style w:type="paragraph" w:styleId="Odstavecseseznamem">
    <w:name w:val="List Paragraph"/>
    <w:basedOn w:val="Normln"/>
    <w:qFormat/>
    <w:rsid w:val="00D30862"/>
    <w:pPr>
      <w:autoSpaceDE/>
      <w:autoSpaceDN/>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papousek@mu.ckruml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1795</Words>
  <Characters>10593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Papoušek</dc:creator>
  <cp:keywords/>
  <dc:description/>
  <cp:lastModifiedBy>Petr Papoušek</cp:lastModifiedBy>
  <cp:revision>2</cp:revision>
  <dcterms:created xsi:type="dcterms:W3CDTF">2016-11-30T13:25:00Z</dcterms:created>
  <dcterms:modified xsi:type="dcterms:W3CDTF">2016-11-30T14:17:00Z</dcterms:modified>
</cp:coreProperties>
</file>