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6F" w:rsidRDefault="00EA7951">
      <w:bookmarkStart w:id="0" w:name="_GoBack"/>
      <w:bookmarkEnd w:id="0"/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pt;margin-top:390pt;width:82.7pt;height:12pt;z-index:251695104;mso-position-horizontal-relative:page;mso-position-vertical-relative:page" stroked="f">
            <v:fill opacity="0" o:opacity2="100"/>
            <v:textbox inset="0,0,0,0">
              <w:txbxContent>
                <w:p w:rsidR="00EA7951" w:rsidRDefault="00EA7951">
                  <w:pPr>
                    <w:spacing w:after="0" w:line="240" w:lineRule="auto"/>
                    <w:rPr>
                      <w:rStyle w:val="Text6"/>
                    </w:rPr>
                  </w:pPr>
                  <w:r>
                    <w:rPr>
                      <w:rStyle w:val="Text6"/>
                    </w:rPr>
                    <w:t>Roček Martin</w:t>
                  </w:r>
                </w:p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6"/>
                    </w:rPr>
                    <w:t>Martin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69pt;width:0;height:20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8" type="#_x0000_t202" style="position:absolute;margin-left:128pt;margin-top:211pt;width:434pt;height:46pt;z-index:251621376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Napojení vodoměrů a měřičů tepla do dálkového systému měření a regulace,při jejich nutné</w:t>
                  </w:r>
                  <w:r>
                    <w:rPr>
                      <w:rStyle w:val="Text1"/>
                      <w:rFonts w:eastAsiaTheme="minorHAnsi"/>
                    </w:rPr>
                    <w:br/>
                    <w:t>výměně.Navrhovaná cena firmou SIEMENS s.r.o., je 1800.-Kč za  1hodinu.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7" type="#_x0000_t32" style="position:absolute;margin-left:29pt;margin-top:200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6" type="#_x0000_t32" style="position:absolute;margin-left:29pt;margin-top:201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5" type="#_x0000_t32" style="position:absolute;margin-left:578pt;margin-top:201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4" type="#_x0000_t32" style="position:absolute;margin-left:29pt;margin-top:261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3" type="#_x0000_t202" style="position:absolute;margin-left:38pt;margin-top:207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2" type="#_x0000_t202" style="position:absolute;margin-left:30pt;margin-top:300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:rsidR="00B07A6F" w:rsidRDefault="00EA7951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8" type="#_x0000_t32" style="position:absolute;margin-left:29pt;margin-top:194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</w:t>
                  </w:r>
                  <w:r>
                    <w:rPr>
                      <w:rStyle w:val="Text4"/>
                    </w:rPr>
                    <w:t>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6" type="#_x0000_t202" style="position:absolute;margin-left:128pt;margin-top:143pt;width:434pt;height:49pt;z-index:251633664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00-00-0060 -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TŘÍDA MÍRU 60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5" type="#_x0000_t32" style="position:absolute;margin-left:29pt;margin-top:268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4" type="#_x0000_t32" style="position:absolute;margin-left:29pt;margin-top:269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3" type="#_x0000_t32" style="position:absolute;margin-left:578pt;margin-top:269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2" type="#_x0000_t32" style="position:absolute;margin-left:29pt;margin-top:289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1" type="#_x0000_t202" style="position:absolute;margin-left:38pt;margin-top:274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0" type="#_x0000_t202" style="position:absolute;margin-left:137pt;margin-top:273pt;width:158pt;height:13pt;z-index:251639808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25.01.2019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9" type="#_x0000_t202" style="position:absolute;margin-left:308pt;margin-top:273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8" type="#_x0000_t202" style="position:absolute;margin-left:372pt;margin-top:272pt;width:2in;height:13pt;z-index:251641856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51350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7" type="#_x0000_t32" style="position:absolute;margin-left:29pt;margin-top:296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6" type="#_x0000_t32" style="position:absolute;margin-left:29pt;margin-top:296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5" type="#_x0000_t32" style="position:absolute;margin-left:578pt;margin-top:300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4" type="#_x0000_t32" style="position:absolute;margin-left:29pt;margin-top:380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3" type="#_x0000_t32" style="position:absolute;margin-left:29pt;margin-top:389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2" type="#_x0000_t32" style="position:absolute;margin-left:29pt;margin-top:389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1" type="#_x0000_t32" style="position:absolute;margin-left:578pt;margin-top:389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29pt;margin-top:425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209pt;margin-top:389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398pt;margin-top:389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7" type="#_x0000_t202" style="position:absolute;margin-left:39pt;margin-top:389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6" type="#_x0000_t202" style="position:absolute;margin-left:219pt;margin-top:389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5" type="#_x0000_t202" style="position:absolute;margin-left:408pt;margin-top:389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4" type="#_x0000_t202" style="position:absolute;margin-left:39pt;margin-top:407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3" type="#_x0000_t202" style="position:absolute;margin-left:219pt;margin-top:407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2" type="#_x0000_t202" style="position:absolute;margin-left:408pt;margin-top:407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9pt;margin-top:434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9pt;margin-top:434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78pt;margin-top:434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9pt;margin-top:533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7" type="#_x0000_t202" style="position:absolute;margin-left:39pt;margin-top:435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:rsidR="00B07A6F" w:rsidRDefault="00EA7951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</w:t>
                  </w:r>
                  <w:r>
                    <w:rPr>
                      <w:rStyle w:val="Text3"/>
                    </w:rPr>
                    <w:t>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9pt;margin-top:479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39pt;margin-top:506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10pt;margin-top:506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9pt;margin-top:551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578pt;margin-top:551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0" type="#_x0000_t202" style="position:absolute;margin-left:39pt;margin-top:569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39pt;margin-top:614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399pt;margin-top:623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9pt;margin-top:650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6" type="#_x0000_t202" style="position:absolute;margin-left:255pt;margin-top:407pt;width:91pt;height:13pt;z-index:251674624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proofErr w:type="gramStart"/>
                  <w:r>
                    <w:rPr>
                      <w:rStyle w:val="Text4"/>
                    </w:rPr>
                    <w:t>16.01.2019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5" type="#_x0000_t202" style="position:absolute;margin-left:39pt;margin-top:335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4" type="#_x0000_t202" style="position:absolute;margin-left:39pt;margin-top:344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3" type="#_x0000_t202" style="position:absolute;margin-left:39pt;margin-top:353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39pt;margin-top:362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2019/00008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Siemens,s.r.o</w:t>
                  </w:r>
                  <w:r>
                    <w:rPr>
                      <w:rStyle w:val="Text4"/>
                    </w:rPr>
                    <w:br/>
                    <w:t>Pernerova 168</w:t>
                  </w:r>
                  <w:r>
                    <w:rPr>
                      <w:rStyle w:val="Text4"/>
                    </w:rPr>
                    <w:br/>
                    <w:t>Pardubice 53154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</w:t>
                  </w:r>
                  <w:r>
                    <w:rPr>
                      <w:rStyle w:val="Text3"/>
                    </w:rPr>
                    <w:t>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1pt;height:41pt;z-index:251693056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:rsidR="00B07A6F" w:rsidRDefault="00EA795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</w:p>
    <w:sectPr w:rsidR="00B07A6F" w:rsidSect="00000001">
      <w:pgSz w:w="11904" w:h="16833"/>
      <w:pgMar w:top="281" w:right="302" w:bottom="288" w:left="30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107EA"/>
    <w:rsid w:val="009107EA"/>
    <w:rsid w:val="00B07A6F"/>
    <w:rsid w:val="00E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  <w15:docId w15:val="{D3FA0015-4799-4D3C-A3D8-732DB32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</w:rPr>
  </w:style>
  <w:style w:type="character" w:customStyle="1" w:styleId="Text6">
    <w:name w:val="Text 6"/>
    <w:basedOn w:val="Standardnpsmoodstavce"/>
    <w:uiPriority w:val="99"/>
    <w:unhideWhenUsed/>
    <w:rPr>
      <w:rFonts w:ascii="Courier New" w:eastAsia="Courier New" w:hAnsi="Courier New" w:cs="Courier New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</dc:creator>
  <cp:keywords/>
  <dc:description/>
  <cp:lastModifiedBy>Milan Matys</cp:lastModifiedBy>
  <cp:revision>2</cp:revision>
  <dcterms:created xsi:type="dcterms:W3CDTF">2019-02-04T11:20:00Z</dcterms:created>
  <dcterms:modified xsi:type="dcterms:W3CDTF">2019-02-04T11:24:00Z</dcterms:modified>
  <cp:category/>
</cp:coreProperties>
</file>