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68C3" w:rsidRDefault="009876C1">
      <w:pPr>
        <w:pStyle w:val="Body"/>
      </w:pPr>
      <w:r>
        <w:rPr>
          <w:rFonts w:ascii="Futura Bold" w:hAnsi="Futura Bold"/>
        </w:rPr>
        <w:t>TATO LICE</w:t>
      </w:r>
      <w:r>
        <w:rPr>
          <w:rFonts w:ascii="Futura Bold" w:hAnsi="Futura Bold"/>
          <w:lang w:val="en-US"/>
        </w:rPr>
        <w:t>N</w:t>
      </w:r>
      <w:r>
        <w:rPr>
          <w:rFonts w:ascii="Futura Bold" w:hAnsi="Futura Bold"/>
        </w:rPr>
        <w:t>Č</w:t>
      </w:r>
      <w:r>
        <w:rPr>
          <w:rFonts w:ascii="Futura Bold" w:hAnsi="Futura Bold"/>
        </w:rPr>
        <w:t>N</w:t>
      </w:r>
      <w:r>
        <w:rPr>
          <w:rFonts w:ascii="Futura Bold" w:hAnsi="Futura Bold"/>
        </w:rPr>
        <w:t xml:space="preserve">Í </w:t>
      </w:r>
      <w:r>
        <w:rPr>
          <w:rFonts w:ascii="Futura Bold" w:hAnsi="Futura Bold"/>
        </w:rPr>
        <w:t>SMLOUVA</w:t>
      </w:r>
      <w:r>
        <w:t xml:space="preserve"> (dále jen </w:t>
      </w:r>
      <w:r>
        <w:rPr>
          <w:rFonts w:ascii="Futura Bold" w:hAnsi="Futura Bold"/>
        </w:rPr>
        <w:t>„</w:t>
      </w:r>
      <w:r>
        <w:rPr>
          <w:rFonts w:ascii="Futura Bold" w:hAnsi="Futura Bold"/>
        </w:rPr>
        <w:t>Smlouva</w:t>
      </w:r>
      <w:r>
        <w:rPr>
          <w:rFonts w:ascii="Futura Bold" w:hAnsi="Futura Bold"/>
          <w:lang w:val="en-US"/>
        </w:rPr>
        <w:t>”</w:t>
      </w:r>
      <w:r>
        <w:t xml:space="preserve">) uzavřena </w:t>
      </w:r>
      <w:r>
        <w:rPr>
          <w:lang w:val="en-US"/>
        </w:rPr>
        <w:t xml:space="preserve">dne 29.01.2019 </w:t>
      </w:r>
      <w:r>
        <w:t xml:space="preserve">(dále jen </w:t>
      </w:r>
      <w:r>
        <w:rPr>
          <w:rFonts w:ascii="Futura Bold" w:hAnsi="Futura Bold"/>
        </w:rPr>
        <w:t>„</w:t>
      </w:r>
      <w:r>
        <w:rPr>
          <w:rFonts w:ascii="Futura Bold" w:hAnsi="Futura Bold"/>
        </w:rPr>
        <w:t>Datum podpisu</w:t>
      </w:r>
      <w:r>
        <w:rPr>
          <w:rFonts w:ascii="Futura Bold" w:hAnsi="Futura Bold"/>
        </w:rPr>
        <w:t>“</w:t>
      </w:r>
      <w:r>
        <w:t xml:space="preserve">) s účinností ode dne </w:t>
      </w:r>
      <w:r>
        <w:rPr>
          <w:lang w:val="en-US"/>
        </w:rPr>
        <w:t>01</w:t>
      </w:r>
      <w:r>
        <w:t>.</w:t>
      </w:r>
      <w:r>
        <w:rPr>
          <w:lang w:val="en-US"/>
        </w:rPr>
        <w:t>02</w:t>
      </w:r>
      <w:r>
        <w:t>.</w:t>
      </w:r>
      <w:r>
        <w:rPr>
          <w:lang w:val="en-US"/>
        </w:rPr>
        <w:t>2019</w:t>
      </w:r>
      <w:r>
        <w:t xml:space="preserve"> (dále jen </w:t>
      </w:r>
      <w:r>
        <w:rPr>
          <w:rFonts w:ascii="Futura Bold" w:hAnsi="Futura Bold"/>
        </w:rPr>
        <w:t>„</w:t>
      </w:r>
      <w:r>
        <w:rPr>
          <w:rFonts w:ascii="Futura Bold" w:hAnsi="Futura Bold"/>
        </w:rPr>
        <w:t xml:space="preserve">Datum </w:t>
      </w:r>
      <w:r>
        <w:rPr>
          <w:rFonts w:ascii="Futura Bold" w:hAnsi="Futura Bold"/>
        </w:rPr>
        <w:t>úč</w:t>
      </w:r>
      <w:r>
        <w:rPr>
          <w:rFonts w:ascii="Futura Bold" w:hAnsi="Futura Bold"/>
        </w:rPr>
        <w:t>innosti</w:t>
      </w:r>
      <w:r>
        <w:rPr>
          <w:rFonts w:ascii="Futura Bold" w:hAnsi="Futura Bold"/>
        </w:rPr>
        <w:t>“</w:t>
      </w:r>
      <w:r>
        <w:t>)</w:t>
      </w:r>
    </w:p>
    <w:p w:rsidR="006768C3" w:rsidRDefault="009876C1">
      <w:pPr>
        <w:pStyle w:val="Body"/>
      </w:pPr>
      <w:r>
        <w:rPr>
          <w:lang w:val="de-DE"/>
        </w:rPr>
        <w:t>MEZI</w:t>
      </w:r>
    </w:p>
    <w:p w:rsidR="006768C3" w:rsidRDefault="009876C1">
      <w:pPr>
        <w:pStyle w:val="Body"/>
      </w:pPr>
      <w:r>
        <w:rPr>
          <w:lang w:val="en-US"/>
        </w:rPr>
        <w:t>Lava Apps Ltd</w:t>
      </w:r>
      <w:r>
        <w:t>, společností založenou v</w:t>
      </w:r>
      <w:r>
        <w:rPr>
          <w:lang w:val="en-US"/>
        </w:rPr>
        <w:t> </w:t>
      </w:r>
      <w:r>
        <w:t>Anglii a</w:t>
      </w:r>
      <w:r>
        <w:rPr>
          <w:lang w:val="en-US"/>
        </w:rPr>
        <w:t xml:space="preserve"> Wales</w:t>
      </w:r>
      <w:r>
        <w:t xml:space="preserve">u ve Spojeném království pod registračním </w:t>
      </w:r>
      <w:r>
        <w:t xml:space="preserve">číslem </w:t>
      </w:r>
      <w:r>
        <w:rPr>
          <w:lang w:val="en-US"/>
        </w:rPr>
        <w:t>11755324</w:t>
      </w:r>
      <w:r>
        <w:t>, jejíž sídlo je na adrese</w:t>
      </w:r>
      <w:r>
        <w:rPr>
          <w:lang w:val="en-US"/>
        </w:rPr>
        <w:t xml:space="preserve"> 71-75 Shelton Street, London, Greater London, United Kingdom, WC2H 9JQ</w:t>
      </w:r>
      <w:r>
        <w:t>, za kterou jedná Jan Buchal, ředitel</w:t>
      </w:r>
      <w:r>
        <w:rPr>
          <w:rFonts w:ascii="Arial Unicode MS" w:hAnsi="Arial Unicode MS"/>
        </w:rPr>
        <w:br/>
      </w:r>
      <w:r>
        <w:t xml:space="preserve">(dále jako </w:t>
      </w:r>
      <w:r>
        <w:rPr>
          <w:rFonts w:ascii="Futura Bold" w:hAnsi="Futura Bold"/>
        </w:rPr>
        <w:t>„</w:t>
      </w:r>
      <w:r>
        <w:rPr>
          <w:rFonts w:ascii="Futura Bold" w:hAnsi="Futura Bold"/>
        </w:rPr>
        <w:t>Poskytovatel</w:t>
      </w:r>
      <w:r>
        <w:rPr>
          <w:rFonts w:ascii="Futura Bold" w:hAnsi="Futura Bold"/>
          <w:lang w:val="en-US"/>
        </w:rPr>
        <w:t>”</w:t>
      </w:r>
      <w:r>
        <w:t>)</w:t>
      </w:r>
      <w:r>
        <w:rPr>
          <w:rFonts w:ascii="Arial Unicode MS" w:hAnsi="Arial Unicode MS"/>
        </w:rPr>
        <w:br/>
      </w:r>
      <w:r>
        <w:rPr>
          <w:rFonts w:ascii="Futura Bold" w:hAnsi="Futura Bold"/>
        </w:rPr>
        <w:t>NA STRAN</w:t>
      </w:r>
      <w:r>
        <w:rPr>
          <w:rFonts w:ascii="Futura Bold" w:hAnsi="Futura Bold"/>
        </w:rPr>
        <w:t xml:space="preserve">Ě </w:t>
      </w:r>
      <w:r>
        <w:rPr>
          <w:rFonts w:ascii="Futura Bold" w:hAnsi="Futura Bold"/>
        </w:rPr>
        <w:t>JEDN</w:t>
      </w:r>
      <w:r>
        <w:rPr>
          <w:rFonts w:ascii="Futura Bold" w:hAnsi="Futura Bold"/>
        </w:rPr>
        <w:t>É</w:t>
      </w:r>
    </w:p>
    <w:p w:rsidR="006768C3" w:rsidRDefault="009876C1">
      <w:pPr>
        <w:pStyle w:val="Body"/>
        <w:rPr>
          <w:rFonts w:ascii="Futura Bold" w:eastAsia="Futura Bold" w:hAnsi="Futura Bold" w:cs="Futura Bold"/>
        </w:rPr>
      </w:pPr>
      <w:r>
        <w:rPr>
          <w:rFonts w:ascii="Futura Bold" w:hAnsi="Futura Bold"/>
        </w:rPr>
        <w:t>a</w:t>
      </w:r>
    </w:p>
    <w:p w:rsidR="006768C3" w:rsidRDefault="009876C1">
      <w:pPr>
        <w:pStyle w:val="Body"/>
      </w:pPr>
      <w:r>
        <w:t>Knihovna a tiskárna pro nevidom</w:t>
      </w:r>
      <w:r>
        <w:rPr>
          <w:lang w:val="fr-FR"/>
        </w:rPr>
        <w:t xml:space="preserve">é </w:t>
      </w:r>
      <w:r>
        <w:rPr>
          <w:lang w:val="pt-PT"/>
        </w:rPr>
        <w:t>K.E.Macana, organi</w:t>
      </w:r>
      <w:r>
        <w:t>zace založ</w:t>
      </w:r>
      <w:r>
        <w:t>ena v České republice s IČO 14893631, jejíž sídlo je na adrese</w:t>
      </w:r>
      <w:r>
        <w:rPr>
          <w:lang w:val="de-DE"/>
        </w:rPr>
        <w:t xml:space="preserve"> Ve</w:t>
      </w:r>
      <w:r>
        <w:t> Smečkách 15, 115 17 Praha, Česká republika, za kterou jedná Bohdan Roule, ředitel</w:t>
      </w:r>
      <w:r>
        <w:rPr>
          <w:rFonts w:ascii="Arial Unicode MS" w:hAnsi="Arial Unicode MS"/>
        </w:rPr>
        <w:br/>
      </w:r>
      <w:r>
        <w:t xml:space="preserve">(dále jako </w:t>
      </w:r>
      <w:r>
        <w:rPr>
          <w:rFonts w:ascii="Futura Bold" w:hAnsi="Futura Bold"/>
        </w:rPr>
        <w:t>„</w:t>
      </w:r>
      <w:r>
        <w:rPr>
          <w:rFonts w:ascii="Futura Bold" w:hAnsi="Futura Bold"/>
        </w:rPr>
        <w:t>Nabyvatel</w:t>
      </w:r>
      <w:r>
        <w:rPr>
          <w:rFonts w:ascii="Futura Bold" w:hAnsi="Futura Bold"/>
        </w:rPr>
        <w:t>”</w:t>
      </w:r>
      <w:r>
        <w:t>)</w:t>
      </w:r>
      <w:r>
        <w:rPr>
          <w:rFonts w:ascii="Arial Unicode MS" w:hAnsi="Arial Unicode MS"/>
        </w:rPr>
        <w:br/>
      </w:r>
      <w:r>
        <w:rPr>
          <w:rFonts w:ascii="Futura Bold" w:hAnsi="Futura Bold"/>
        </w:rPr>
        <w:t>NA STRAN</w:t>
      </w:r>
      <w:r>
        <w:rPr>
          <w:rFonts w:ascii="Futura Bold" w:hAnsi="Futura Bold"/>
        </w:rPr>
        <w:t xml:space="preserve">Ě </w:t>
      </w:r>
      <w:r>
        <w:rPr>
          <w:rFonts w:ascii="Futura Bold" w:hAnsi="Futura Bold"/>
        </w:rPr>
        <w:t>DRUH</w:t>
      </w:r>
      <w:r>
        <w:rPr>
          <w:rFonts w:ascii="Futura Bold" w:hAnsi="Futura Bold"/>
        </w:rPr>
        <w:t>É</w:t>
      </w:r>
    </w:p>
    <w:p w:rsidR="006768C3" w:rsidRDefault="009876C1">
      <w:pPr>
        <w:pStyle w:val="Body"/>
      </w:pPr>
      <w:r>
        <w:t xml:space="preserve">(Poskytovatel a Nabyvatel dále též společně jako </w:t>
      </w:r>
      <w:r>
        <w:rPr>
          <w:rFonts w:ascii="Futura Bold" w:hAnsi="Futura Bold"/>
        </w:rPr>
        <w:t>„</w:t>
      </w:r>
      <w:r>
        <w:rPr>
          <w:rFonts w:ascii="Futura Bold" w:hAnsi="Futura Bold"/>
        </w:rPr>
        <w:t>Smluvn</w:t>
      </w:r>
      <w:r>
        <w:rPr>
          <w:rFonts w:ascii="Futura Bold" w:hAnsi="Futura Bold"/>
        </w:rPr>
        <w:t xml:space="preserve">í </w:t>
      </w:r>
      <w:r>
        <w:rPr>
          <w:rFonts w:ascii="Futura Bold" w:hAnsi="Futura Bold"/>
        </w:rPr>
        <w:t>strany</w:t>
      </w:r>
      <w:r>
        <w:rPr>
          <w:rFonts w:ascii="Futura Bold" w:hAnsi="Futura Bold"/>
        </w:rPr>
        <w:t>”</w:t>
      </w:r>
      <w:r>
        <w:t xml:space="preserve"> a </w:t>
      </w:r>
      <w:r>
        <w:t xml:space="preserve">každý jednotlivě jako </w:t>
      </w:r>
      <w:r>
        <w:rPr>
          <w:rFonts w:ascii="Futura Bold" w:hAnsi="Futura Bold"/>
        </w:rPr>
        <w:t>„</w:t>
      </w:r>
      <w:r>
        <w:rPr>
          <w:rFonts w:ascii="Futura Bold" w:hAnsi="Futura Bold"/>
        </w:rPr>
        <w:t>Smluvn</w:t>
      </w:r>
      <w:r>
        <w:rPr>
          <w:rFonts w:ascii="Futura Bold" w:hAnsi="Futura Bold"/>
        </w:rPr>
        <w:t xml:space="preserve">í </w:t>
      </w:r>
      <w:r>
        <w:rPr>
          <w:rFonts w:ascii="Futura Bold" w:hAnsi="Futura Bold"/>
        </w:rPr>
        <w:t>strana</w:t>
      </w:r>
      <w:r>
        <w:rPr>
          <w:rFonts w:ascii="Futura Bold" w:hAnsi="Futura Bold"/>
        </w:rPr>
        <w:t>”</w:t>
      </w:r>
      <w:r>
        <w:t>)</w:t>
      </w:r>
    </w:p>
    <w:p w:rsidR="006768C3" w:rsidRDefault="009876C1">
      <w:pPr>
        <w:pStyle w:val="Body"/>
      </w:pPr>
      <w:r>
        <w:t>PO ZVÁŽ</w:t>
      </w:r>
      <w:r>
        <w:rPr>
          <w:lang w:val="de-DE"/>
        </w:rPr>
        <w:t>EN</w:t>
      </w:r>
      <w:r>
        <w:t>Í vzájemných pří</w:t>
      </w:r>
      <w:r>
        <w:rPr>
          <w:lang w:val="es-ES_tradnl"/>
        </w:rPr>
        <w:t>nos</w:t>
      </w:r>
      <w:r>
        <w:t>ů a povinností uvedených v t</w:t>
      </w:r>
      <w:r>
        <w:rPr>
          <w:lang w:val="fr-FR"/>
        </w:rPr>
        <w:t>é</w:t>
      </w:r>
      <w:r>
        <w:t>to Smlouvě, potvrzují</w:t>
      </w:r>
      <w:r>
        <w:rPr>
          <w:lang w:val="en-US"/>
        </w:rPr>
        <w:t>ce t</w:t>
      </w:r>
      <w:r>
        <w:t>ímto jejich dostatečnost, se Smluvní strany t</w:t>
      </w:r>
      <w:r>
        <w:rPr>
          <w:lang w:val="fr-FR"/>
        </w:rPr>
        <w:t>é</w:t>
      </w:r>
      <w:r>
        <w:t>to Smlouvy dohodly následovně:</w:t>
      </w:r>
    </w:p>
    <w:p w:rsidR="006768C3" w:rsidRDefault="009876C1">
      <w:pPr>
        <w:pStyle w:val="Heading"/>
        <w:numPr>
          <w:ilvl w:val="0"/>
          <w:numId w:val="2"/>
        </w:numPr>
      </w:pPr>
      <w:r>
        <w:t>Intelektuální vlastnictví</w:t>
      </w:r>
    </w:p>
    <w:p w:rsidR="006768C3" w:rsidRDefault="009876C1">
      <w:pPr>
        <w:pStyle w:val="Body"/>
        <w:numPr>
          <w:ilvl w:val="1"/>
          <w:numId w:val="2"/>
        </w:numPr>
      </w:pPr>
      <w:r>
        <w:t xml:space="preserve">Pro účely této Smlouvy pojmy </w:t>
      </w:r>
      <w:r>
        <w:rPr>
          <w:rFonts w:ascii="Futura Bold" w:hAnsi="Futura Bold"/>
        </w:rPr>
        <w:t>„</w:t>
      </w:r>
      <w:r>
        <w:rPr>
          <w:rFonts w:ascii="Futura Bold" w:hAnsi="Futura Bold"/>
        </w:rPr>
        <w:t>I</w:t>
      </w:r>
      <w:r>
        <w:rPr>
          <w:rFonts w:ascii="Futura Bold" w:hAnsi="Futura Bold"/>
        </w:rPr>
        <w:t>ntelektu</w:t>
      </w:r>
      <w:r>
        <w:rPr>
          <w:rFonts w:ascii="Futura Bold" w:hAnsi="Futura Bold"/>
        </w:rPr>
        <w:t>á</w:t>
      </w:r>
      <w:r>
        <w:rPr>
          <w:rFonts w:ascii="Futura Bold" w:hAnsi="Futura Bold"/>
        </w:rPr>
        <w:t>ln</w:t>
      </w:r>
      <w:r>
        <w:rPr>
          <w:rFonts w:ascii="Futura Bold" w:hAnsi="Futura Bold"/>
        </w:rPr>
        <w:t>í</w:t>
      </w:r>
      <w:r>
        <w:rPr>
          <w:rFonts w:ascii="Futura Bold" w:hAnsi="Futura Bold"/>
        </w:rPr>
        <w:t xml:space="preserve"> vlastnictv</w:t>
      </w:r>
      <w:r>
        <w:rPr>
          <w:rFonts w:ascii="Futura Bold" w:hAnsi="Futura Bold"/>
        </w:rPr>
        <w:t>í“</w:t>
      </w:r>
      <w:r>
        <w:rPr>
          <w:lang w:val="en-US"/>
        </w:rPr>
        <w:t xml:space="preserve"> </w:t>
      </w:r>
      <w:r>
        <w:t>nebo</w:t>
      </w:r>
      <w:r>
        <w:rPr>
          <w:lang w:val="en-US"/>
        </w:rPr>
        <w:t xml:space="preserve"> </w:t>
      </w:r>
      <w:r>
        <w:rPr>
          <w:rFonts w:ascii="Futura Bold" w:hAnsi="Futura Bold"/>
        </w:rPr>
        <w:t>„</w:t>
      </w:r>
      <w:r>
        <w:rPr>
          <w:rFonts w:ascii="Futura Bold" w:hAnsi="Futura Bold"/>
          <w:lang w:val="en-US"/>
        </w:rPr>
        <w:t>Camelot</w:t>
      </w:r>
      <w:r>
        <w:rPr>
          <w:rFonts w:ascii="Futura Bold" w:hAnsi="Futura Bold"/>
        </w:rPr>
        <w:t>“</w:t>
      </w:r>
      <w:r>
        <w:t xml:space="preserve"> znamenají </w:t>
      </w:r>
      <w:r>
        <w:rPr>
          <w:lang w:val="en-US"/>
        </w:rPr>
        <w:t>software Camelot</w:t>
      </w:r>
      <w:r>
        <w:t>.</w:t>
      </w:r>
    </w:p>
    <w:p w:rsidR="006768C3" w:rsidRDefault="009876C1">
      <w:pPr>
        <w:pStyle w:val="Body"/>
        <w:numPr>
          <w:ilvl w:val="1"/>
          <w:numId w:val="2"/>
        </w:numPr>
      </w:pPr>
      <w:r>
        <w:t>Podrobná funkční specifikace Intelektuálního vlastnictví je uvedena v</w:t>
      </w:r>
      <w:r>
        <w:rPr>
          <w:lang w:val="en-US"/>
        </w:rPr>
        <w:t> </w:t>
      </w:r>
      <w:r>
        <w:t>Příloze A</w:t>
      </w:r>
      <w:r>
        <w:rPr>
          <w:lang w:val="en-US"/>
        </w:rPr>
        <w:t>.</w:t>
      </w:r>
    </w:p>
    <w:p w:rsidR="006768C3" w:rsidRDefault="009876C1">
      <w:pPr>
        <w:pStyle w:val="Body"/>
        <w:numPr>
          <w:ilvl w:val="1"/>
          <w:numId w:val="2"/>
        </w:numPr>
      </w:pPr>
      <w:r>
        <w:t xml:space="preserve">Všechny odkazy na </w:t>
      </w:r>
      <w:r>
        <w:rPr>
          <w:rFonts w:ascii="Futura Bold" w:hAnsi="Futura Bold"/>
        </w:rPr>
        <w:t>„</w:t>
      </w:r>
      <w:r>
        <w:rPr>
          <w:rFonts w:ascii="Futura Bold" w:hAnsi="Futura Bold"/>
          <w:lang w:val="en-US"/>
        </w:rPr>
        <w:t>knihovnu</w:t>
      </w:r>
      <w:r>
        <w:rPr>
          <w:rFonts w:ascii="Futura Bold" w:hAnsi="Futura Bold"/>
          <w:lang w:val="en-US"/>
        </w:rPr>
        <w:t>”</w:t>
      </w:r>
      <w:r>
        <w:rPr>
          <w:lang w:val="en-US"/>
        </w:rPr>
        <w:t xml:space="preserve"> v</w:t>
      </w:r>
      <w:r>
        <w:t xml:space="preserve"> Příloze A </w:t>
      </w:r>
      <w:r>
        <w:rPr>
          <w:lang w:val="en-US"/>
        </w:rPr>
        <w:t>znamenaj</w:t>
      </w:r>
      <w:r>
        <w:t>í Nabyvatele v této Smlouvě</w:t>
      </w:r>
      <w:r>
        <w:rPr>
          <w:lang w:val="en-US"/>
        </w:rPr>
        <w:t>.</w:t>
      </w:r>
    </w:p>
    <w:p w:rsidR="006768C3" w:rsidRDefault="009876C1">
      <w:pPr>
        <w:pStyle w:val="Heading"/>
        <w:numPr>
          <w:ilvl w:val="0"/>
          <w:numId w:val="2"/>
        </w:numPr>
      </w:pPr>
      <w:r>
        <w:t>Licence</w:t>
      </w:r>
    </w:p>
    <w:p w:rsidR="006768C3" w:rsidRDefault="009876C1">
      <w:pPr>
        <w:pStyle w:val="Body"/>
        <w:numPr>
          <w:ilvl w:val="1"/>
          <w:numId w:val="2"/>
        </w:numPr>
      </w:pPr>
      <w:r>
        <w:t>Nabyvateli je k Inte</w:t>
      </w:r>
      <w:r>
        <w:t>lektuálnímu vlastnictví poskytnuta</w:t>
      </w:r>
      <w:r>
        <w:rPr>
          <w:lang w:val="en-US"/>
        </w:rPr>
        <w:t xml:space="preserve"> Poskytovatelem</w:t>
      </w:r>
      <w:r>
        <w:t xml:space="preserve"> nevýhradní </w:t>
      </w:r>
      <w:r>
        <w:rPr>
          <w:lang w:val="en-US"/>
        </w:rPr>
        <w:t>pod</w:t>
      </w:r>
      <w:r>
        <w:t>licenc</w:t>
      </w:r>
      <w:r>
        <w:rPr>
          <w:lang w:val="en-US"/>
        </w:rPr>
        <w:t>e</w:t>
      </w:r>
      <w:r>
        <w:t xml:space="preserve"> s</w:t>
      </w:r>
      <w:r>
        <w:rPr>
          <w:lang w:val="en-US"/>
        </w:rPr>
        <w:t> </w:t>
      </w:r>
      <w:r>
        <w:t xml:space="preserve">omezeným použitím (dále jako </w:t>
      </w:r>
      <w:r>
        <w:rPr>
          <w:rFonts w:ascii="Futura Bold" w:hAnsi="Futura Bold"/>
        </w:rPr>
        <w:t>„</w:t>
      </w:r>
      <w:r>
        <w:rPr>
          <w:rFonts w:ascii="Futura Bold" w:hAnsi="Futura Bold"/>
          <w:lang w:val="fr-FR"/>
        </w:rPr>
        <w:t>Licence</w:t>
      </w:r>
      <w:r>
        <w:rPr>
          <w:rFonts w:ascii="Futura Bold" w:hAnsi="Futura Bold"/>
        </w:rPr>
        <w:t>“</w:t>
      </w:r>
      <w:r>
        <w:t>).</w:t>
      </w:r>
    </w:p>
    <w:p w:rsidR="006768C3" w:rsidRDefault="009876C1">
      <w:pPr>
        <w:pStyle w:val="Body"/>
        <w:numPr>
          <w:ilvl w:val="1"/>
          <w:numId w:val="2"/>
        </w:numPr>
      </w:pPr>
      <w:r>
        <w:t>Licence je poskytnuta jako územně neomezená.</w:t>
      </w:r>
    </w:p>
    <w:p w:rsidR="006768C3" w:rsidRDefault="009876C1">
      <w:pPr>
        <w:pStyle w:val="Body"/>
        <w:numPr>
          <w:ilvl w:val="1"/>
          <w:numId w:val="2"/>
        </w:numPr>
      </w:pPr>
      <w:r>
        <w:t>Licence je poskytnuta s následujícími omezeními na použití:</w:t>
      </w:r>
    </w:p>
    <w:p w:rsidR="006768C3" w:rsidRDefault="009876C1">
      <w:pPr>
        <w:pStyle w:val="Body"/>
        <w:numPr>
          <w:ilvl w:val="2"/>
          <w:numId w:val="2"/>
        </w:numPr>
      </w:pPr>
      <w:r>
        <w:rPr>
          <w:lang w:val="en-US"/>
        </w:rPr>
        <w:t>po</w:t>
      </w:r>
      <w:r>
        <w:t xml:space="preserve">čet </w:t>
      </w:r>
      <w:r>
        <w:rPr>
          <w:lang w:val="en-US"/>
        </w:rPr>
        <w:t>u</w:t>
      </w:r>
      <w:r>
        <w:t xml:space="preserve">živatelů </w:t>
      </w:r>
      <w:r>
        <w:rPr>
          <w:lang w:val="en-US"/>
        </w:rPr>
        <w:t>je stejn</w:t>
      </w:r>
      <w:r>
        <w:t>ý jako počet</w:t>
      </w:r>
      <w:r>
        <w:t xml:space="preserve"> uživatelů aplikace digitální knihovny (viz Příloha A).</w:t>
      </w:r>
    </w:p>
    <w:p w:rsidR="006768C3" w:rsidRDefault="009876C1">
      <w:pPr>
        <w:pStyle w:val="Body"/>
        <w:numPr>
          <w:ilvl w:val="2"/>
          <w:numId w:val="2"/>
        </w:numPr>
      </w:pPr>
      <w:r>
        <w:t xml:space="preserve">pouze jedna instance </w:t>
      </w:r>
      <w:r>
        <w:rPr>
          <w:lang w:val="en-US"/>
        </w:rPr>
        <w:t>Intelektu</w:t>
      </w:r>
      <w:r>
        <w:t>álního vlastnictví</w:t>
      </w:r>
      <w:r>
        <w:rPr>
          <w:lang w:val="en-US"/>
        </w:rPr>
        <w:t xml:space="preserve">, </w:t>
      </w:r>
      <w:r>
        <w:t>zahrnující právo učinění kopie na serverech Nabyvatele za účelem provozu této instance.</w:t>
      </w:r>
    </w:p>
    <w:p w:rsidR="006768C3" w:rsidRDefault="009876C1">
      <w:pPr>
        <w:pStyle w:val="Body"/>
        <w:numPr>
          <w:ilvl w:val="1"/>
          <w:numId w:val="2"/>
        </w:numPr>
      </w:pPr>
      <w:r>
        <w:t>Autorská práva, titul, i práva intelektuálního vlastnictví i d</w:t>
      </w:r>
      <w:r>
        <w:t>istribuční práva k Intelektuálnímu vlastnictví zůstávají s výjimkou Licence</w:t>
      </w:r>
      <w:r>
        <w:rPr>
          <w:lang w:val="en-US"/>
        </w:rPr>
        <w:t xml:space="preserve"> </w:t>
      </w:r>
      <w:r>
        <w:t xml:space="preserve">výhradně u </w:t>
      </w:r>
      <w:r>
        <w:rPr>
          <w:lang w:val="en-US"/>
        </w:rPr>
        <w:t>majitele Intelektu</w:t>
      </w:r>
      <w:r>
        <w:t xml:space="preserve">álního vlastnictví, společnosti OUI Technology Ltd., se sídlem Kemp House, 160 City Road, </w:t>
      </w:r>
      <w:r>
        <w:rPr>
          <w:lang w:val="en-US"/>
        </w:rPr>
        <w:t>EC1V 2NX, London, United Kingdom, registra</w:t>
      </w:r>
      <w:r>
        <w:t>ční číslo společnos</w:t>
      </w:r>
      <w:r>
        <w:t>ti 10905437, a Poskytovatel prohlašuje, že má od společnosti OUI Technology Ltd. neomezenou licenci včetně práva udílet podlicence, včetně té v této Smlouvě.</w:t>
      </w:r>
    </w:p>
    <w:p w:rsidR="006768C3" w:rsidRDefault="009876C1">
      <w:pPr>
        <w:pStyle w:val="Body"/>
        <w:numPr>
          <w:ilvl w:val="1"/>
          <w:numId w:val="2"/>
        </w:numPr>
      </w:pPr>
      <w:r>
        <w:rPr>
          <w:lang w:val="en-US"/>
        </w:rPr>
        <w:t>Jako</w:t>
      </w:r>
      <w:r>
        <w:t>žto součást Licence obdrží Nabyvatel od Poskytovatele též</w:t>
      </w:r>
      <w:r>
        <w:rPr>
          <w:lang w:val="en-US"/>
        </w:rPr>
        <w:t>:</w:t>
      </w:r>
    </w:p>
    <w:p w:rsidR="006768C3" w:rsidRDefault="009876C1">
      <w:pPr>
        <w:pStyle w:val="Body"/>
        <w:numPr>
          <w:ilvl w:val="2"/>
          <w:numId w:val="2"/>
        </w:numPr>
      </w:pPr>
      <w:r>
        <w:lastRenderedPageBreak/>
        <w:t>provoz Camelotu v souladu s funkční</w:t>
      </w:r>
      <w:r>
        <w:t xml:space="preserve"> specifikací v Pří</w:t>
      </w:r>
      <w:r>
        <w:rPr>
          <w:lang w:val="nl-NL"/>
        </w:rPr>
        <w:t>loze A,</w:t>
      </w:r>
    </w:p>
    <w:p w:rsidR="006768C3" w:rsidRDefault="009876C1">
      <w:pPr>
        <w:pStyle w:val="Body"/>
        <w:numPr>
          <w:ilvl w:val="2"/>
          <w:numId w:val="2"/>
        </w:numPr>
      </w:pPr>
      <w:r>
        <w:rPr>
          <w:lang w:val="en-US"/>
        </w:rPr>
        <w:t>o</w:t>
      </w:r>
      <w:r>
        <w:t>dstraňování provozní</w:t>
      </w:r>
      <w:r>
        <w:rPr>
          <w:lang w:val="en-US"/>
        </w:rPr>
        <w:t>ch a funk</w:t>
      </w:r>
      <w:r>
        <w:t xml:space="preserve">čních chyb v </w:t>
      </w:r>
      <w:r>
        <w:rPr>
          <w:lang w:val="en-US"/>
        </w:rPr>
        <w:t>Camelotu</w:t>
      </w:r>
      <w:r>
        <w:t xml:space="preserve"> do dvou pracovních dnů od nahlášení chyby Nabyvatelem</w:t>
      </w:r>
      <w:r>
        <w:rPr>
          <w:lang w:val="en-US"/>
        </w:rPr>
        <w:t>,</w:t>
      </w:r>
    </w:p>
    <w:p w:rsidR="006768C3" w:rsidRDefault="009876C1">
      <w:pPr>
        <w:pStyle w:val="Body"/>
        <w:numPr>
          <w:ilvl w:val="2"/>
          <w:numId w:val="2"/>
        </w:numPr>
      </w:pPr>
      <w:r>
        <w:rPr>
          <w:lang w:val="en-US"/>
        </w:rPr>
        <w:t>e</w:t>
      </w:r>
      <w:r>
        <w:t>vidence chyb, provozních záležitostí, komunikace s poskytovatelem služ</w:t>
      </w:r>
      <w:r>
        <w:rPr>
          <w:lang w:val="nl-NL"/>
        </w:rPr>
        <w:t xml:space="preserve">eb </w:t>
      </w:r>
      <w:r>
        <w:rPr>
          <w:lang w:val="en-US"/>
        </w:rPr>
        <w:t>Camelotu</w:t>
      </w:r>
      <w:r>
        <w:t xml:space="preserve"> prostřednictvím syst</w:t>
      </w:r>
      <w:r>
        <w:rPr>
          <w:lang w:val="fr-FR"/>
        </w:rPr>
        <w:t>é</w:t>
      </w:r>
      <w:r>
        <w:t>mu pro hlášení a ev</w:t>
      </w:r>
      <w:r>
        <w:t>idenci záležitostí</w:t>
      </w:r>
      <w:r>
        <w:rPr>
          <w:lang w:val="en-US"/>
        </w:rPr>
        <w:t>,</w:t>
      </w:r>
    </w:p>
    <w:p w:rsidR="006768C3" w:rsidRDefault="009876C1">
      <w:pPr>
        <w:pStyle w:val="Body"/>
        <w:numPr>
          <w:ilvl w:val="2"/>
          <w:numId w:val="2"/>
        </w:numPr>
      </w:pPr>
      <w:r>
        <w:rPr>
          <w:lang w:val="en-US"/>
        </w:rPr>
        <w:t>24hodi</w:t>
      </w:r>
      <w:r>
        <w:t>nový monitoring provozu digitální knihovny</w:t>
      </w:r>
      <w:r>
        <w:rPr>
          <w:lang w:val="en-US"/>
        </w:rPr>
        <w:t>.</w:t>
      </w:r>
    </w:p>
    <w:p w:rsidR="006768C3" w:rsidRDefault="009876C1">
      <w:pPr>
        <w:pStyle w:val="Body"/>
        <w:numPr>
          <w:ilvl w:val="1"/>
          <w:numId w:val="2"/>
        </w:numPr>
      </w:pPr>
      <w:r>
        <w:t xml:space="preserve">V případě, že </w:t>
      </w:r>
      <w:r>
        <w:rPr>
          <w:lang w:val="en-US"/>
        </w:rPr>
        <w:t>Camelot</w:t>
      </w:r>
      <w:r>
        <w:t xml:space="preserve"> nebude</w:t>
      </w:r>
      <w:r>
        <w:rPr>
          <w:lang w:val="it-IT"/>
        </w:rPr>
        <w:t xml:space="preserve"> spl</w:t>
      </w:r>
      <w:r>
        <w:t>ňovat podmínky uveden</w:t>
      </w:r>
      <w:r>
        <w:rPr>
          <w:lang w:val="fr-FR"/>
        </w:rPr>
        <w:t xml:space="preserve">é </w:t>
      </w:r>
      <w:r>
        <w:t>v odst. II.(5) a toto nesplnění podmínek povede k naprost</w:t>
      </w:r>
      <w:r>
        <w:rPr>
          <w:lang w:val="fr-FR"/>
        </w:rPr>
        <w:t xml:space="preserve">é </w:t>
      </w:r>
      <w:r>
        <w:rPr>
          <w:lang w:val="de-DE"/>
        </w:rPr>
        <w:t>nefunk</w:t>
      </w:r>
      <w:r>
        <w:t xml:space="preserve">čnosti </w:t>
      </w:r>
      <w:r>
        <w:rPr>
          <w:lang w:val="en-US"/>
        </w:rPr>
        <w:t>Camelotu</w:t>
      </w:r>
      <w:r>
        <w:t>, zaplatí Poskytovatel Nabyvateli poměrnou část Lic</w:t>
      </w:r>
      <w:r>
        <w:t>enčního poplatku (viz dále) za dobu, po kterou tato nefunkčnost trvala; do této doby se nezapočítává doba stanovená pro odstranění nahlášených závad specifikovaná v odst. II.(5)(b).</w:t>
      </w:r>
    </w:p>
    <w:p w:rsidR="006768C3" w:rsidRDefault="009876C1">
      <w:pPr>
        <w:pStyle w:val="Body"/>
        <w:numPr>
          <w:ilvl w:val="1"/>
          <w:numId w:val="2"/>
        </w:numPr>
      </w:pPr>
      <w:r>
        <w:t xml:space="preserve">Nabyvatel souhlasí </w:t>
      </w:r>
      <w:r>
        <w:rPr>
          <w:lang w:val="en-US"/>
        </w:rPr>
        <w:t>s t</w:t>
      </w:r>
      <w:r>
        <w:t>ím, aby Poskytovatel používal případn</w:t>
      </w:r>
      <w:r>
        <w:rPr>
          <w:lang w:val="fr-FR"/>
        </w:rPr>
        <w:t xml:space="preserve">é </w:t>
      </w:r>
      <w:r>
        <w:t>rozhraní typu</w:t>
      </w:r>
      <w:r>
        <w:t xml:space="preserve"> REST Intelektuálního vlastnictví pro aplikace Poskytovatele a ke zpřístupnění obsahu </w:t>
      </w:r>
      <w:r>
        <w:rPr>
          <w:lang w:val="en-US"/>
        </w:rPr>
        <w:t>N</w:t>
      </w:r>
      <w:r>
        <w:t>abyvatele</w:t>
      </w:r>
      <w:r>
        <w:rPr>
          <w:lang w:val="en-US"/>
        </w:rPr>
        <w:t>,</w:t>
      </w:r>
      <w:r>
        <w:t xml:space="preserve"> a to bez nároku na jakýkoliv obchodní podíl, který souvisí nebo bude souviset s využíváním tohoto rozhraní Poskytovatele.</w:t>
      </w:r>
    </w:p>
    <w:p w:rsidR="006768C3" w:rsidRDefault="009876C1">
      <w:pPr>
        <w:pStyle w:val="Body"/>
        <w:numPr>
          <w:ilvl w:val="1"/>
          <w:numId w:val="2"/>
        </w:numPr>
      </w:pPr>
      <w:r>
        <w:t xml:space="preserve">Nabyvatel i Poskytovatel shodně </w:t>
      </w:r>
      <w:r>
        <w:t xml:space="preserve">prohlašují, že veškerý obsah šířený pomocí aplikace </w:t>
      </w:r>
      <w:r>
        <w:rPr>
          <w:lang w:val="en-US"/>
        </w:rPr>
        <w:t>Camelot</w:t>
      </w:r>
      <w:r>
        <w:t>, zejm</w:t>
      </w:r>
      <w:r>
        <w:rPr>
          <w:lang w:val="fr-FR"/>
        </w:rPr>
        <w:t>é</w:t>
      </w:r>
      <w:r>
        <w:t xml:space="preserve">na, nikoliv však pouze, všechny tituly jako jsou knihy a časopisy, šíří Nabyvatel, nikoliv Poskytovatel, a že Poskytovatel Nabyvateli poskytuje aplikací </w:t>
      </w:r>
      <w:r>
        <w:rPr>
          <w:lang w:val="en-US"/>
        </w:rPr>
        <w:t>Camelot</w:t>
      </w:r>
      <w:r>
        <w:t xml:space="preserve"> pouze infrastrukturu k šíření</w:t>
      </w:r>
      <w:r>
        <w:t xml:space="preserve"> Nabyvatelova vlastního obsahu.</w:t>
      </w:r>
    </w:p>
    <w:p w:rsidR="006768C3" w:rsidRDefault="009876C1">
      <w:pPr>
        <w:pStyle w:val="Body"/>
        <w:numPr>
          <w:ilvl w:val="1"/>
          <w:numId w:val="2"/>
        </w:numPr>
      </w:pPr>
      <w:r>
        <w:t xml:space="preserve">Nabyvatel se zavazuje, že pomocí </w:t>
      </w:r>
      <w:r>
        <w:rPr>
          <w:lang w:val="en-US"/>
        </w:rPr>
        <w:t>Camelotu</w:t>
      </w:r>
      <w:r>
        <w:t xml:space="preserve"> bude šířit pouze legální obsah, a to v</w:t>
      </w:r>
      <w:r>
        <w:rPr>
          <w:lang w:val="en-US"/>
        </w:rPr>
        <w:t> </w:t>
      </w:r>
      <w:r>
        <w:t>souladu se všemi právní</w:t>
      </w:r>
      <w:r>
        <w:rPr>
          <w:lang w:val="it-IT"/>
        </w:rPr>
        <w:t>mi p</w:t>
      </w:r>
      <w:r>
        <w:t>ředpisy, kter</w:t>
      </w:r>
      <w:r>
        <w:rPr>
          <w:lang w:val="fr-FR"/>
        </w:rPr>
        <w:t xml:space="preserve">é </w:t>
      </w:r>
      <w:r>
        <w:t>se na něj vztahují, např., nikoliv však pouze, v souladu s českým autorským zákonem (121/2000 Sb.).</w:t>
      </w:r>
    </w:p>
    <w:p w:rsidR="006768C3" w:rsidRDefault="009876C1">
      <w:pPr>
        <w:pStyle w:val="Heading"/>
        <w:numPr>
          <w:ilvl w:val="0"/>
          <w:numId w:val="2"/>
        </w:numPr>
      </w:pPr>
      <w:r>
        <w:t>Pod</w:t>
      </w:r>
      <w:r>
        <w:rPr>
          <w:lang w:val="fr-FR"/>
        </w:rPr>
        <w:t>licence</w:t>
      </w:r>
    </w:p>
    <w:p w:rsidR="006768C3" w:rsidRDefault="009876C1">
      <w:pPr>
        <w:pStyle w:val="Body"/>
        <w:numPr>
          <w:ilvl w:val="1"/>
          <w:numId w:val="2"/>
        </w:numPr>
      </w:pPr>
      <w:r>
        <w:t>Nabyvatel nemá právo udělit jakékoliv podlicence.</w:t>
      </w:r>
    </w:p>
    <w:p w:rsidR="006768C3" w:rsidRDefault="009876C1">
      <w:pPr>
        <w:pStyle w:val="Heading"/>
        <w:numPr>
          <w:ilvl w:val="0"/>
          <w:numId w:val="2"/>
        </w:numPr>
      </w:pPr>
      <w:r>
        <w:t>Doba trvání Smlouvy</w:t>
      </w:r>
    </w:p>
    <w:p w:rsidR="006768C3" w:rsidRDefault="009876C1">
      <w:pPr>
        <w:pStyle w:val="Body"/>
        <w:numPr>
          <w:ilvl w:val="1"/>
          <w:numId w:val="2"/>
        </w:numPr>
      </w:pPr>
      <w:r>
        <w:t xml:space="preserve">Období trvání této Smlouvy (dále jako </w:t>
      </w:r>
      <w:r>
        <w:rPr>
          <w:rFonts w:ascii="Futura Bold" w:hAnsi="Futura Bold"/>
        </w:rPr>
        <w:t>„</w:t>
      </w:r>
      <w:r>
        <w:rPr>
          <w:rFonts w:ascii="Futura Bold" w:hAnsi="Futura Bold"/>
        </w:rPr>
        <w:t>Smluvn</w:t>
      </w:r>
      <w:r>
        <w:rPr>
          <w:rFonts w:ascii="Futura Bold" w:hAnsi="Futura Bold"/>
        </w:rPr>
        <w:t xml:space="preserve">í </w:t>
      </w:r>
      <w:r>
        <w:rPr>
          <w:rFonts w:ascii="Futura Bold" w:hAnsi="Futura Bold"/>
        </w:rPr>
        <w:t>obdob</w:t>
      </w:r>
      <w:r>
        <w:rPr>
          <w:rFonts w:ascii="Futura Bold" w:hAnsi="Futura Bold"/>
        </w:rPr>
        <w:t>í“</w:t>
      </w:r>
      <w:r>
        <w:t xml:space="preserve">) začne 1. února </w:t>
      </w:r>
      <w:r>
        <w:rPr>
          <w:lang w:val="en-US"/>
        </w:rPr>
        <w:t>201</w:t>
      </w:r>
      <w:r>
        <w:t>9 (</w:t>
      </w:r>
      <w:r>
        <w:rPr>
          <w:rFonts w:ascii="Futura Bold" w:hAnsi="Futura Bold"/>
        </w:rPr>
        <w:t>„</w:t>
      </w:r>
      <w:r>
        <w:rPr>
          <w:rFonts w:ascii="Futura Bold" w:hAnsi="Futura Bold"/>
        </w:rPr>
        <w:t>Za</w:t>
      </w:r>
      <w:r>
        <w:rPr>
          <w:rFonts w:ascii="Futura Bold" w:hAnsi="Futura Bold"/>
        </w:rPr>
        <w:t>čá</w:t>
      </w:r>
      <w:r>
        <w:rPr>
          <w:rFonts w:ascii="Futura Bold" w:hAnsi="Futura Bold"/>
        </w:rPr>
        <w:t>tek Smluvn</w:t>
      </w:r>
      <w:r>
        <w:rPr>
          <w:rFonts w:ascii="Futura Bold" w:hAnsi="Futura Bold"/>
        </w:rPr>
        <w:t>í</w:t>
      </w:r>
      <w:r>
        <w:rPr>
          <w:rFonts w:ascii="Futura Bold" w:hAnsi="Futura Bold"/>
        </w:rPr>
        <w:t>ho obdob</w:t>
      </w:r>
      <w:r>
        <w:rPr>
          <w:rFonts w:ascii="Futura Bold" w:hAnsi="Futura Bold"/>
        </w:rPr>
        <w:t>í“</w:t>
      </w:r>
      <w:r>
        <w:t>) a zůstane v plné platnosti a účinnost</w:t>
      </w:r>
      <w:r>
        <w:rPr>
          <w:lang w:val="en-US"/>
        </w:rPr>
        <w:t>i</w:t>
      </w:r>
      <w:r>
        <w:t xml:space="preserve"> až do 31. ledna 2020 (</w:t>
      </w:r>
      <w:r>
        <w:rPr>
          <w:rFonts w:ascii="Futura Bold" w:hAnsi="Futura Bold"/>
        </w:rPr>
        <w:t>„</w:t>
      </w:r>
      <w:r>
        <w:rPr>
          <w:rFonts w:ascii="Futura Bold" w:hAnsi="Futura Bold"/>
        </w:rPr>
        <w:t>Konec Sm</w:t>
      </w:r>
      <w:r>
        <w:rPr>
          <w:rFonts w:ascii="Futura Bold" w:hAnsi="Futura Bold"/>
        </w:rPr>
        <w:t>luvn</w:t>
      </w:r>
      <w:r>
        <w:rPr>
          <w:rFonts w:ascii="Futura Bold" w:hAnsi="Futura Bold"/>
        </w:rPr>
        <w:t>í</w:t>
      </w:r>
      <w:r>
        <w:rPr>
          <w:rFonts w:ascii="Futura Bold" w:hAnsi="Futura Bold"/>
        </w:rPr>
        <w:t>ho obdob</w:t>
      </w:r>
      <w:r>
        <w:rPr>
          <w:rFonts w:ascii="Futura Bold" w:hAnsi="Futura Bold"/>
        </w:rPr>
        <w:t>í“</w:t>
      </w:r>
      <w:r>
        <w:t>).</w:t>
      </w:r>
    </w:p>
    <w:p w:rsidR="006768C3" w:rsidRDefault="009876C1">
      <w:pPr>
        <w:pStyle w:val="Body"/>
        <w:numPr>
          <w:ilvl w:val="1"/>
          <w:numId w:val="2"/>
        </w:numPr>
      </w:pPr>
      <w:r>
        <w:t xml:space="preserve">Žádná Smluvní strana nemá právo vypovědět tuto Smlouvu před </w:t>
      </w:r>
      <w:r>
        <w:rPr>
          <w:lang w:val="en-US"/>
        </w:rPr>
        <w:t>Koncem Smluvn</w:t>
      </w:r>
      <w:r>
        <w:t>ího období, s</w:t>
      </w:r>
      <w:r>
        <w:rPr>
          <w:lang w:val="en-US"/>
        </w:rPr>
        <w:t> </w:t>
      </w:r>
      <w:r>
        <w:t>výjimkou případů výslovně uvedených v této Smlouvě.</w:t>
      </w:r>
    </w:p>
    <w:p w:rsidR="006768C3" w:rsidRDefault="009876C1">
      <w:pPr>
        <w:pStyle w:val="Body"/>
        <w:numPr>
          <w:ilvl w:val="1"/>
          <w:numId w:val="2"/>
        </w:numPr>
      </w:pPr>
      <w:r>
        <w:rPr>
          <w:lang w:val="en-US"/>
        </w:rPr>
        <w:t>V p</w:t>
      </w:r>
      <w:r>
        <w:t>řípadě, že jedna Smluvní strana závažně poruší tuto Smlouvu a své jednání nenapraví, má druhá Sm</w:t>
      </w:r>
      <w:r>
        <w:t>luvní strana právo tuto Smlouvu vypovědět v jednoměsíční výpovědní lhůtě, která počíná dnem doručení první Smluvní straně.</w:t>
      </w:r>
    </w:p>
    <w:p w:rsidR="006768C3" w:rsidRDefault="009876C1">
      <w:pPr>
        <w:pStyle w:val="Body"/>
        <w:numPr>
          <w:ilvl w:val="1"/>
          <w:numId w:val="2"/>
        </w:numPr>
      </w:pPr>
      <w:r>
        <w:t>Smluvní období této Smlouvy může být prodloužen</w:t>
      </w:r>
      <w:r>
        <w:rPr>
          <w:lang w:val="en-US"/>
        </w:rPr>
        <w:t>o</w:t>
      </w:r>
      <w:r>
        <w:t xml:space="preserve"> písemným souhlasem (vč. emailu) Smluvních stran.</w:t>
      </w:r>
    </w:p>
    <w:p w:rsidR="006768C3" w:rsidRDefault="009876C1">
      <w:pPr>
        <w:pStyle w:val="Heading"/>
        <w:numPr>
          <w:ilvl w:val="0"/>
          <w:numId w:val="2"/>
        </w:numPr>
      </w:pPr>
      <w:r>
        <w:t>Poplatek</w:t>
      </w:r>
    </w:p>
    <w:p w:rsidR="006768C3" w:rsidRDefault="009876C1">
      <w:pPr>
        <w:pStyle w:val="Body"/>
        <w:numPr>
          <w:ilvl w:val="1"/>
          <w:numId w:val="2"/>
        </w:numPr>
      </w:pPr>
      <w:r>
        <w:t>Za Licenci zaplatí Nabyvat</w:t>
      </w:r>
      <w:r>
        <w:t xml:space="preserve">el Poskytovateli celkem 800 000 Kč za 12 měsíců (dále jako </w:t>
      </w:r>
      <w:r>
        <w:rPr>
          <w:rFonts w:ascii="Futura Bold" w:hAnsi="Futura Bold"/>
        </w:rPr>
        <w:t>„</w:t>
      </w:r>
      <w:r>
        <w:rPr>
          <w:rFonts w:ascii="Futura Bold" w:hAnsi="Futura Bold"/>
        </w:rPr>
        <w:t>Licen</w:t>
      </w:r>
      <w:r>
        <w:rPr>
          <w:rFonts w:ascii="Futura Bold" w:hAnsi="Futura Bold"/>
        </w:rPr>
        <w:t>č</w:t>
      </w:r>
      <w:r>
        <w:rPr>
          <w:rFonts w:ascii="Futura Bold" w:hAnsi="Futura Bold"/>
        </w:rPr>
        <w:t>n</w:t>
      </w:r>
      <w:r>
        <w:rPr>
          <w:rFonts w:ascii="Futura Bold" w:hAnsi="Futura Bold"/>
        </w:rPr>
        <w:t xml:space="preserve">í </w:t>
      </w:r>
      <w:r>
        <w:rPr>
          <w:rFonts w:ascii="Futura Bold" w:hAnsi="Futura Bold"/>
        </w:rPr>
        <w:t>poplatek</w:t>
      </w:r>
      <w:r>
        <w:rPr>
          <w:rFonts w:ascii="Futura Bold" w:hAnsi="Futura Bold"/>
        </w:rPr>
        <w:t>“</w:t>
      </w:r>
      <w:r>
        <w:t>), a to ve dvou splátkách.</w:t>
      </w:r>
    </w:p>
    <w:p w:rsidR="006768C3" w:rsidRDefault="009876C1">
      <w:pPr>
        <w:pStyle w:val="Heading"/>
        <w:numPr>
          <w:ilvl w:val="0"/>
          <w:numId w:val="2"/>
        </w:numPr>
      </w:pPr>
      <w:r>
        <w:lastRenderedPageBreak/>
        <w:t>Platební podmínky</w:t>
      </w:r>
    </w:p>
    <w:p w:rsidR="006768C3" w:rsidRDefault="009876C1">
      <w:pPr>
        <w:pStyle w:val="Body"/>
        <w:numPr>
          <w:ilvl w:val="1"/>
          <w:numId w:val="2"/>
        </w:numPr>
      </w:pPr>
      <w:r>
        <w:t>První splátka Licenčního poplatku bude ve výši 500 000 Kč a faktura na ni bude vystavena 1. února 2019.</w:t>
      </w:r>
    </w:p>
    <w:p w:rsidR="006768C3" w:rsidRDefault="009876C1">
      <w:pPr>
        <w:pStyle w:val="Body"/>
        <w:numPr>
          <w:ilvl w:val="1"/>
          <w:numId w:val="2"/>
        </w:numPr>
      </w:pPr>
      <w:r>
        <w:t>Druhá splátka Licenčního popl</w:t>
      </w:r>
      <w:r>
        <w:t>atku bude ve výši 300 000 Kč a faktura na ni bude vystavena 1. srpna 2019.</w:t>
      </w:r>
    </w:p>
    <w:p w:rsidR="006768C3" w:rsidRDefault="009876C1">
      <w:pPr>
        <w:pStyle w:val="Body"/>
        <w:numPr>
          <w:ilvl w:val="1"/>
          <w:numId w:val="2"/>
        </w:numPr>
      </w:pPr>
      <w:r>
        <w:t>Faktury vystavené Poskytovatelem Nabyvateli jsou splatné do 10 dní od obdržení.</w:t>
      </w:r>
    </w:p>
    <w:p w:rsidR="006768C3" w:rsidRDefault="009876C1">
      <w:pPr>
        <w:pStyle w:val="Heading"/>
        <w:numPr>
          <w:ilvl w:val="0"/>
          <w:numId w:val="2"/>
        </w:numPr>
      </w:pPr>
      <w:r>
        <w:t>Penále za pozdní platby</w:t>
      </w:r>
    </w:p>
    <w:p w:rsidR="006768C3" w:rsidRDefault="009876C1">
      <w:pPr>
        <w:pStyle w:val="Body"/>
        <w:numPr>
          <w:ilvl w:val="1"/>
          <w:numId w:val="2"/>
        </w:numPr>
      </w:pPr>
      <w:r>
        <w:t>Jakékoliv pozdní platby budou mít za následek penále ve výši 10% p.a. z dluže</w:t>
      </w:r>
      <w:r>
        <w:t>né částky. Toto penále je počítáno denně z dlužné částky bez zahrnutí předchozích penále za pozdní platby.</w:t>
      </w:r>
    </w:p>
    <w:p w:rsidR="006768C3" w:rsidRDefault="009876C1">
      <w:pPr>
        <w:pStyle w:val="Heading"/>
        <w:numPr>
          <w:ilvl w:val="0"/>
          <w:numId w:val="2"/>
        </w:numPr>
      </w:pPr>
      <w:r>
        <w:t>Postoupení</w:t>
      </w:r>
    </w:p>
    <w:p w:rsidR="006768C3" w:rsidRDefault="009876C1">
      <w:pPr>
        <w:pStyle w:val="Body"/>
        <w:numPr>
          <w:ilvl w:val="1"/>
          <w:numId w:val="2"/>
        </w:numPr>
      </w:pPr>
      <w:r>
        <w:t xml:space="preserve">Práva a povinnosti Poskytovatele, která existují podle této Smlouvy, mohou být plně nebo částečně postoupena třetí straně po předchozím </w:t>
      </w:r>
      <w:r>
        <w:t>oznámení Nabyvateli.</w:t>
      </w:r>
    </w:p>
    <w:p w:rsidR="006768C3" w:rsidRDefault="009876C1">
      <w:pPr>
        <w:pStyle w:val="Body"/>
        <w:numPr>
          <w:ilvl w:val="1"/>
          <w:numId w:val="2"/>
        </w:numPr>
      </w:pPr>
      <w:r>
        <w:t>Práva a povinnosti Nabyvatele, která existují podle t</w:t>
      </w:r>
      <w:r>
        <w:rPr>
          <w:lang w:val="fr-FR"/>
        </w:rPr>
        <w:t>é</w:t>
      </w:r>
      <w:r>
        <w:rPr>
          <w:lang w:val="en-US"/>
        </w:rPr>
        <w:t xml:space="preserve">to </w:t>
      </w:r>
      <w:r>
        <w:t>Smlouvy, nemohou být plně ani částečně postoupena třetí straně bez předchozího písemného souhlasu Poskytovatele.</w:t>
      </w:r>
    </w:p>
    <w:p w:rsidR="006768C3" w:rsidRDefault="009876C1">
      <w:pPr>
        <w:pStyle w:val="Heading"/>
        <w:numPr>
          <w:ilvl w:val="0"/>
          <w:numId w:val="2"/>
        </w:numPr>
      </w:pPr>
      <w:r>
        <w:t>Důvěrné informace</w:t>
      </w:r>
    </w:p>
    <w:p w:rsidR="006768C3" w:rsidRDefault="009876C1">
      <w:pPr>
        <w:pStyle w:val="Body"/>
        <w:numPr>
          <w:ilvl w:val="1"/>
          <w:numId w:val="2"/>
        </w:numPr>
      </w:pPr>
      <w:r>
        <w:t xml:space="preserve">Smluvní strany </w:t>
      </w:r>
      <w:r>
        <w:rPr>
          <w:lang w:val="en-US"/>
        </w:rPr>
        <w:t>potvrzuj</w:t>
      </w:r>
      <w:r>
        <w:t>í, že v jakékoliv pozici</w:t>
      </w:r>
      <w:r>
        <w:t xml:space="preserve">, </w:t>
      </w:r>
      <w:r>
        <w:rPr>
          <w:lang w:val="en-US"/>
        </w:rPr>
        <w:t>ve kter</w:t>
      </w:r>
      <w:r>
        <w:t>é se může jakákoliv Smluvní strana ocitnout, jakákoliv Smluvní strana bude nebo by mohla používat, získávat nebo upravovat informace, které jsou důvěrné pro druhou Smluvní stranu (</w:t>
      </w:r>
      <w:r>
        <w:rPr>
          <w:rFonts w:ascii="Futura Bold" w:hAnsi="Futura Bold"/>
        </w:rPr>
        <w:t>„</w:t>
      </w:r>
      <w:r>
        <w:rPr>
          <w:rFonts w:ascii="Futura Bold" w:hAnsi="Futura Bold"/>
        </w:rPr>
        <w:t>D</w:t>
      </w:r>
      <w:r>
        <w:rPr>
          <w:rFonts w:ascii="Futura Bold" w:hAnsi="Futura Bold"/>
        </w:rPr>
        <w:t>ů</w:t>
      </w:r>
      <w:r>
        <w:rPr>
          <w:rFonts w:ascii="Futura Bold" w:hAnsi="Futura Bold"/>
        </w:rPr>
        <w:t>v</w:t>
      </w:r>
      <w:r>
        <w:rPr>
          <w:rFonts w:ascii="Futura Bold" w:hAnsi="Futura Bold"/>
        </w:rPr>
        <w:t>ě</w:t>
      </w:r>
      <w:r>
        <w:rPr>
          <w:rFonts w:ascii="Futura Bold" w:hAnsi="Futura Bold"/>
        </w:rPr>
        <w:t>rn</w:t>
      </w:r>
      <w:r>
        <w:rPr>
          <w:rFonts w:ascii="Futura Bold" w:hAnsi="Futura Bold"/>
        </w:rPr>
        <w:t xml:space="preserve">é </w:t>
      </w:r>
      <w:r>
        <w:rPr>
          <w:rFonts w:ascii="Futura Bold" w:hAnsi="Futura Bold"/>
        </w:rPr>
        <w:t>informace</w:t>
      </w:r>
      <w:r>
        <w:rPr>
          <w:rFonts w:ascii="Futura Bold" w:hAnsi="Futura Bold"/>
        </w:rPr>
        <w:t>“</w:t>
      </w:r>
      <w:r>
        <w:t>) a že Důvěrné informace jsou výhradním vlastnic</w:t>
      </w:r>
      <w:r>
        <w:t>tvím takové Smluvní strany.</w:t>
      </w:r>
    </w:p>
    <w:p w:rsidR="006768C3" w:rsidRDefault="009876C1">
      <w:pPr>
        <w:pStyle w:val="Body"/>
        <w:numPr>
          <w:ilvl w:val="1"/>
          <w:numId w:val="2"/>
        </w:numPr>
      </w:pPr>
      <w:r>
        <w:t>Důvěrné informace zahrnují všechna data a informace týkající se provozu a správy jakékoliv Smluvní strany, včetně, nikoliv však pouze:</w:t>
      </w:r>
    </w:p>
    <w:p w:rsidR="006768C3" w:rsidRDefault="009876C1">
      <w:pPr>
        <w:pStyle w:val="Body"/>
        <w:numPr>
          <w:ilvl w:val="2"/>
          <w:numId w:val="2"/>
        </w:numPr>
      </w:pPr>
      <w:r>
        <w:t>proprietární technologie a technologie podléhající obchodnímu tajemství,</w:t>
      </w:r>
    </w:p>
    <w:p w:rsidR="006768C3" w:rsidRDefault="009876C1">
      <w:pPr>
        <w:pStyle w:val="Body"/>
        <w:numPr>
          <w:ilvl w:val="2"/>
          <w:numId w:val="2"/>
        </w:numPr>
      </w:pPr>
      <w:r>
        <w:t>účetní záznamy, ke k</w:t>
      </w:r>
      <w:r>
        <w:t>terým druhá Smluvní strana získá přístup,</w:t>
      </w:r>
    </w:p>
    <w:p w:rsidR="006768C3" w:rsidRDefault="009876C1">
      <w:pPr>
        <w:pStyle w:val="Body"/>
        <w:numPr>
          <w:ilvl w:val="2"/>
          <w:numId w:val="2"/>
        </w:numPr>
      </w:pPr>
      <w:r>
        <w:t>informace o mezivýsledcích práce, včetně, nikoliv však pouze, mezivýsledky práce vzniklé z nebo mající souvislost s prací nebo projekty vykonanými, vykonávanými nebo v</w:t>
      </w:r>
      <w:r>
        <w:rPr>
          <w:lang w:val="en-US"/>
        </w:rPr>
        <w:t> </w:t>
      </w:r>
      <w:r>
        <w:t>budoucnu vykonávanými pro jakoukoliv Smluvní s</w:t>
      </w:r>
      <w:r>
        <w:t>tranu nebo pro klienty jakékoliv Smluvní strany, a to mezivýsledky práce jakéhokoliv typu nebo formy v jakékoliv fázi nebo v</w:t>
      </w:r>
      <w:r>
        <w:rPr>
          <w:lang w:val="en-US"/>
        </w:rPr>
        <w:t> </w:t>
      </w:r>
      <w:r>
        <w:t>prováděném nebo předpokládaném výzkumu, vývoji a inovacích,</w:t>
      </w:r>
    </w:p>
    <w:p w:rsidR="006768C3" w:rsidRDefault="009876C1">
      <w:pPr>
        <w:pStyle w:val="Body"/>
        <w:numPr>
          <w:ilvl w:val="2"/>
          <w:numId w:val="2"/>
        </w:numPr>
      </w:pPr>
      <w:r>
        <w:t>počítačový software vzniklý z nebo mající souvislost s prací nebo proje</w:t>
      </w:r>
      <w:r>
        <w:t>kty vykonanými, vykoná</w:t>
      </w:r>
      <w:r>
        <w:rPr>
          <w:lang w:val="nl-NL"/>
        </w:rPr>
        <w:t>van</w:t>
      </w:r>
      <w:r>
        <w:t>ými nebo v</w:t>
      </w:r>
      <w:r>
        <w:rPr>
          <w:lang w:val="en-US"/>
        </w:rPr>
        <w:t> </w:t>
      </w:r>
      <w:r>
        <w:t>budoucnu vykoná</w:t>
      </w:r>
      <w:r>
        <w:rPr>
          <w:lang w:val="nl-NL"/>
        </w:rPr>
        <w:t>van</w:t>
      </w:r>
      <w:r>
        <w:t>ými pro jakoukoliv Smluvní stranu nebo pro klienty jak</w:t>
      </w:r>
      <w:r>
        <w:rPr>
          <w:lang w:val="fr-FR"/>
        </w:rPr>
        <w:t>é</w:t>
      </w:r>
      <w:r>
        <w:t>koliv Smluvní strany, jak</w:t>
      </w:r>
      <w:r>
        <w:rPr>
          <w:lang w:val="fr-FR"/>
        </w:rPr>
        <w:t>é</w:t>
      </w:r>
      <w:r>
        <w:t>hokoliv typu nebo formy v jak</w:t>
      </w:r>
      <w:r>
        <w:rPr>
          <w:lang w:val="fr-FR"/>
        </w:rPr>
        <w:t>é</w:t>
      </w:r>
      <w:r>
        <w:t>koliv fázi nebo v</w:t>
      </w:r>
      <w:r>
        <w:rPr>
          <w:lang w:val="en-US"/>
        </w:rPr>
        <w:t> </w:t>
      </w:r>
      <w:r>
        <w:t>prováděn</w:t>
      </w:r>
      <w:r>
        <w:rPr>
          <w:lang w:val="fr-FR"/>
        </w:rPr>
        <w:t>é</w:t>
      </w:r>
      <w:r>
        <w:t>m nebo předpokládan</w:t>
      </w:r>
      <w:r>
        <w:rPr>
          <w:lang w:val="fr-FR"/>
        </w:rPr>
        <w:t>é</w:t>
      </w:r>
      <w:r>
        <w:t>m výzkumu, vývoji a inovacích, včetně, nikol</w:t>
      </w:r>
      <w:r>
        <w:t>iv však pouze, programy a programové moduly, rutiny a podrutiny, diagramy, zdrojový kód, objektový kód a načitatelné moduly, programování, programovací záplaty a návrhy systému,</w:t>
      </w:r>
    </w:p>
    <w:p w:rsidR="006768C3" w:rsidRDefault="009876C1">
      <w:pPr>
        <w:pStyle w:val="Body"/>
        <w:numPr>
          <w:ilvl w:val="2"/>
          <w:numId w:val="2"/>
        </w:numPr>
      </w:pPr>
      <w:r>
        <w:t>i</w:t>
      </w:r>
      <w:r>
        <w:rPr>
          <w:lang w:val="en-US"/>
        </w:rPr>
        <w:t>nformace vztah</w:t>
      </w:r>
      <w:r>
        <w:t>ující se k vlastnictkým právům jakékoliv Smluvní strany před ja</w:t>
      </w:r>
      <w:r>
        <w:t xml:space="preserve">kýmkoliv veřejným poskytnutím nebo vyzrazením takové informace, včetně, nikoliv však pouze, povaha proprietárních práv, </w:t>
      </w:r>
      <w:r>
        <w:lastRenderedPageBreak/>
        <w:t>produkční data, technická a inženýrská data, testovací data a výsledky testů, stav a podrobnosti výzkumu, vývoje a inovací produktů a sl</w:t>
      </w:r>
      <w:r>
        <w:t>užeb, a informace týkající se získávání, ochrany, vynucování a licencování proprietárních práv, včetně patentů, autorských práv, návrhů a obchodních tajemství,</w:t>
      </w:r>
    </w:p>
    <w:p w:rsidR="006768C3" w:rsidRDefault="009876C1">
      <w:pPr>
        <w:pStyle w:val="Body"/>
        <w:numPr>
          <w:ilvl w:val="2"/>
          <w:numId w:val="2"/>
        </w:numPr>
      </w:pPr>
      <w:r>
        <w:t xml:space="preserve">provozní informace, včetně, nikoliv však pouze, vnitřní informace o personálu a </w:t>
      </w:r>
      <w:r>
        <w:rPr>
          <w:lang w:val="fr-FR"/>
        </w:rPr>
        <w:t>financ</w:t>
      </w:r>
      <w:r>
        <w:t>ích, jména</w:t>
      </w:r>
      <w:r>
        <w:t xml:space="preserve"> dodavatelů a jiné informace o dodavatelích, včetně dodavatelských charakteristik, služeb a smluv, informacích o nákupních i vnitřních cenách a nákladech, vnitřní služby a provozní manuály, a způsob a metody provozu a obchodování jakékoliv Smluvní strany,</w:t>
      </w:r>
    </w:p>
    <w:p w:rsidR="006768C3" w:rsidRDefault="009876C1">
      <w:pPr>
        <w:pStyle w:val="Body"/>
        <w:numPr>
          <w:ilvl w:val="2"/>
          <w:numId w:val="2"/>
        </w:numPr>
      </w:pPr>
      <w:r>
        <w:t>marketingové a vývojové informace, včetně, nikoliv však pouze, marketingových a rozvojových plánů, cenových a nákladových dat, část</w:t>
      </w:r>
      <w:r>
        <w:rPr>
          <w:lang w:val="en-US"/>
        </w:rPr>
        <w:t>ek</w:t>
      </w:r>
      <w:r>
        <w:t xml:space="preserve"> cen a slev, cenových a účetních politik, postupů cenových nabídek, marketingových technik a metod získávání obchodů, předp</w:t>
      </w:r>
      <w:r>
        <w:t>ovědí a předpokladů předpovědí a objemů, a budoucích plánů a potenciálních strategií jakékoliv Smluvní strany, které byly nebo jsou zvažovány,</w:t>
      </w:r>
    </w:p>
    <w:p w:rsidR="006768C3" w:rsidRDefault="009876C1">
      <w:pPr>
        <w:pStyle w:val="Body"/>
        <w:numPr>
          <w:ilvl w:val="2"/>
          <w:numId w:val="2"/>
        </w:numPr>
      </w:pPr>
      <w:r>
        <w:t xml:space="preserve">informace o zákaznících, včetně, nikoliv však pouze, jména zákazníků a jejich zástupců, smlouvy a jejich obsah a </w:t>
      </w:r>
      <w:r>
        <w:t>strany, zákaznické služby, data poskytnutá zákazníky a typ, množství a specifikace produktů a služeb nakoupených, pronajatých, licencovaných nebo obdržených zákazníky jakékoliv Smluvní strany,</w:t>
      </w:r>
    </w:p>
    <w:p w:rsidR="006768C3" w:rsidRDefault="009876C1">
      <w:pPr>
        <w:pStyle w:val="Body"/>
        <w:numPr>
          <w:ilvl w:val="2"/>
          <w:numId w:val="2"/>
        </w:numPr>
      </w:pPr>
      <w:r>
        <w:t>jakákoliv informace, která byla poskytnuta třetí stranou jakéko</w:t>
      </w:r>
      <w:r>
        <w:t xml:space="preserve">liv Smluvní straně a která podléhá dohodě o </w:t>
      </w:r>
      <w:r>
        <w:rPr>
          <w:lang w:val="en-US"/>
        </w:rPr>
        <w:t>ml</w:t>
      </w:r>
      <w:r>
        <w:t>čenlivosti mezi touto třetí stranou a druhou Smluvní stranou,</w:t>
      </w:r>
    </w:p>
    <w:p w:rsidR="006768C3" w:rsidRDefault="009876C1">
      <w:pPr>
        <w:pStyle w:val="Body"/>
        <w:numPr>
          <w:ilvl w:val="2"/>
          <w:numId w:val="2"/>
        </w:numPr>
      </w:pPr>
      <w:r>
        <w:t>tato Smlouva, včetně, nikoliv však pouze, její existence, jejího obsahu a jejích podmínek.</w:t>
      </w:r>
    </w:p>
    <w:p w:rsidR="006768C3" w:rsidRDefault="009876C1">
      <w:pPr>
        <w:pStyle w:val="Body"/>
        <w:numPr>
          <w:ilvl w:val="1"/>
          <w:numId w:val="2"/>
        </w:numPr>
      </w:pPr>
      <w:r>
        <w:t xml:space="preserve">Důvěrné informace každé Smluvní strany nebudou zahrnovat </w:t>
      </w:r>
      <w:r>
        <w:t>informace, které:</w:t>
      </w:r>
    </w:p>
    <w:p w:rsidR="006768C3" w:rsidRDefault="009876C1">
      <w:pPr>
        <w:pStyle w:val="Body"/>
        <w:numPr>
          <w:ilvl w:val="2"/>
          <w:numId w:val="2"/>
        </w:numPr>
      </w:pPr>
      <w:r>
        <w:rPr>
          <w:lang w:val="en-US"/>
        </w:rPr>
        <w:t>j</w:t>
      </w:r>
      <w:r>
        <w:t>sou obecně známé v oboru činnosti takové Smluvní strany;</w:t>
      </w:r>
    </w:p>
    <w:p w:rsidR="006768C3" w:rsidRDefault="009876C1">
      <w:pPr>
        <w:pStyle w:val="Body"/>
        <w:numPr>
          <w:ilvl w:val="2"/>
          <w:numId w:val="2"/>
        </w:numPr>
      </w:pPr>
      <w:r>
        <w:rPr>
          <w:lang w:val="en-US"/>
        </w:rPr>
        <w:t>jsou</w:t>
      </w:r>
      <w:r>
        <w:t xml:space="preserve"> nyní, nebo se následně stan</w:t>
      </w:r>
      <w:r>
        <w:rPr>
          <w:lang w:val="en-US"/>
        </w:rPr>
        <w:t>ou</w:t>
      </w:r>
      <w:r>
        <w:t>, obecně dostupný</w:t>
      </w:r>
      <w:r>
        <w:rPr>
          <w:lang w:val="en-US"/>
        </w:rPr>
        <w:t>mi</w:t>
      </w:r>
      <w:r>
        <w:t xml:space="preserve"> veřejnosti bez </w:t>
      </w:r>
      <w:r>
        <w:rPr>
          <w:lang w:val="en-US"/>
        </w:rPr>
        <w:t>zavin</w:t>
      </w:r>
      <w:r>
        <w:t>ění druhou Smluvní stranou;</w:t>
      </w:r>
    </w:p>
    <w:p w:rsidR="006768C3" w:rsidRDefault="009876C1">
      <w:pPr>
        <w:pStyle w:val="Body"/>
        <w:numPr>
          <w:ilvl w:val="2"/>
          <w:numId w:val="2"/>
        </w:numPr>
      </w:pPr>
      <w:r>
        <w:t xml:space="preserve">byly právoplatně k dispozici druhé Smluvní straně před poskytnutím druhé </w:t>
      </w:r>
      <w:r>
        <w:t>Smluvní straně;</w:t>
      </w:r>
    </w:p>
    <w:p w:rsidR="006768C3" w:rsidRDefault="009876C1">
      <w:pPr>
        <w:pStyle w:val="Body"/>
        <w:numPr>
          <w:ilvl w:val="2"/>
          <w:numId w:val="2"/>
        </w:numPr>
      </w:pPr>
      <w:r>
        <w:t>jsou nezávisle vytvořeny druhou Smluvní stranou bez přímého nebo nepřímého použití Důvěrných informací;</w:t>
      </w:r>
    </w:p>
    <w:p w:rsidR="006768C3" w:rsidRDefault="009876C1">
      <w:pPr>
        <w:pStyle w:val="Body"/>
        <w:numPr>
          <w:ilvl w:val="2"/>
          <w:numId w:val="2"/>
        </w:numPr>
      </w:pPr>
      <w:r>
        <w:t>druhá Smluvní strana právoplatně získá od třetí strany, která je má právo přenést nebo poskytnout;</w:t>
      </w:r>
    </w:p>
    <w:p w:rsidR="006768C3" w:rsidRDefault="009876C1">
      <w:pPr>
        <w:pStyle w:val="Body"/>
        <w:numPr>
          <w:ilvl w:val="1"/>
          <w:numId w:val="2"/>
        </w:numPr>
      </w:pPr>
      <w:r>
        <w:t xml:space="preserve">Smluvní strany se zavazují, že budou </w:t>
      </w:r>
      <w:r>
        <w:t>uchovávat Důvěrné informace v naprosté důvěrnosti a bránit jejich zveřejnění veřejnosti. Smluvní strany se zavazují, že nebudou vyzrazovat, odhalovat, hlásit nebo používat pro jakýkoliv důvod jakoukoliv Důvěrnou informaci, kterou každá Smluvní strana získa</w:t>
      </w:r>
      <w:r>
        <w:t>la nebo která byla druhé Smluvní straně poskytnuta touto Smluvní stranou.</w:t>
      </w:r>
    </w:p>
    <w:p w:rsidR="006768C3" w:rsidRDefault="009876C1">
      <w:pPr>
        <w:pStyle w:val="Body"/>
        <w:numPr>
          <w:ilvl w:val="1"/>
          <w:numId w:val="2"/>
        </w:numPr>
      </w:pPr>
      <w:r>
        <w:t>Smluvní strany souhlasí, že pokud nastane jakákoliv otázka ohledně takového poskytnutí, pak každá Smluvní strana vyhledá druhou Smluvní stranu před učiněním jakéhokoliv poskytnutí Dů</w:t>
      </w:r>
      <w:r>
        <w:t>věrné infromace.</w:t>
      </w:r>
    </w:p>
    <w:p w:rsidR="006768C3" w:rsidRDefault="009876C1">
      <w:pPr>
        <w:pStyle w:val="Body"/>
        <w:numPr>
          <w:ilvl w:val="1"/>
          <w:numId w:val="2"/>
        </w:numPr>
      </w:pPr>
      <w:r>
        <w:t>Smluvní strany souhlasí a potvrzují, že Důvěrné informace jsou proprietární a důvěrné povahy a že jakékoliv poskytnutí Důvěrných informací třetí straně v rozporu s touto Smlouvou nemůže být rozumně nebo adekvátně kompenzováno peněžním odšk</w:t>
      </w:r>
      <w:r>
        <w:t>odněním, způsobilo by nenapravitelnou škodu druhé Smluvní straně, mělo by závažný dopad na efektivní a úspěšný provoz a reputaci druhé Smluvní strany a bylo by závažným porušením této Smlouvy.</w:t>
      </w:r>
    </w:p>
    <w:p w:rsidR="006768C3" w:rsidRDefault="009876C1">
      <w:pPr>
        <w:pStyle w:val="Body"/>
        <w:numPr>
          <w:ilvl w:val="1"/>
          <w:numId w:val="2"/>
        </w:numPr>
      </w:pPr>
      <w:r>
        <w:t>Každá strana může poskytnout jakoukoliv Důvěrnou informaci:</w:t>
      </w:r>
    </w:p>
    <w:p w:rsidR="006768C3" w:rsidRDefault="009876C1">
      <w:pPr>
        <w:pStyle w:val="Body"/>
        <w:numPr>
          <w:ilvl w:val="2"/>
          <w:numId w:val="2"/>
        </w:numPr>
      </w:pPr>
      <w:r>
        <w:t xml:space="preserve">do </w:t>
      </w:r>
      <w:r>
        <w:t>míry vyžadované zákonem nebo na žádost nebo příkaz jakéhokoliv soudního, zákonodárného, správního nebo jiného státního orgánu;</w:t>
      </w:r>
    </w:p>
    <w:p w:rsidR="006768C3" w:rsidRDefault="009876C1">
      <w:pPr>
        <w:pStyle w:val="Body"/>
        <w:numPr>
          <w:ilvl w:val="2"/>
          <w:numId w:val="2"/>
        </w:numPr>
      </w:pPr>
      <w:r>
        <w:t>třetí straně, pokud druhá Smluvní strana s takovým poskytnutím písemně souhlasila.</w:t>
      </w:r>
    </w:p>
    <w:p w:rsidR="006768C3" w:rsidRDefault="009876C1">
      <w:pPr>
        <w:pStyle w:val="Body"/>
        <w:numPr>
          <w:ilvl w:val="1"/>
          <w:numId w:val="2"/>
        </w:numPr>
      </w:pPr>
      <w:r>
        <w:lastRenderedPageBreak/>
        <w:t>Pokud jakákoliv smluvní strana ztratí nebo neo</w:t>
      </w:r>
      <w:r>
        <w:t>právněně poskytne jakoukoliv Důvěrnou informaci, pak tato Smluvní strana okamžitě uvědomí druhou Smluvní stranu a podnikne všechny rozumné kroky nezbytné k zpětnému získání ztracené nebo neoprávněně poskytnuté Důvěrné informace.</w:t>
      </w:r>
    </w:p>
    <w:p w:rsidR="006768C3" w:rsidRDefault="009876C1">
      <w:pPr>
        <w:pStyle w:val="Body"/>
        <w:numPr>
          <w:ilvl w:val="1"/>
          <w:numId w:val="2"/>
        </w:numPr>
      </w:pPr>
      <w:r>
        <w:t xml:space="preserve">Povinnosti Smluvních stran </w:t>
      </w:r>
      <w:r>
        <w:t>podle tohoto Článku X přetrvají v platnosti i po ukončení platnosti této Dohody.</w:t>
      </w:r>
    </w:p>
    <w:p w:rsidR="006768C3" w:rsidRDefault="009876C1">
      <w:pPr>
        <w:pStyle w:val="Heading"/>
        <w:numPr>
          <w:ilvl w:val="0"/>
          <w:numId w:val="2"/>
        </w:numPr>
      </w:pPr>
      <w:r>
        <w:t>Oznámení</w:t>
      </w:r>
    </w:p>
    <w:p w:rsidR="006768C3" w:rsidRDefault="009876C1">
      <w:pPr>
        <w:pStyle w:val="Body"/>
        <w:numPr>
          <w:ilvl w:val="1"/>
          <w:numId w:val="2"/>
        </w:numPr>
      </w:pPr>
      <w:r>
        <w:t xml:space="preserve">Všechna oznámení nebo jiné komunikace budou považovány za doručené po osobním doručení na příslušnou adresu, nebo pokud budou poslány certifikovanou nebo doporučenou </w:t>
      </w:r>
      <w:r>
        <w:t>poštou</w:t>
      </w:r>
      <w:r>
        <w:rPr>
          <w:lang w:val="en-US"/>
        </w:rPr>
        <w:t xml:space="preserve"> nebo kur</w:t>
      </w:r>
      <w:r>
        <w:t>ýrní službou, nebo pokud budou poslány emailem s potvrzením o doručení poslaném druhou Smluvní stranou, 5 dní po datu zaslání na následující:</w:t>
      </w:r>
    </w:p>
    <w:p w:rsidR="006768C3" w:rsidRDefault="009876C1">
      <w:pPr>
        <w:pStyle w:val="Body"/>
        <w:numPr>
          <w:ilvl w:val="1"/>
          <w:numId w:val="2"/>
        </w:numPr>
      </w:pPr>
      <w:r>
        <w:t>Poskytovateli</w:t>
      </w:r>
    </w:p>
    <w:p w:rsidR="006768C3" w:rsidRDefault="009876C1">
      <w:pPr>
        <w:pStyle w:val="Body"/>
        <w:numPr>
          <w:ilvl w:val="2"/>
          <w:numId w:val="2"/>
        </w:numPr>
      </w:pPr>
      <w:r>
        <w:t xml:space="preserve">Jméno osoby: </w:t>
      </w:r>
      <w:r>
        <w:rPr>
          <w:lang w:val="en-US"/>
        </w:rPr>
        <w:t xml:space="preserve">Jan Buchal, </w:t>
      </w:r>
      <w:r>
        <w:t>Director.</w:t>
      </w:r>
    </w:p>
    <w:p w:rsidR="006768C3" w:rsidRDefault="009876C1">
      <w:pPr>
        <w:pStyle w:val="Body"/>
        <w:numPr>
          <w:ilvl w:val="2"/>
          <w:numId w:val="2"/>
        </w:numPr>
      </w:pPr>
      <w:r>
        <w:t>Adresa</w:t>
      </w:r>
      <w:r>
        <w:rPr>
          <w:lang w:val="en-US"/>
        </w:rPr>
        <w:t>: Lava Apps Ltd, 71-75 Shelton Street, Londo</w:t>
      </w:r>
      <w:r>
        <w:rPr>
          <w:lang w:val="en-US"/>
        </w:rPr>
        <w:t>n, Greater London, WC2H 9JQ, United Kingdom.</w:t>
      </w:r>
    </w:p>
    <w:p w:rsidR="006768C3" w:rsidRDefault="009876C1">
      <w:pPr>
        <w:pStyle w:val="Body"/>
        <w:numPr>
          <w:ilvl w:val="2"/>
          <w:numId w:val="2"/>
        </w:numPr>
      </w:pPr>
      <w:r>
        <w:t xml:space="preserve">Telefon: </w:t>
      </w:r>
      <w:r>
        <w:rPr>
          <w:lang w:val="en-US"/>
        </w:rPr>
        <w:t xml:space="preserve">+44 </w:t>
      </w:r>
      <w:r>
        <w:t>20 3286 0368</w:t>
      </w:r>
    </w:p>
    <w:p w:rsidR="006768C3" w:rsidRDefault="009876C1">
      <w:pPr>
        <w:pStyle w:val="Body"/>
        <w:numPr>
          <w:ilvl w:val="2"/>
          <w:numId w:val="2"/>
        </w:numPr>
      </w:pPr>
      <w:r>
        <w:t xml:space="preserve">Email: </w:t>
      </w:r>
      <w:hyperlink r:id="rId7" w:history="1">
        <w:r>
          <w:rPr>
            <w:rStyle w:val="Hyperlink0"/>
            <w:lang w:val="en-US"/>
          </w:rPr>
          <w:t>legal@lava.technology</w:t>
        </w:r>
      </w:hyperlink>
    </w:p>
    <w:p w:rsidR="006768C3" w:rsidRDefault="009876C1">
      <w:pPr>
        <w:pStyle w:val="Body"/>
        <w:numPr>
          <w:ilvl w:val="1"/>
          <w:numId w:val="2"/>
        </w:numPr>
      </w:pPr>
      <w:r>
        <w:t>Nabyvateli</w:t>
      </w:r>
      <w:r>
        <w:rPr>
          <w:lang w:val="en-US"/>
        </w:rPr>
        <w:t>:</w:t>
      </w:r>
    </w:p>
    <w:p w:rsidR="006768C3" w:rsidRDefault="009876C1">
      <w:pPr>
        <w:pStyle w:val="Body"/>
        <w:numPr>
          <w:ilvl w:val="2"/>
          <w:numId w:val="2"/>
        </w:numPr>
      </w:pPr>
      <w:r>
        <w:t xml:space="preserve">Jméno osoby: </w:t>
      </w:r>
      <w:r>
        <w:rPr>
          <w:lang w:val="en-US"/>
        </w:rPr>
        <w:t xml:space="preserve">Bohdan Roule, </w:t>
      </w:r>
      <w:r>
        <w:t>ředitel.</w:t>
      </w:r>
    </w:p>
    <w:p w:rsidR="006768C3" w:rsidRDefault="009876C1">
      <w:pPr>
        <w:pStyle w:val="Body"/>
        <w:numPr>
          <w:ilvl w:val="2"/>
          <w:numId w:val="2"/>
        </w:numPr>
      </w:pPr>
      <w:r>
        <w:t>Adres</w:t>
      </w:r>
      <w:r>
        <w:rPr>
          <w:lang w:val="en-US"/>
        </w:rPr>
        <w:t>a</w:t>
      </w:r>
      <w:r>
        <w:t>: Ve Smečkách 15, 115 17 Praha, Czech Republic.</w:t>
      </w:r>
    </w:p>
    <w:p w:rsidR="006768C3" w:rsidRDefault="009876C1">
      <w:pPr>
        <w:pStyle w:val="Body"/>
        <w:numPr>
          <w:ilvl w:val="2"/>
          <w:numId w:val="2"/>
        </w:numPr>
      </w:pPr>
      <w:r>
        <w:t xml:space="preserve">Telefon: </w:t>
      </w:r>
      <w:r>
        <w:rPr>
          <w:lang w:val="en-US"/>
        </w:rPr>
        <w:t>+</w:t>
      </w:r>
      <w:r>
        <w:rPr>
          <w:lang w:val="en-US"/>
        </w:rPr>
        <w:t xml:space="preserve">420 </w:t>
      </w:r>
      <w:r>
        <w:t>222 210 492.</w:t>
      </w:r>
    </w:p>
    <w:p w:rsidR="006768C3" w:rsidRDefault="009876C1">
      <w:pPr>
        <w:pStyle w:val="Body"/>
        <w:numPr>
          <w:ilvl w:val="2"/>
          <w:numId w:val="2"/>
        </w:numPr>
      </w:pPr>
      <w:r>
        <w:t xml:space="preserve">Email: </w:t>
      </w:r>
      <w:hyperlink r:id="rId8" w:history="1">
        <w:r>
          <w:rPr>
            <w:rStyle w:val="Hyperlink0"/>
            <w:lang w:val="en-US"/>
          </w:rPr>
          <w:t>reditel@ktn.cz</w:t>
        </w:r>
      </w:hyperlink>
    </w:p>
    <w:p w:rsidR="006768C3" w:rsidRDefault="009876C1">
      <w:pPr>
        <w:pStyle w:val="Heading"/>
        <w:numPr>
          <w:ilvl w:val="0"/>
          <w:numId w:val="2"/>
        </w:numPr>
      </w:pPr>
      <w:r>
        <w:t>Vyšší moc</w:t>
      </w:r>
    </w:p>
    <w:p w:rsidR="006768C3" w:rsidRDefault="009876C1">
      <w:pPr>
        <w:pStyle w:val="Body"/>
        <w:numPr>
          <w:ilvl w:val="1"/>
          <w:numId w:val="2"/>
        </w:numPr>
      </w:pPr>
      <w:r>
        <w:t xml:space="preserve">Žádná Smluvní strana nebude zodpovědná za škody způsobené druhé Smluvní straně v tom rozsahu, v jakém je porušení této Smlouvy (nebo selhání ve výkonu) touto Smluvní </w:t>
      </w:r>
      <w:r>
        <w:t>stranou kvůli aktu Boha, stávce nebo jinému pracovnímu sporu, válce, teroristické aktivitě, nepokojům, občanské neposlušnosti, embargu, požáru, záplavám, počasí, nebo jakékoliv jiné okolnosti, která je mimo rozumnou kontrolu této Smluvní strany (souhrnně d</w:t>
      </w:r>
      <w:r>
        <w:t xml:space="preserve">ále jako </w:t>
      </w:r>
      <w:r>
        <w:rPr>
          <w:rFonts w:ascii="Futura Bold" w:hAnsi="Futura Bold"/>
        </w:rPr>
        <w:t>„</w:t>
      </w:r>
      <w:r>
        <w:rPr>
          <w:rFonts w:ascii="Futura Bold" w:hAnsi="Futura Bold"/>
        </w:rPr>
        <w:t>Vy</w:t>
      </w:r>
      <w:r>
        <w:rPr>
          <w:rFonts w:ascii="Futura Bold" w:hAnsi="Futura Bold"/>
        </w:rPr>
        <w:t xml:space="preserve">šší </w:t>
      </w:r>
      <w:r>
        <w:rPr>
          <w:rFonts w:ascii="Futura Bold" w:hAnsi="Futura Bold"/>
        </w:rPr>
        <w:t>moc</w:t>
      </w:r>
      <w:r>
        <w:rPr>
          <w:rFonts w:ascii="Futura Bold" w:hAnsi="Futura Bold"/>
        </w:rPr>
        <w:t>”</w:t>
      </w:r>
      <w:r>
        <w:t>).</w:t>
      </w:r>
    </w:p>
    <w:p w:rsidR="006768C3" w:rsidRDefault="009876C1">
      <w:pPr>
        <w:pStyle w:val="Body"/>
        <w:numPr>
          <w:ilvl w:val="1"/>
          <w:numId w:val="2"/>
        </w:numPr>
      </w:pPr>
      <w:r>
        <w:t xml:space="preserve">Během zpoždění ve výkonu kvůli události Vyšší moci </w:t>
      </w:r>
      <w:r>
        <w:rPr>
          <w:lang w:val="en-US"/>
        </w:rPr>
        <w:t>je</w:t>
      </w:r>
      <w:r>
        <w:t xml:space="preserve"> postižená Smluvní strana</w:t>
      </w:r>
      <w:r>
        <w:rPr>
          <w:lang w:val="en-US"/>
        </w:rPr>
        <w:t xml:space="preserve"> povinna</w:t>
      </w:r>
      <w:r>
        <w:t xml:space="preserve"> vynaložit své rozumné úsilí a řádnou péči, aby vyřešila příčinu zpoždění a minimalizovala její dopady. Pokud je jakýmkoliv povinnostem jaké</w:t>
      </w:r>
      <w:r>
        <w:t xml:space="preserve">koliv ze </w:t>
      </w:r>
      <w:r>
        <w:rPr>
          <w:lang w:val="en-US"/>
        </w:rPr>
        <w:t>S</w:t>
      </w:r>
      <w:r>
        <w:t xml:space="preserve">mluvních stran překáženo nebo zabráněno </w:t>
      </w:r>
      <w:r>
        <w:rPr>
          <w:lang w:val="en-US"/>
        </w:rPr>
        <w:t>kompletn</w:t>
      </w:r>
      <w:r>
        <w:t>ě nebo z podstatné části kvůli události Vyšší moci, pak všechny další povinnosti Smluvních stran pokračují. Zpoždění nebo absence výkonu omluvené tímto ustanovením nemohou omluvit jakékoliv jiné pov</w:t>
      </w:r>
      <w:r>
        <w:t>innosti, které jsou v době události nesplněné.</w:t>
      </w:r>
    </w:p>
    <w:p w:rsidR="006768C3" w:rsidRDefault="009876C1">
      <w:pPr>
        <w:pStyle w:val="Body"/>
        <w:numPr>
          <w:ilvl w:val="1"/>
          <w:numId w:val="2"/>
        </w:numPr>
      </w:pPr>
      <w:r>
        <w:t>Bez ohledu na předcházející, v případě, že takováto událost Vyšší moci pokračuje po dobu 1 nepřetržitého měsíce, tak jakákoliv Smluvní strana má právo, ale ne povinnost, podat písemné oznámení druhé Smluvní st</w:t>
      </w:r>
      <w:r>
        <w:t>raně vypovídající tuto Smlouvu v plném rozsahu a každá Smluvní strana nebude mít vůči té druhé žádné další povinnosti až na to, že je povinna zaplatit dlužné částky podle této Smlouvy, které ještě nebyly zaplaceny k datu výpovědi.</w:t>
      </w:r>
    </w:p>
    <w:p w:rsidR="006768C3" w:rsidRDefault="009876C1">
      <w:pPr>
        <w:pStyle w:val="Heading"/>
        <w:numPr>
          <w:ilvl w:val="0"/>
          <w:numId w:val="2"/>
        </w:numPr>
      </w:pPr>
      <w:r>
        <w:lastRenderedPageBreak/>
        <w:t>Rozhodné právo</w:t>
      </w:r>
    </w:p>
    <w:p w:rsidR="006768C3" w:rsidRDefault="009876C1">
      <w:pPr>
        <w:pStyle w:val="Body"/>
        <w:numPr>
          <w:ilvl w:val="1"/>
          <w:numId w:val="2"/>
        </w:numPr>
      </w:pPr>
      <w:r>
        <w:t>Tato Smlou</w:t>
      </w:r>
      <w:r>
        <w:t>va se řídí a bude vy</w:t>
      </w:r>
      <w:r>
        <w:rPr>
          <w:lang w:val="en-US"/>
        </w:rPr>
        <w:t>kl</w:t>
      </w:r>
      <w:r>
        <w:t>ádána v</w:t>
      </w:r>
      <w:r>
        <w:rPr>
          <w:lang w:val="en-US"/>
        </w:rPr>
        <w:t> </w:t>
      </w:r>
      <w:r>
        <w:t>souladu s Anglickým právním řádem a Smluvní strany se oddávají výhradní jurisdikci Anglických soudů, co se týče jakéhokoliv sporu nebo nároku vzešlého podle této Smlouvy.</w:t>
      </w:r>
    </w:p>
    <w:p w:rsidR="006768C3" w:rsidRDefault="009876C1">
      <w:pPr>
        <w:pStyle w:val="Heading"/>
        <w:numPr>
          <w:ilvl w:val="0"/>
          <w:numId w:val="2"/>
        </w:numPr>
      </w:pPr>
      <w:r>
        <w:t>Interpretace</w:t>
      </w:r>
    </w:p>
    <w:p w:rsidR="006768C3" w:rsidRDefault="009876C1">
      <w:pPr>
        <w:pStyle w:val="Body"/>
        <w:numPr>
          <w:ilvl w:val="1"/>
          <w:numId w:val="2"/>
        </w:numPr>
      </w:pPr>
      <w:r>
        <w:t>V případě, že jakákoliv Smluvní strana vzn</w:t>
      </w:r>
      <w:r>
        <w:t>ese nárok týkající se jakéhokoliv rozporu, vynechání nebo dvojznačnosti či nejasnosti v této Smlouvě, nebude implikován žádný přepoklad nebo důkazní břemeno nebo břemeno přesvědčování kvůli tomu faktu, že tato Smlouva byla připravena konkrétní Smluvní stra</w:t>
      </w:r>
      <w:r>
        <w:t>nou nebo právním zástupcem Smluvní strany, nebo že byla připravena na požadavek konkrétní Smluvní strany nebo právního zástupce Smluvní strany.</w:t>
      </w:r>
    </w:p>
    <w:p w:rsidR="006768C3" w:rsidRDefault="009876C1">
      <w:pPr>
        <w:pStyle w:val="Heading"/>
        <w:numPr>
          <w:ilvl w:val="0"/>
          <w:numId w:val="2"/>
        </w:numPr>
      </w:pPr>
      <w:r>
        <w:t>Přílohy</w:t>
      </w:r>
    </w:p>
    <w:p w:rsidR="006768C3" w:rsidRDefault="009876C1">
      <w:pPr>
        <w:pStyle w:val="Body"/>
        <w:numPr>
          <w:ilvl w:val="1"/>
          <w:numId w:val="2"/>
        </w:numPr>
      </w:pPr>
      <w:r>
        <w:t>Všechny přílohy připojené k této Smlouvě jsou začleněny a bude s nimi zacházeno, jako by byly uvedeny zd</w:t>
      </w:r>
      <w:r>
        <w:t>e.</w:t>
      </w:r>
    </w:p>
    <w:p w:rsidR="006768C3" w:rsidRDefault="009876C1">
      <w:pPr>
        <w:pStyle w:val="Heading"/>
        <w:numPr>
          <w:ilvl w:val="0"/>
          <w:numId w:val="2"/>
        </w:numPr>
      </w:pPr>
      <w:r>
        <w:t>Oddělení</w:t>
      </w:r>
    </w:p>
    <w:p w:rsidR="006768C3" w:rsidRDefault="009876C1">
      <w:pPr>
        <w:pStyle w:val="Body"/>
        <w:numPr>
          <w:ilvl w:val="1"/>
          <w:numId w:val="2"/>
        </w:numPr>
      </w:pPr>
      <w:r>
        <w:t>V případě, že jakékoliv ustanovení této Smlouvy bude z jakéhokoliv důvodu uznáno jakožto neplatné, protiprávní nebo nevymahatelné v jakémkoliv ohledu, pak tato neplatnost, protiprávnost nebo nevymahatelnost neovlivní jakékoliv další ustanovení,</w:t>
      </w:r>
      <w:r>
        <w:t xml:space="preserve"> a tato Smlouva bude interpretována a konstruována, jako kdyby toto ustanovení, do míry, do které bude uznáno za neplatné, protiprávní nebo nevymahatelné, nikdy nebylo zde obsaženo.</w:t>
      </w:r>
    </w:p>
    <w:p w:rsidR="006768C3" w:rsidRDefault="009876C1">
      <w:pPr>
        <w:pStyle w:val="Heading"/>
        <w:numPr>
          <w:ilvl w:val="0"/>
          <w:numId w:val="2"/>
        </w:numPr>
      </w:pPr>
      <w:r>
        <w:t>výtisky</w:t>
      </w:r>
    </w:p>
    <w:p w:rsidR="006768C3" w:rsidRDefault="009876C1">
      <w:pPr>
        <w:pStyle w:val="Body"/>
        <w:numPr>
          <w:ilvl w:val="1"/>
          <w:numId w:val="2"/>
        </w:numPr>
      </w:pPr>
      <w:r>
        <w:t>Tato Smlouva může být podepsána v jednom nebo více výtistích, z ni</w:t>
      </w:r>
      <w:r>
        <w:t>chž každý bude pokládán za originál, ale všechny dohromady budou tvořit jednu a tu samou Smlouvu.</w:t>
      </w:r>
    </w:p>
    <w:p w:rsidR="006768C3" w:rsidRDefault="009876C1">
      <w:pPr>
        <w:pStyle w:val="Heading"/>
        <w:numPr>
          <w:ilvl w:val="0"/>
          <w:numId w:val="2"/>
        </w:numPr>
      </w:pPr>
      <w:r>
        <w:t>Celá Smlouva</w:t>
      </w:r>
    </w:p>
    <w:p w:rsidR="006768C3" w:rsidRDefault="009876C1">
      <w:pPr>
        <w:pStyle w:val="Body"/>
        <w:numPr>
          <w:ilvl w:val="1"/>
          <w:numId w:val="2"/>
        </w:numPr>
      </w:pPr>
      <w:r>
        <w:t>Tato Smlouva představuje úplné chápání mezi Smluvními stranami ohledně v ní obsažené věci.</w:t>
      </w:r>
    </w:p>
    <w:p w:rsidR="006768C3" w:rsidRDefault="009876C1">
      <w:pPr>
        <w:pStyle w:val="Body"/>
      </w:pPr>
      <w:r>
        <w:rPr>
          <w:lang w:val="pt-PT"/>
        </w:rPr>
        <w:t>NA D</w:t>
      </w:r>
      <w:r>
        <w:t>Ů</w:t>
      </w:r>
      <w:r>
        <w:rPr>
          <w:lang w:val="de-DE"/>
        </w:rPr>
        <w:t xml:space="preserve">KAZ </w:t>
      </w:r>
      <w:r>
        <w:t>Č</w:t>
      </w:r>
      <w:r>
        <w:rPr>
          <w:lang w:val="de-DE"/>
        </w:rPr>
        <w:t>EHO</w:t>
      </w:r>
      <w:r>
        <w:t>Ž Smluvní strany připojují sv</w:t>
      </w:r>
      <w:r>
        <w:rPr>
          <w:lang w:val="fr-FR"/>
        </w:rPr>
        <w:t xml:space="preserve">é </w:t>
      </w:r>
      <w:r>
        <w:t xml:space="preserve">podpisy v </w:t>
      </w:r>
      <w:r>
        <w:t>den Data podpisu</w:t>
      </w:r>
    </w:p>
    <w:p w:rsidR="006768C3" w:rsidRDefault="009876C1">
      <w:pPr>
        <w:pStyle w:val="Body"/>
        <w:tabs>
          <w:tab w:val="center" w:pos="2353"/>
          <w:tab w:val="center" w:pos="7058"/>
        </w:tabs>
        <w:spacing w:before="600"/>
      </w:pPr>
      <w:r>
        <w:tab/>
      </w:r>
      <w:r>
        <w:rPr>
          <w:lang w:val="en-US"/>
        </w:rPr>
        <w:t>__________________________________</w:t>
      </w:r>
      <w:r>
        <w:tab/>
      </w:r>
      <w:r>
        <w:rPr>
          <w:lang w:val="en-US"/>
        </w:rPr>
        <w:t>_______________________________________</w:t>
      </w:r>
      <w:r>
        <w:tab/>
      </w:r>
      <w:r>
        <w:rPr>
          <w:rFonts w:ascii="Arial Unicode MS" w:hAnsi="Arial Unicode MS"/>
        </w:rPr>
        <w:br/>
      </w:r>
      <w:r>
        <w:tab/>
      </w:r>
      <w:r>
        <w:rPr>
          <w:lang w:val="it-IT"/>
        </w:rPr>
        <w:t>Lava Apps Ltd</w:t>
      </w:r>
      <w:r>
        <w:tab/>
      </w:r>
      <w:r>
        <w:t>Knihovna a tiskárna pro nevidom</w:t>
      </w:r>
      <w:r>
        <w:rPr>
          <w:lang w:val="fr-FR"/>
        </w:rPr>
        <w:t xml:space="preserve">é </w:t>
      </w:r>
      <w:r>
        <w:rPr>
          <w:lang w:val="es-ES_tradnl"/>
        </w:rPr>
        <w:t>K.E.Macana</w:t>
      </w:r>
      <w:r>
        <w:rPr>
          <w:rFonts w:ascii="Arial Unicode MS" w:hAnsi="Arial Unicode MS"/>
        </w:rPr>
        <w:br/>
      </w:r>
      <w:r>
        <w:tab/>
      </w:r>
      <w:r>
        <w:rPr>
          <w:lang w:val="de-DE"/>
        </w:rPr>
        <w:t xml:space="preserve">Jan Buchal, </w:t>
      </w:r>
      <w:r>
        <w:t>ředitel</w:t>
      </w:r>
      <w:r>
        <w:tab/>
      </w:r>
      <w:r>
        <w:t>Bohdan Roule</w:t>
      </w:r>
      <w:r>
        <w:rPr>
          <w:lang w:val="en-US"/>
        </w:rPr>
        <w:t xml:space="preserve">, </w:t>
      </w:r>
      <w:r>
        <w:t>ředitel</w:t>
      </w:r>
      <w:r>
        <w:rPr>
          <w:rFonts w:ascii="Arial Unicode MS" w:hAnsi="Arial Unicode MS"/>
        </w:rPr>
        <w:br/>
      </w:r>
      <w:r>
        <w:tab/>
      </w:r>
      <w:r>
        <w:rPr>
          <w:lang w:val="en-US"/>
        </w:rPr>
        <w:t>(</w:t>
      </w:r>
      <w:r>
        <w:t>za Poskytovatele</w:t>
      </w:r>
      <w:r>
        <w:rPr>
          <w:lang w:val="en-US"/>
        </w:rPr>
        <w:t>)</w:t>
      </w:r>
      <w:r>
        <w:rPr>
          <w:lang w:val="en-US"/>
        </w:rPr>
        <w:tab/>
        <w:t>(</w:t>
      </w:r>
      <w:r>
        <w:t>za Nabyvatele)</w:t>
      </w:r>
      <w:r>
        <w:rPr>
          <w:rFonts w:ascii="Arial Unicode MS" w:hAnsi="Arial Unicode MS"/>
        </w:rPr>
        <w:br w:type="page"/>
      </w:r>
    </w:p>
    <w:p w:rsidR="006768C3" w:rsidRDefault="009876C1">
      <w:pPr>
        <w:pStyle w:val="Nzev"/>
        <w:jc w:val="center"/>
        <w:rPr>
          <w:rFonts w:ascii="Futura" w:eastAsia="Futura" w:hAnsi="Futura" w:cs="Futura"/>
          <w:b w:val="0"/>
          <w:bCs w:val="0"/>
          <w:caps/>
        </w:rPr>
      </w:pPr>
      <w:r>
        <w:rPr>
          <w:rFonts w:ascii="Futura" w:hAnsi="Futura"/>
          <w:b w:val="0"/>
          <w:bCs w:val="0"/>
          <w:caps/>
        </w:rPr>
        <w:lastRenderedPageBreak/>
        <w:t>P</w:t>
      </w:r>
      <w:r>
        <w:rPr>
          <w:rFonts w:ascii="Futura" w:hAnsi="Futura"/>
          <w:b w:val="0"/>
          <w:bCs w:val="0"/>
          <w:caps/>
        </w:rPr>
        <w:t>ří</w:t>
      </w:r>
      <w:r>
        <w:rPr>
          <w:rFonts w:ascii="Futura" w:hAnsi="Futura"/>
          <w:b w:val="0"/>
          <w:bCs w:val="0"/>
          <w:caps/>
        </w:rPr>
        <w:t>loha A</w:t>
      </w:r>
    </w:p>
    <w:p w:rsidR="006768C3" w:rsidRDefault="009876C1">
      <w:pPr>
        <w:pStyle w:val="Podtitul"/>
        <w:jc w:val="center"/>
        <w:rPr>
          <w:rFonts w:ascii="Futura" w:eastAsia="Futura" w:hAnsi="Futura" w:cs="Futura"/>
          <w:sz w:val="60"/>
          <w:szCs w:val="60"/>
        </w:rPr>
      </w:pPr>
      <w:r>
        <w:rPr>
          <w:rFonts w:ascii="Futura" w:hAnsi="Futura"/>
          <w:sz w:val="60"/>
          <w:szCs w:val="60"/>
        </w:rPr>
        <w:t>Funk</w:t>
      </w:r>
      <w:r>
        <w:rPr>
          <w:rFonts w:ascii="Futura" w:hAnsi="Futura"/>
          <w:sz w:val="60"/>
          <w:szCs w:val="60"/>
        </w:rPr>
        <w:t>č</w:t>
      </w:r>
      <w:r>
        <w:rPr>
          <w:rFonts w:ascii="Futura" w:hAnsi="Futura"/>
          <w:sz w:val="60"/>
          <w:szCs w:val="60"/>
        </w:rPr>
        <w:t>n</w:t>
      </w:r>
      <w:r>
        <w:rPr>
          <w:rFonts w:ascii="Futura" w:hAnsi="Futura"/>
          <w:sz w:val="60"/>
          <w:szCs w:val="60"/>
        </w:rPr>
        <w:t xml:space="preserve">í </w:t>
      </w:r>
      <w:r>
        <w:rPr>
          <w:rFonts w:ascii="Futura" w:hAnsi="Futura"/>
          <w:sz w:val="60"/>
          <w:szCs w:val="60"/>
        </w:rPr>
        <w:t>specifikace softwaru Camelot</w:t>
      </w:r>
    </w:p>
    <w:p w:rsidR="006768C3" w:rsidRDefault="009876C1">
      <w:pPr>
        <w:pStyle w:val="Body"/>
        <w:numPr>
          <w:ilvl w:val="0"/>
          <w:numId w:val="4"/>
        </w:numPr>
      </w:pPr>
      <w:r>
        <w:rPr>
          <w:lang w:val="en-US"/>
        </w:rPr>
        <w:t>Software Camelot (d</w:t>
      </w:r>
      <w:r>
        <w:t>ále jako „aplikace“) je provozován v rámci digitální knihovny provozovan</w:t>
      </w:r>
      <w:r>
        <w:rPr>
          <w:lang w:val="fr-FR"/>
        </w:rPr>
        <w:t xml:space="preserve">é </w:t>
      </w:r>
      <w:r>
        <w:t>Nabyvatelem (dále jako „aplikace digitální knihovny“).</w:t>
      </w:r>
    </w:p>
    <w:p w:rsidR="006768C3" w:rsidRDefault="009876C1">
      <w:pPr>
        <w:pStyle w:val="Heading"/>
      </w:pPr>
      <w:r>
        <w:rPr>
          <w:lang w:val="nl-NL"/>
        </w:rPr>
        <w:t xml:space="preserve">Camelot </w:t>
      </w:r>
      <w:r>
        <w:t>– syst</w:t>
      </w:r>
      <w:r>
        <w:rPr>
          <w:lang w:val="fr-FR"/>
        </w:rPr>
        <w:t>é</w:t>
      </w:r>
      <w:r>
        <w:t>m pro zpřístupnění denního tisku</w:t>
      </w:r>
    </w:p>
    <w:p w:rsidR="006768C3" w:rsidRDefault="009876C1">
      <w:pPr>
        <w:pStyle w:val="Body"/>
        <w:numPr>
          <w:ilvl w:val="0"/>
          <w:numId w:val="5"/>
        </w:numPr>
      </w:pPr>
      <w:r>
        <w:t>Zdrojová data v XML jsou stahov</w:t>
      </w:r>
      <w:r>
        <w:t>ána každ</w:t>
      </w:r>
      <w:r>
        <w:rPr>
          <w:lang w:val="fr-FR"/>
        </w:rPr>
        <w:t xml:space="preserve">é </w:t>
      </w:r>
      <w:r>
        <w:t>ráno od dodavatele mediálního obsahu a uložena takovým způsobem, aby další komponenty z nich mohly vygenerovat jimi požadovan</w:t>
      </w:r>
      <w:r>
        <w:rPr>
          <w:lang w:val="fr-FR"/>
        </w:rPr>
        <w:t xml:space="preserve">é </w:t>
      </w:r>
      <w:r>
        <w:t>výstupy, kter</w:t>
      </w:r>
      <w:r>
        <w:rPr>
          <w:lang w:val="fr-FR"/>
        </w:rPr>
        <w:t xml:space="preserve">é </w:t>
      </w:r>
      <w:r>
        <w:t>zdrojová XML data umožňují.</w:t>
      </w:r>
    </w:p>
    <w:p w:rsidR="006768C3" w:rsidRDefault="009876C1">
      <w:pPr>
        <w:pStyle w:val="Body"/>
        <w:numPr>
          <w:ilvl w:val="0"/>
          <w:numId w:val="5"/>
        </w:numPr>
      </w:pPr>
      <w:r>
        <w:t>Vydání novin jsou po uplynutí konfigurovateln</w:t>
      </w:r>
      <w:r>
        <w:rPr>
          <w:lang w:val="fr-FR"/>
        </w:rPr>
        <w:t xml:space="preserve">é </w:t>
      </w:r>
      <w:r>
        <w:t>doby mazá</w:t>
      </w:r>
      <w:r>
        <w:rPr>
          <w:lang w:val="it-IT"/>
        </w:rPr>
        <w:t>na.</w:t>
      </w:r>
    </w:p>
    <w:p w:rsidR="006768C3" w:rsidRDefault="009876C1">
      <w:pPr>
        <w:pStyle w:val="Body"/>
        <w:numPr>
          <w:ilvl w:val="0"/>
          <w:numId w:val="5"/>
        </w:numPr>
      </w:pPr>
      <w:r>
        <w:rPr>
          <w:lang w:val="en-US"/>
        </w:rPr>
        <w:t>V</w:t>
      </w:r>
      <w:r>
        <w:t xml:space="preserve"> uživatelsk</w:t>
      </w:r>
      <w:r>
        <w:rPr>
          <w:lang w:val="fr-FR"/>
        </w:rPr>
        <w:t>é</w:t>
      </w:r>
      <w:r>
        <w:t xml:space="preserve">m </w:t>
      </w:r>
      <w:r>
        <w:t>rozhraní</w:t>
      </w:r>
      <w:r>
        <w:rPr>
          <w:lang w:val="en-US"/>
        </w:rPr>
        <w:t xml:space="preserve"> aplikace</w:t>
      </w:r>
      <w:r>
        <w:t xml:space="preserve"> </w:t>
      </w:r>
      <w:r>
        <w:rPr>
          <w:lang w:val="en-US"/>
        </w:rPr>
        <w:t xml:space="preserve">jsou </w:t>
      </w:r>
      <w:r>
        <w:t>čtenářům zpřístupněny články z denního tisku ke čtení on-line za pomoci zpřístupňujících technologií, jako jsou odečítače obrazovky a zvětšovací nástroje.</w:t>
      </w:r>
    </w:p>
    <w:p w:rsidR="006768C3" w:rsidRDefault="009876C1">
      <w:pPr>
        <w:pStyle w:val="Body"/>
        <w:numPr>
          <w:ilvl w:val="0"/>
          <w:numId w:val="5"/>
        </w:numPr>
      </w:pPr>
      <w:r>
        <w:t>Autorizaci pro přístup k dennímu tisku je v</w:t>
      </w:r>
      <w:r>
        <w:rPr>
          <w:lang w:val="en-US"/>
        </w:rPr>
        <w:t> aplikaci</w:t>
      </w:r>
      <w:r>
        <w:t xml:space="preserve"> možn</w:t>
      </w:r>
      <w:r>
        <w:rPr>
          <w:lang w:val="fr-FR"/>
        </w:rPr>
        <w:t xml:space="preserve">é </w:t>
      </w:r>
      <w:r>
        <w:t>prov</w:t>
      </w:r>
      <w:r>
        <w:rPr>
          <w:lang w:val="fr-FR"/>
        </w:rPr>
        <w:t>é</w:t>
      </w:r>
      <w:r>
        <w:t>st nezávisle z</w:t>
      </w:r>
      <w:r>
        <w:t>ařazením každ</w:t>
      </w:r>
      <w:r>
        <w:rPr>
          <w:lang w:val="fr-FR"/>
        </w:rPr>
        <w:t>é</w:t>
      </w:r>
      <w:r>
        <w:t>ho uživatele do příslušn</w:t>
      </w:r>
      <w:r>
        <w:rPr>
          <w:lang w:val="fr-FR"/>
        </w:rPr>
        <w:t xml:space="preserve">é </w:t>
      </w:r>
      <w:r>
        <w:t>skupiny</w:t>
      </w:r>
      <w:r>
        <w:rPr>
          <w:lang w:val="en-US"/>
        </w:rPr>
        <w:t xml:space="preserve"> v aplikaci</w:t>
      </w:r>
      <w:r>
        <w:t>.</w:t>
      </w:r>
    </w:p>
    <w:p w:rsidR="006768C3" w:rsidRDefault="009876C1">
      <w:pPr>
        <w:pStyle w:val="Body"/>
        <w:numPr>
          <w:ilvl w:val="0"/>
          <w:numId w:val="5"/>
        </w:numPr>
      </w:pPr>
      <w:r>
        <w:t>Přístup k dennímu tisku musí být v aplikaci digitální knihovny řešen jako separátní sekce (např. samostatná položka hlavní nabídky).</w:t>
      </w:r>
    </w:p>
    <w:p w:rsidR="006768C3" w:rsidRDefault="009876C1">
      <w:pPr>
        <w:pStyle w:val="Body"/>
        <w:numPr>
          <w:ilvl w:val="0"/>
          <w:numId w:val="5"/>
        </w:numPr>
      </w:pPr>
      <w:r>
        <w:t>V t</w:t>
      </w:r>
      <w:r>
        <w:rPr>
          <w:lang w:val="fr-FR"/>
        </w:rPr>
        <w:t>é</w:t>
      </w:r>
      <w:r>
        <w:t>to sekci uživatel vidí seznam všech dostupných periodik.</w:t>
      </w:r>
    </w:p>
    <w:p w:rsidR="006768C3" w:rsidRDefault="009876C1">
      <w:pPr>
        <w:pStyle w:val="Body"/>
        <w:numPr>
          <w:ilvl w:val="0"/>
          <w:numId w:val="5"/>
        </w:numPr>
      </w:pPr>
      <w:r>
        <w:t>Pr</w:t>
      </w:r>
      <w:r>
        <w:t>o každ</w:t>
      </w:r>
      <w:r>
        <w:rPr>
          <w:lang w:val="fr-FR"/>
        </w:rPr>
        <w:t xml:space="preserve">é </w:t>
      </w:r>
      <w:r>
        <w:t>z dostupných periodik uživatel vidí seznam dostupných vydání.</w:t>
      </w:r>
    </w:p>
    <w:p w:rsidR="006768C3" w:rsidRDefault="009876C1">
      <w:pPr>
        <w:pStyle w:val="Body"/>
        <w:numPr>
          <w:ilvl w:val="0"/>
          <w:numId w:val="5"/>
        </w:numPr>
      </w:pPr>
      <w:r>
        <w:t>U každ</w:t>
      </w:r>
      <w:r>
        <w:rPr>
          <w:lang w:val="fr-FR"/>
        </w:rPr>
        <w:t>é</w:t>
      </w:r>
      <w:r>
        <w:t>ho vydání je možn</w:t>
      </w:r>
      <w:r>
        <w:rPr>
          <w:lang w:val="fr-FR"/>
        </w:rPr>
        <w:t xml:space="preserve">é </w:t>
      </w:r>
      <w:r>
        <w:t xml:space="preserve">zobrazit seznam článků </w:t>
      </w:r>
      <w:r>
        <w:rPr>
          <w:lang w:val="en-US"/>
        </w:rPr>
        <w:t>a to bu</w:t>
      </w:r>
      <w:r>
        <w:t>ď</w:t>
      </w:r>
      <w:r>
        <w:rPr>
          <w:lang w:val="it-IT"/>
        </w:rPr>
        <w:t>to v</w:t>
      </w:r>
      <w:r>
        <w:t>šech, nebo podle jejich zařazení do rubrik.</w:t>
      </w:r>
    </w:p>
    <w:p w:rsidR="006768C3" w:rsidRDefault="009876C1">
      <w:pPr>
        <w:pStyle w:val="Body"/>
        <w:numPr>
          <w:ilvl w:val="0"/>
          <w:numId w:val="5"/>
        </w:numPr>
      </w:pPr>
      <w:r>
        <w:t>Je tak</w:t>
      </w:r>
      <w:r>
        <w:rPr>
          <w:lang w:val="fr-FR"/>
        </w:rPr>
        <w:t xml:space="preserve">é </w:t>
      </w:r>
      <w:r>
        <w:t>možn</w:t>
      </w:r>
      <w:r>
        <w:rPr>
          <w:lang w:val="fr-FR"/>
        </w:rPr>
        <w:t xml:space="preserve">é </w:t>
      </w:r>
      <w:r>
        <w:t>dohledání čí</w:t>
      </w:r>
      <w:r>
        <w:rPr>
          <w:lang w:val="it-IT"/>
        </w:rPr>
        <w:t>sla str</w:t>
      </w:r>
      <w:r>
        <w:t>ánky každ</w:t>
      </w:r>
      <w:r>
        <w:rPr>
          <w:lang w:val="fr-FR"/>
        </w:rPr>
        <w:t>é</w:t>
      </w:r>
      <w:r>
        <w:t>ho článku v původním tištěn</w:t>
      </w:r>
      <w:r>
        <w:rPr>
          <w:lang w:val="fr-FR"/>
        </w:rPr>
        <w:t>é</w:t>
      </w:r>
      <w:r>
        <w:t>m vydání.</w:t>
      </w:r>
    </w:p>
    <w:p w:rsidR="006768C3" w:rsidRDefault="009876C1">
      <w:pPr>
        <w:pStyle w:val="Body"/>
        <w:numPr>
          <w:ilvl w:val="0"/>
          <w:numId w:val="5"/>
        </w:numPr>
      </w:pPr>
      <w:r>
        <w:t>Ovládání musí bý</w:t>
      </w:r>
      <w:r>
        <w:rPr>
          <w:lang w:val="de-DE"/>
        </w:rPr>
        <w:t>t konzistentn</w:t>
      </w:r>
      <w:r>
        <w:t xml:space="preserve">í vzhledem k ostatním částem aplikace </w:t>
      </w:r>
      <w:r>
        <w:rPr>
          <w:lang w:val="en-US"/>
        </w:rPr>
        <w:t>digit</w:t>
      </w:r>
      <w:r>
        <w:t>ální knihovny.</w:t>
      </w:r>
    </w:p>
    <w:p w:rsidR="006768C3" w:rsidRDefault="009876C1">
      <w:pPr>
        <w:pStyle w:val="Heading"/>
      </w:pPr>
      <w:r>
        <w:t>Bezpečnost</w:t>
      </w:r>
    </w:p>
    <w:p w:rsidR="006768C3" w:rsidRDefault="009876C1">
      <w:pPr>
        <w:pStyle w:val="Body"/>
        <w:numPr>
          <w:ilvl w:val="0"/>
          <w:numId w:val="6"/>
        </w:numPr>
      </w:pPr>
      <w:r>
        <w:t>Přístup k obsahu vyhrazen</w:t>
      </w:r>
      <w:r>
        <w:rPr>
          <w:lang w:val="fr-FR"/>
        </w:rPr>
        <w:t>é</w:t>
      </w:r>
      <w:r>
        <w:t>mu registrovaným čtenářům knihovny je chráněn pomocí autentizace uživatelským jm</w:t>
      </w:r>
      <w:r>
        <w:rPr>
          <w:lang w:val="fr-FR"/>
        </w:rPr>
        <w:t>é</w:t>
      </w:r>
      <w:r>
        <w:rPr>
          <w:lang w:val="pt-PT"/>
        </w:rPr>
        <w:t>nem a heslem.</w:t>
      </w:r>
    </w:p>
    <w:p w:rsidR="006768C3" w:rsidRDefault="009876C1">
      <w:pPr>
        <w:pStyle w:val="Body"/>
        <w:numPr>
          <w:ilvl w:val="0"/>
          <w:numId w:val="5"/>
        </w:numPr>
      </w:pPr>
      <w:r>
        <w:t>Př</w:t>
      </w:r>
      <w:r>
        <w:rPr>
          <w:lang w:val="es-ES_tradnl"/>
        </w:rPr>
        <w:t>enos ve</w:t>
      </w:r>
      <w:r>
        <w:t xml:space="preserve">škerých dat mezi čtenářem a </w:t>
      </w:r>
      <w:r>
        <w:t>knihovnou je chráněn šifrovaným spojením pomocí SSL/TLS.</w:t>
      </w:r>
    </w:p>
    <w:p w:rsidR="006768C3" w:rsidRDefault="009876C1">
      <w:pPr>
        <w:pStyle w:val="Body"/>
        <w:numPr>
          <w:ilvl w:val="0"/>
          <w:numId w:val="5"/>
        </w:numPr>
      </w:pPr>
      <w:r>
        <w:t>Veškerá data jsou pravidelně zálohová</w:t>
      </w:r>
      <w:r>
        <w:rPr>
          <w:lang w:val="it-IT"/>
        </w:rPr>
        <w:t>na.</w:t>
      </w:r>
    </w:p>
    <w:p w:rsidR="006768C3" w:rsidRDefault="009876C1">
      <w:pPr>
        <w:pStyle w:val="Heading"/>
      </w:pPr>
      <w:r>
        <w:t>Zpřístupnění</w:t>
      </w:r>
    </w:p>
    <w:p w:rsidR="006768C3" w:rsidRDefault="009876C1">
      <w:pPr>
        <w:pStyle w:val="Body"/>
        <w:numPr>
          <w:ilvl w:val="0"/>
          <w:numId w:val="7"/>
        </w:numPr>
      </w:pPr>
      <w:r>
        <w:t>Aplikace je navržena tak, aby poskytovala velmi dobrou přístupnost pro osoby zrakově postižen</w:t>
      </w:r>
      <w:r>
        <w:rPr>
          <w:lang w:val="fr-FR"/>
        </w:rPr>
        <w:t xml:space="preserve">é </w:t>
      </w:r>
      <w:r>
        <w:t>vč. osob využívajících speciální zpřístupňující te</w:t>
      </w:r>
      <w:r>
        <w:t>chnologie jako jsou odečítače a zvětšovače obrazovky.</w:t>
      </w:r>
    </w:p>
    <w:sectPr w:rsidR="006768C3" w:rsidSect="006768C3">
      <w:headerReference w:type="default" r:id="rId9"/>
      <w:footerReference w:type="default" r:id="rId10"/>
      <w:pgSz w:w="11906" w:h="16838"/>
      <w:pgMar w:top="850" w:right="1247" w:bottom="567" w:left="1247" w:header="709"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6C1" w:rsidRDefault="009876C1" w:rsidP="006768C3">
      <w:r>
        <w:separator/>
      </w:r>
    </w:p>
  </w:endnote>
  <w:endnote w:type="continuationSeparator" w:id="0">
    <w:p w:rsidR="009876C1" w:rsidRDefault="009876C1" w:rsidP="00676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w:altName w:val="Times New Roman"/>
    <w:charset w:val="00"/>
    <w:family w:val="roman"/>
    <w:pitch w:val="default"/>
    <w:sig w:usb0="00000000" w:usb1="00000000" w:usb2="00000000" w:usb3="00000000" w:csb0="00000000" w:csb1="00000000"/>
  </w:font>
  <w:font w:name="Helvetica Neue">
    <w:altName w:val="Times New Roman"/>
    <w:charset w:val="00"/>
    <w:family w:val="roman"/>
    <w:pitch w:val="default"/>
    <w:sig w:usb0="00000000" w:usb1="00000000" w:usb2="00000000" w:usb3="00000000" w:csb0="00000000" w:csb1="00000000"/>
  </w:font>
  <w:font w:name="Futura Bol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8C3" w:rsidRDefault="006768C3">
    <w:pPr>
      <w:pStyle w:val="HeaderFooter"/>
      <w:tabs>
        <w:tab w:val="clear" w:pos="9020"/>
        <w:tab w:val="center" w:pos="4706"/>
        <w:tab w:val="right" w:pos="9411"/>
      </w:tabs>
    </w:pPr>
  </w:p>
  <w:p w:rsidR="006768C3" w:rsidRDefault="009876C1">
    <w:pPr>
      <w:pStyle w:val="HeaderFooter"/>
      <w:tabs>
        <w:tab w:val="clear" w:pos="9020"/>
        <w:tab w:val="center" w:pos="4706"/>
        <w:tab w:val="right" w:pos="9411"/>
      </w:tabs>
      <w:spacing w:line="180" w:lineRule="exact"/>
    </w:pPr>
    <w:r>
      <w:rPr>
        <w:lang w:val="en-US"/>
      </w:rPr>
      <w:tab/>
      <w:t>COMPANY</w:t>
    </w:r>
    <w:r>
      <w:rPr>
        <w:rFonts w:ascii="Arial Unicode MS" w:hAnsi="Arial Unicode MS"/>
      </w:rPr>
      <w:t> </w:t>
    </w:r>
    <w:r>
      <w:t>NAME:</w:t>
    </w:r>
    <w:r>
      <w:rPr>
        <w:lang w:val="en-US"/>
      </w:rPr>
      <w:t xml:space="preserve"> </w:t>
    </w:r>
    <w:r>
      <w:rPr>
        <w:rFonts w:ascii="Arial Unicode MS" w:hAnsi="Arial Unicode MS"/>
      </w:rPr>
      <w:t> </w:t>
    </w:r>
    <w:r>
      <w:rPr>
        <w:lang w:val="en-US"/>
      </w:rPr>
      <w:t>Lava Apps Ltd</w:t>
    </w:r>
    <w:r>
      <w:rPr>
        <w:rFonts w:ascii="Arial Unicode MS" w:hAnsi="Arial Unicode MS"/>
      </w:rPr>
      <w:t> </w:t>
    </w:r>
    <w:r>
      <w:rPr>
        <w:lang w:val="en-US"/>
      </w:rPr>
      <w:t xml:space="preserve"> </w:t>
    </w:r>
    <w:r>
      <w:t>|</w:t>
    </w:r>
    <w:r>
      <w:rPr>
        <w:lang w:val="en-US"/>
      </w:rPr>
      <w:t xml:space="preserve"> </w:t>
    </w:r>
    <w:r>
      <w:rPr>
        <w:rFonts w:ascii="Arial Unicode MS" w:hAnsi="Arial Unicode MS"/>
      </w:rPr>
      <w:t> </w:t>
    </w:r>
    <w:r>
      <w:rPr>
        <w:lang w:val="de-DE"/>
      </w:rPr>
      <w:t>REGISTERED</w:t>
    </w:r>
    <w:r>
      <w:rPr>
        <w:rFonts w:ascii="Arial Unicode MS" w:hAnsi="Arial Unicode MS"/>
      </w:rPr>
      <w:t> </w:t>
    </w:r>
    <w:r>
      <w:rPr>
        <w:lang w:val="en-US"/>
      </w:rPr>
      <w:t xml:space="preserve">OFFICE: </w:t>
    </w:r>
    <w:r>
      <w:rPr>
        <w:rFonts w:ascii="Arial Unicode MS" w:hAnsi="Arial Unicode MS"/>
      </w:rPr>
      <w:t> </w:t>
    </w:r>
    <w:r>
      <w:rPr>
        <w:lang w:val="en-US"/>
      </w:rPr>
      <w:t>71-75 Shelton Street, London, Greater London, United Kingdom, WC2H 9JQ</w:t>
    </w:r>
  </w:p>
  <w:p w:rsidR="006768C3" w:rsidRDefault="009876C1">
    <w:pPr>
      <w:pStyle w:val="HeaderFooter"/>
      <w:tabs>
        <w:tab w:val="clear" w:pos="9020"/>
        <w:tab w:val="center" w:pos="4706"/>
        <w:tab w:val="right" w:pos="9411"/>
      </w:tabs>
      <w:spacing w:line="180" w:lineRule="exact"/>
    </w:pPr>
    <w:r>
      <w:tab/>
    </w:r>
    <w:r>
      <w:rPr>
        <w:lang w:val="en-US"/>
      </w:rPr>
      <w:t>PLACE OF</w:t>
    </w:r>
    <w:r>
      <w:rPr>
        <w:lang w:val="en-US"/>
      </w:rPr>
      <w:t xml:space="preserve"> REGISTRATION:</w:t>
    </w:r>
    <w:r>
      <w:rPr>
        <w:rFonts w:ascii="Arial Unicode MS" w:hAnsi="Arial Unicode MS"/>
      </w:rPr>
      <w:t> </w:t>
    </w:r>
    <w:r>
      <w:rPr>
        <w:lang w:val="en-US"/>
      </w:rPr>
      <w:t xml:space="preserve">England and Wales | COMPANY No.: </w:t>
    </w:r>
    <w:r>
      <w:rPr>
        <w:lang w:val="de-DE"/>
      </w:rPr>
      <w:t xml:space="preserve">11755324 | E-MAIL: </w:t>
    </w:r>
    <w:r>
      <w:rPr>
        <w:lang w:val="en-US"/>
      </w:rPr>
      <w:t>info@lava.technlogy</w:t>
    </w:r>
  </w:p>
  <w:p w:rsidR="006768C3" w:rsidRDefault="009876C1">
    <w:pPr>
      <w:pStyle w:val="HeaderFooter"/>
      <w:tabs>
        <w:tab w:val="clear" w:pos="9020"/>
        <w:tab w:val="center" w:pos="4706"/>
        <w:tab w:val="right" w:pos="9411"/>
      </w:tabs>
      <w:spacing w:after="300" w:line="180" w:lineRule="exact"/>
      <w:rPr>
        <w:spacing w:val="-5"/>
        <w:sz w:val="11"/>
        <w:szCs w:val="11"/>
      </w:rPr>
    </w:pPr>
    <w:r>
      <w:rPr>
        <w:spacing w:val="-5"/>
        <w:sz w:val="11"/>
        <w:szCs w:val="11"/>
      </w:rPr>
      <w:tab/>
    </w:r>
    <w:r>
      <w:rPr>
        <w:spacing w:val="-5"/>
        <w:sz w:val="11"/>
        <w:szCs w:val="11"/>
        <w:lang w:val="en-US"/>
      </w:rPr>
      <w:t>Warning: This document contains confidential information intended only for the indented recipient. It is forbidden to share or distribute any part of this document without prior written permission from Lava Apps Ltd</w:t>
    </w:r>
  </w:p>
  <w:p w:rsidR="006768C3" w:rsidRDefault="009876C1">
    <w:pPr>
      <w:pStyle w:val="HeaderFooter"/>
      <w:tabs>
        <w:tab w:val="clear" w:pos="9020"/>
        <w:tab w:val="center" w:pos="4706"/>
        <w:tab w:val="right" w:pos="9411"/>
      </w:tabs>
    </w:pPr>
    <w:r>
      <w:rPr>
        <w:sz w:val="18"/>
        <w:szCs w:val="18"/>
      </w:rPr>
      <w:tab/>
    </w:r>
    <w:r w:rsidR="006768C3">
      <w:rPr>
        <w:sz w:val="18"/>
        <w:szCs w:val="18"/>
      </w:rPr>
      <w:fldChar w:fldCharType="begin"/>
    </w:r>
    <w:r>
      <w:rPr>
        <w:sz w:val="18"/>
        <w:szCs w:val="18"/>
      </w:rPr>
      <w:instrText xml:space="preserve"> PAGE </w:instrText>
    </w:r>
    <w:r w:rsidR="006768C3">
      <w:rPr>
        <w:sz w:val="18"/>
        <w:szCs w:val="18"/>
      </w:rPr>
      <w:fldChar w:fldCharType="separate"/>
    </w:r>
    <w:r w:rsidR="00E9277F">
      <w:rPr>
        <w:rFonts w:hint="eastAsia"/>
        <w:noProof/>
        <w:sz w:val="18"/>
        <w:szCs w:val="18"/>
      </w:rPr>
      <w:t>7</w:t>
    </w:r>
    <w:r w:rsidR="006768C3">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6C1" w:rsidRDefault="009876C1" w:rsidP="006768C3">
      <w:r>
        <w:separator/>
      </w:r>
    </w:p>
  </w:footnote>
  <w:footnote w:type="continuationSeparator" w:id="0">
    <w:p w:rsidR="009876C1" w:rsidRDefault="009876C1" w:rsidP="006768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8C3" w:rsidRDefault="006768C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C5138"/>
    <w:multiLevelType w:val="hybridMultilevel"/>
    <w:tmpl w:val="65FA9272"/>
    <w:numStyleLink w:val="Contract"/>
  </w:abstractNum>
  <w:abstractNum w:abstractNumId="1">
    <w:nsid w:val="3C7803A6"/>
    <w:multiLevelType w:val="hybridMultilevel"/>
    <w:tmpl w:val="872AD274"/>
    <w:numStyleLink w:val="Numbered"/>
  </w:abstractNum>
  <w:abstractNum w:abstractNumId="2">
    <w:nsid w:val="4B7D2F67"/>
    <w:multiLevelType w:val="hybridMultilevel"/>
    <w:tmpl w:val="65FA9272"/>
    <w:styleLink w:val="Contract"/>
    <w:lvl w:ilvl="0" w:tplc="C2AE2FE8">
      <w:start w:val="1"/>
      <w:numFmt w:val="upperRoman"/>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0CC0A22">
      <w:start w:val="1"/>
      <w:numFmt w:val="decimal"/>
      <w:lvlText w:val="(%2)"/>
      <w:lvlJc w:val="left"/>
      <w:pPr>
        <w:ind w:left="567"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F2789A">
      <w:start w:val="1"/>
      <w:numFmt w:val="lowerLetter"/>
      <w:lvlText w:val="(%3)"/>
      <w:lvlJc w:val="left"/>
      <w:pPr>
        <w:ind w:left="850"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370876E">
      <w:start w:val="1"/>
      <w:numFmt w:val="lowerLetter"/>
      <w:lvlText w:val="(%4)"/>
      <w:lvlJc w:val="left"/>
      <w:pPr>
        <w:ind w:left="99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5B6EF76">
      <w:start w:val="1"/>
      <w:numFmt w:val="lowerLetter"/>
      <w:lvlText w:val="(%5)"/>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C6CDCD6">
      <w:start w:val="1"/>
      <w:numFmt w:val="lowerLetter"/>
      <w:lvlText w:val="(%6)"/>
      <w:lvlJc w:val="left"/>
      <w:pPr>
        <w:ind w:left="1276"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F6A815E">
      <w:start w:val="1"/>
      <w:numFmt w:val="lowerLetter"/>
      <w:lvlText w:val="(%7)"/>
      <w:lvlJc w:val="left"/>
      <w:pPr>
        <w:ind w:left="141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88A3372">
      <w:start w:val="1"/>
      <w:numFmt w:val="lowerLetter"/>
      <w:lvlText w:val="(%8)"/>
      <w:lvlJc w:val="left"/>
      <w:pPr>
        <w:ind w:left="155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1E85954">
      <w:start w:val="1"/>
      <w:numFmt w:val="lowerLetter"/>
      <w:lvlText w:val="(%9)"/>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4F425ED1"/>
    <w:multiLevelType w:val="hybridMultilevel"/>
    <w:tmpl w:val="872AD274"/>
    <w:styleLink w:val="Numbered"/>
    <w:lvl w:ilvl="0" w:tplc="238C35BC">
      <w:start w:val="1"/>
      <w:numFmt w:val="decimal"/>
      <w:lvlText w:val="%1."/>
      <w:lvlJc w:val="left"/>
      <w:pPr>
        <w:ind w:left="544"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C194C5F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777C4CE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44142C7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6E0E98E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3A72A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B3C88396">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B1F0F56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D6EF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3"/>
  </w:num>
  <w:num w:numId="4">
    <w:abstractNumId w:val="1"/>
  </w:num>
  <w:num w:numId="5">
    <w:abstractNumId w:val="1"/>
    <w:lvlOverride w:ilvl="0">
      <w:startOverride w:val="2"/>
      <w:lvl w:ilvl="0" w:tplc="11B48952">
        <w:start w:val="2"/>
        <w:numFmt w:val="decimal"/>
        <w:lvlText w:val="%1."/>
        <w:lvlJc w:val="left"/>
        <w:pPr>
          <w:ind w:left="544"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C0C7E6">
        <w:start w:val="1"/>
        <w:numFmt w:val="lowerLetter"/>
        <w:lvlText w:val="%2."/>
        <w:lvlJc w:val="left"/>
        <w:pPr>
          <w:ind w:left="828"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C0790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484E4A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68024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2E6A52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F9AEBC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17EDF7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0BEC1F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lvlOverride w:ilvl="0">
      <w:startOverride w:val="12"/>
      <w:lvl w:ilvl="0" w:tplc="11B48952">
        <w:start w:val="12"/>
        <w:numFmt w:val="decimal"/>
        <w:lvlText w:val="%1."/>
        <w:lvlJc w:val="left"/>
        <w:pPr>
          <w:ind w:left="544"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C0C7E6">
        <w:start w:val="1"/>
        <w:numFmt w:val="lowerLetter"/>
        <w:lvlText w:val="%2."/>
        <w:lvlJc w:val="left"/>
        <w:pPr>
          <w:ind w:left="828"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C0790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484E4A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68024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2E6A52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F9AEBC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17EDF7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0BEC1F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startOverride w:val="15"/>
      <w:lvl w:ilvl="0" w:tplc="11B48952">
        <w:start w:val="15"/>
        <w:numFmt w:val="decimal"/>
        <w:lvlText w:val="%1."/>
        <w:lvlJc w:val="left"/>
        <w:pPr>
          <w:ind w:left="544"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C0C7E6">
        <w:start w:val="1"/>
        <w:numFmt w:val="lowerLetter"/>
        <w:lvlText w:val="%2."/>
        <w:lvlJc w:val="left"/>
        <w:pPr>
          <w:ind w:left="828"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C07906">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484E4A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68024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2E6A52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F9AEBC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17EDF7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0BEC1F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isplayBackgroundShape/>
  <w:defaultTabStop w:val="720"/>
  <w:hyphenationZone w:val="425"/>
  <w:characterSpacingControl w:val="doNotCompress"/>
  <w:footnotePr>
    <w:footnote w:id="-1"/>
    <w:footnote w:id="0"/>
  </w:footnotePr>
  <w:endnotePr>
    <w:endnote w:id="-1"/>
    <w:endnote w:id="0"/>
  </w:endnotePr>
  <w:compat>
    <w:useFELayout/>
  </w:compat>
  <w:rsids>
    <w:rsidRoot w:val="006768C3"/>
    <w:rsid w:val="006768C3"/>
    <w:rsid w:val="009876C1"/>
    <w:rsid w:val="00E9277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768C3"/>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768C3"/>
    <w:rPr>
      <w:u w:val="single"/>
    </w:rPr>
  </w:style>
  <w:style w:type="table" w:customStyle="1" w:styleId="TableNormal">
    <w:name w:val="Table Normal"/>
    <w:rsid w:val="006768C3"/>
    <w:tblPr>
      <w:tblInd w:w="0" w:type="dxa"/>
      <w:tblCellMar>
        <w:top w:w="0" w:type="dxa"/>
        <w:left w:w="0" w:type="dxa"/>
        <w:bottom w:w="0" w:type="dxa"/>
        <w:right w:w="0" w:type="dxa"/>
      </w:tblCellMar>
    </w:tblPr>
  </w:style>
  <w:style w:type="paragraph" w:customStyle="1" w:styleId="HeaderFooter">
    <w:name w:val="Header &amp; Footer"/>
    <w:rsid w:val="006768C3"/>
    <w:pPr>
      <w:tabs>
        <w:tab w:val="right" w:pos="9020"/>
      </w:tabs>
    </w:pPr>
    <w:rPr>
      <w:rFonts w:ascii="Futura" w:hAnsi="Futura" w:cs="Arial Unicode MS"/>
      <w:color w:val="000000"/>
      <w:sz w:val="14"/>
      <w:szCs w:val="14"/>
    </w:rPr>
  </w:style>
  <w:style w:type="paragraph" w:customStyle="1" w:styleId="Body">
    <w:name w:val="Body"/>
    <w:rsid w:val="006768C3"/>
    <w:pPr>
      <w:spacing w:before="240" w:after="240" w:line="240" w:lineRule="exact"/>
    </w:pPr>
    <w:rPr>
      <w:rFonts w:ascii="Futura" w:hAnsi="Futura" w:cs="Arial Unicode MS"/>
      <w:color w:val="000000"/>
    </w:rPr>
  </w:style>
  <w:style w:type="paragraph" w:customStyle="1" w:styleId="Heading">
    <w:name w:val="Heading"/>
    <w:next w:val="Body"/>
    <w:rsid w:val="006768C3"/>
    <w:pPr>
      <w:keepNext/>
      <w:spacing w:before="600" w:after="300" w:line="400" w:lineRule="exact"/>
    </w:pPr>
    <w:rPr>
      <w:rFonts w:ascii="Futura" w:hAnsi="Futura" w:cs="Arial Unicode MS"/>
      <w:caps/>
      <w:color w:val="000000"/>
      <w:sz w:val="30"/>
      <w:szCs w:val="30"/>
    </w:rPr>
  </w:style>
  <w:style w:type="numbering" w:customStyle="1" w:styleId="Contract">
    <w:name w:val="Contract"/>
    <w:rsid w:val="006768C3"/>
    <w:pPr>
      <w:numPr>
        <w:numId w:val="1"/>
      </w:numPr>
    </w:pPr>
  </w:style>
  <w:style w:type="character" w:customStyle="1" w:styleId="Hyperlink0">
    <w:name w:val="Hyperlink.0"/>
    <w:basedOn w:val="Hypertextovodkaz"/>
    <w:rsid w:val="006768C3"/>
    <w:rPr>
      <w:u w:val="single"/>
    </w:rPr>
  </w:style>
  <w:style w:type="paragraph" w:styleId="Nzev">
    <w:name w:val="Title"/>
    <w:next w:val="Body"/>
    <w:rsid w:val="006768C3"/>
    <w:pPr>
      <w:keepNext/>
    </w:pPr>
    <w:rPr>
      <w:rFonts w:ascii="Helvetica Neue" w:hAnsi="Helvetica Neue" w:cs="Arial Unicode MS"/>
      <w:b/>
      <w:bCs/>
      <w:color w:val="000000"/>
      <w:sz w:val="60"/>
      <w:szCs w:val="60"/>
    </w:rPr>
  </w:style>
  <w:style w:type="paragraph" w:styleId="Podtitul">
    <w:name w:val="Subtitle"/>
    <w:next w:val="Body"/>
    <w:rsid w:val="006768C3"/>
    <w:pPr>
      <w:keepNext/>
    </w:pPr>
    <w:rPr>
      <w:rFonts w:ascii="Helvetica Neue" w:hAnsi="Helvetica Neue" w:cs="Arial Unicode MS"/>
      <w:color w:val="000000"/>
      <w:sz w:val="40"/>
      <w:szCs w:val="40"/>
      <w:lang w:val="de-DE"/>
    </w:rPr>
  </w:style>
  <w:style w:type="numbering" w:customStyle="1" w:styleId="Numbered">
    <w:name w:val="Numbered"/>
    <w:rsid w:val="006768C3"/>
    <w:pPr>
      <w:numPr>
        <w:numId w:val="3"/>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editel@ktn.cz" TargetMode="External"/><Relationship Id="rId3" Type="http://schemas.openxmlformats.org/officeDocument/2006/relationships/settings" Target="settings.xml"/><Relationship Id="rId7" Type="http://schemas.openxmlformats.org/officeDocument/2006/relationships/hyperlink" Target="mailto:legal@lava.technolog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ts val="1200"/>
          </a:lnSpc>
          <a:spcBef>
            <a:spcPts val="1200"/>
          </a:spcBef>
          <a:spcAft>
            <a:spcPts val="0"/>
          </a:spcAft>
          <a:buClrTx/>
          <a:buSzTx/>
          <a:buFontTx/>
          <a:buNone/>
          <a:tabLst/>
          <a:defRPr kumimoji="0" sz="1000" b="0" i="0" u="none" strike="noStrike" cap="none" spc="0" normalizeH="0" baseline="0">
            <a:ln>
              <a:noFill/>
            </a:ln>
            <a:solidFill>
              <a:srgbClr val="000000"/>
            </a:solidFill>
            <a:effectLst/>
            <a:uFillTx/>
            <a:latin typeface="Futura"/>
            <a:ea typeface="Futura"/>
            <a:cs typeface="Futura"/>
            <a:sym typeface="Futur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2452</Words>
  <Characters>14467</Characters>
  <Application>Microsoft Office Word</Application>
  <DocSecurity>0</DocSecurity>
  <Lines>120</Lines>
  <Paragraphs>33</Paragraphs>
  <ScaleCrop>false</ScaleCrop>
  <Company>Hewlett-Packard Company</Company>
  <LinksUpToDate>false</LinksUpToDate>
  <CharactersWithSpaces>16886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Kempná</dc:creator>
  <cp:lastModifiedBy>Romana Kempná</cp:lastModifiedBy>
  <cp:revision>2</cp:revision>
  <dcterms:created xsi:type="dcterms:W3CDTF">2019-01-29T14:35:00Z</dcterms:created>
  <dcterms:modified xsi:type="dcterms:W3CDTF">2019-01-29T14:35:00Z</dcterms:modified>
</cp:coreProperties>
</file>