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54698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9D1D42" w:rsidRPr="009D1D42" w:rsidRDefault="009D1D42" w:rsidP="009D1D42">
                            <w:pPr>
                              <w:pStyle w:val="Nzev"/>
                            </w:pPr>
                            <w:r w:rsidRPr="009D1D42">
                              <w:t xml:space="preserve">Česká </w:t>
                            </w:r>
                            <w:proofErr w:type="spellStart"/>
                            <w:r w:rsidRPr="009D1D42">
                              <w:t>Mountainbiková</w:t>
                            </w:r>
                            <w:proofErr w:type="spellEnd"/>
                            <w:r w:rsidRPr="009D1D42">
                              <w:t xml:space="preserve"> </w:t>
                            </w:r>
                            <w:proofErr w:type="gramStart"/>
                            <w:r w:rsidRPr="009D1D42">
                              <w:t xml:space="preserve">Asociace, </w:t>
                            </w:r>
                            <w:proofErr w:type="spellStart"/>
                            <w:r>
                              <w:t>z.s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 w:rsidRPr="009D1D42">
                              <w:t xml:space="preserve">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9D1D42" w:rsidRPr="009D1D42" w:rsidRDefault="009D1D42" w:rsidP="009D1D42">
                      <w:pPr>
                        <w:pStyle w:val="Nzev"/>
                      </w:pPr>
                      <w:r w:rsidRPr="009D1D42">
                        <w:t xml:space="preserve">Česká </w:t>
                      </w:r>
                      <w:proofErr w:type="spellStart"/>
                      <w:r w:rsidRPr="009D1D42">
                        <w:t>Mountainbiková</w:t>
                      </w:r>
                      <w:proofErr w:type="spellEnd"/>
                      <w:r w:rsidRPr="009D1D42">
                        <w:t xml:space="preserve"> </w:t>
                      </w:r>
                      <w:proofErr w:type="gramStart"/>
                      <w:r w:rsidRPr="009D1D42">
                        <w:t xml:space="preserve">Asociace, </w:t>
                      </w:r>
                      <w:proofErr w:type="spellStart"/>
                      <w:r>
                        <w:t>z.s</w:t>
                      </w:r>
                      <w:proofErr w:type="spellEnd"/>
                      <w:r>
                        <w:t>.</w:t>
                      </w:r>
                      <w:proofErr w:type="gramEnd"/>
                      <w:r w:rsidRPr="009D1D42">
                        <w:t xml:space="preserve">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Vinohradská 46, 20 41 Praha 2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B3496" w:rsidP="00DD7A50">
            <w:pPr>
              <w:pStyle w:val="TableTextCzechTourism"/>
            </w:pPr>
            <w:r>
              <w:t>Alešem Pangrácem, ředitelem odboru regionální partnerství a vztahy B2B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D1D42" w:rsidP="003E4B01">
            <w:pPr>
              <w:pStyle w:val="TableTextCzechTourism"/>
            </w:pPr>
            <w:r w:rsidRPr="009D1D42">
              <w:t>Česk</w:t>
            </w:r>
            <w:r>
              <w:t xml:space="preserve">á </w:t>
            </w:r>
            <w:proofErr w:type="spellStart"/>
            <w:r>
              <w:t>Mountainbiková</w:t>
            </w:r>
            <w:proofErr w:type="spellEnd"/>
            <w:r>
              <w:t xml:space="preserve"> </w:t>
            </w:r>
            <w:proofErr w:type="gramStart"/>
            <w:r>
              <w:t xml:space="preserve">Asociace,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D1D42" w:rsidP="00DD7A50">
            <w:pPr>
              <w:pStyle w:val="TableTextCzechTourism"/>
            </w:pPr>
            <w:r>
              <w:t>Kubelíkova 1189/29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D1D42" w:rsidP="003E4B01">
            <w:pPr>
              <w:pStyle w:val="TableTextCzechTourism"/>
            </w:pPr>
            <w:r>
              <w:t xml:space="preserve">Václavem </w:t>
            </w:r>
            <w:proofErr w:type="spellStart"/>
            <w:r>
              <w:t>Volrábem</w:t>
            </w:r>
            <w:proofErr w:type="spellEnd"/>
            <w:r>
              <w:t>, předsedou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9D1D42" w:rsidP="003E4B01">
            <w:pPr>
              <w:pStyle w:val="TableTextCzechTourism"/>
            </w:pPr>
            <w:r>
              <w:t>28552075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  <w:r w:rsidRPr="00101C08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2143FF" w:rsidP="003E4B01">
            <w:pPr>
              <w:pStyle w:val="TableTextCzechTourism"/>
            </w:pPr>
            <w:r>
              <w:t>není plátce DPH</w:t>
            </w:r>
          </w:p>
        </w:tc>
      </w:tr>
      <w:tr w:rsidR="00302EA3" w:rsidRPr="00101C08" w:rsidTr="00DD7A50"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DD7A50">
            <w:pPr>
              <w:pStyle w:val="TableTextCzechTourism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F7609" w:rsidRPr="00315E6F" w:rsidRDefault="0045279C" w:rsidP="0087129C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E236A9" w:rsidRPr="002143FF" w:rsidRDefault="002143FF" w:rsidP="002143FF">
      <w:pPr>
        <w:pStyle w:val="Text0"/>
        <w:ind w:left="709" w:hanging="709"/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>
        <w:rPr>
          <w:rFonts w:ascii="Georgia" w:hAnsi="Georgia"/>
          <w:szCs w:val="22"/>
        </w:rPr>
        <w:t>1.1</w:t>
      </w:r>
      <w:r>
        <w:rPr>
          <w:rFonts w:ascii="Georgia" w:hAnsi="Georgia"/>
          <w:szCs w:val="22"/>
        </w:rPr>
        <w:tab/>
      </w:r>
      <w:r w:rsidR="003F327B" w:rsidRPr="002143FF">
        <w:rPr>
          <w:rFonts w:ascii="Georgia" w:hAnsi="Georgia"/>
          <w:szCs w:val="22"/>
        </w:rPr>
        <w:t>Dodavatel</w:t>
      </w:r>
      <w:r w:rsidR="004A76A2" w:rsidRPr="002143FF">
        <w:rPr>
          <w:rFonts w:ascii="Georgia" w:hAnsi="Georgia"/>
          <w:szCs w:val="22"/>
        </w:rPr>
        <w:t xml:space="preserve"> se zavazuje podle této smlouvy na svůj náklad</w:t>
      </w:r>
      <w:r w:rsidR="00197386" w:rsidRPr="002143FF">
        <w:rPr>
          <w:rFonts w:ascii="Georgia" w:hAnsi="Georgia"/>
          <w:szCs w:val="22"/>
        </w:rPr>
        <w:t xml:space="preserve"> a nebezpečí </w:t>
      </w:r>
      <w:r w:rsidR="002D52A9" w:rsidRPr="002143FF">
        <w:rPr>
          <w:rFonts w:ascii="Georgia" w:hAnsi="Georgia"/>
          <w:szCs w:val="22"/>
        </w:rPr>
        <w:t xml:space="preserve">poskytnout objednateli: </w:t>
      </w:r>
    </w:p>
    <w:p w:rsidR="002143FF" w:rsidRDefault="002143FF" w:rsidP="002143FF">
      <w:pPr>
        <w:pStyle w:val="Text0"/>
        <w:ind w:left="708" w:firstLine="1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Vypracování </w:t>
      </w:r>
      <w:bookmarkStart w:id="30" w:name="_GoBack"/>
      <w:r>
        <w:rPr>
          <w:rFonts w:ascii="Georgia" w:hAnsi="Georgia"/>
          <w:szCs w:val="22"/>
        </w:rPr>
        <w:t>návrhu metod</w:t>
      </w:r>
      <w:r w:rsidR="006B0D1E">
        <w:rPr>
          <w:rFonts w:ascii="Georgia" w:hAnsi="Georgia"/>
          <w:szCs w:val="22"/>
        </w:rPr>
        <w:t xml:space="preserve">iky technického předpokladu pro </w:t>
      </w:r>
      <w:proofErr w:type="spellStart"/>
      <w:r w:rsidR="006B0D1E">
        <w:rPr>
          <w:rFonts w:ascii="Georgia" w:hAnsi="Georgia"/>
          <w:szCs w:val="22"/>
        </w:rPr>
        <w:t>mountainbikové</w:t>
      </w:r>
      <w:proofErr w:type="spellEnd"/>
      <w:r w:rsidR="006B0D1E">
        <w:rPr>
          <w:rFonts w:ascii="Georgia" w:hAnsi="Georgia"/>
          <w:szCs w:val="22"/>
        </w:rPr>
        <w:t xml:space="preserve"> areály</w:t>
      </w:r>
      <w:r>
        <w:rPr>
          <w:rFonts w:ascii="Georgia" w:hAnsi="Georgia"/>
          <w:szCs w:val="22"/>
        </w:rPr>
        <w:t xml:space="preserve"> pro potřeby Českého systému kvality služeb </w:t>
      </w:r>
      <w:bookmarkEnd w:id="30"/>
      <w:r>
        <w:rPr>
          <w:rFonts w:ascii="Georgia" w:hAnsi="Georgia"/>
          <w:szCs w:val="22"/>
        </w:rPr>
        <w:t>(dále ČSKS).</w:t>
      </w:r>
    </w:p>
    <w:p w:rsidR="0053638E" w:rsidRDefault="0053638E" w:rsidP="0053638E">
      <w:pPr>
        <w:pStyle w:val="Text0"/>
        <w:ind w:left="360" w:firstLine="348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Návrh </w:t>
      </w:r>
      <w:r w:rsidR="006B0D1E">
        <w:rPr>
          <w:rFonts w:ascii="Georgia" w:hAnsi="Georgia"/>
          <w:szCs w:val="22"/>
        </w:rPr>
        <w:t>bude obsahovat</w:t>
      </w:r>
      <w:r>
        <w:rPr>
          <w:rFonts w:ascii="Georgia" w:hAnsi="Georgia"/>
          <w:szCs w:val="22"/>
        </w:rPr>
        <w:t>:</w:t>
      </w:r>
    </w:p>
    <w:p w:rsidR="007C3D64" w:rsidRDefault="007C3D64" w:rsidP="007C3D64">
      <w:pPr>
        <w:pStyle w:val="Text0"/>
        <w:numPr>
          <w:ilvl w:val="0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Definování východisek pro zpracování technického předpokladu a analýza relevantních informací nezbytných pro vytvoření technického předpokladu.</w:t>
      </w:r>
    </w:p>
    <w:p w:rsidR="007C3D64" w:rsidRDefault="007C3D64" w:rsidP="007C3D64">
      <w:pPr>
        <w:pStyle w:val="Text0"/>
        <w:numPr>
          <w:ilvl w:val="0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Vypracování technického předpokladu pro </w:t>
      </w:r>
      <w:proofErr w:type="spellStart"/>
      <w:r>
        <w:rPr>
          <w:rFonts w:ascii="Georgia" w:hAnsi="Georgia"/>
          <w:szCs w:val="22"/>
        </w:rPr>
        <w:t>mountainbikové</w:t>
      </w:r>
      <w:proofErr w:type="spellEnd"/>
      <w:r>
        <w:rPr>
          <w:rFonts w:ascii="Georgia" w:hAnsi="Georgia"/>
          <w:szCs w:val="22"/>
        </w:rPr>
        <w:t xml:space="preserve"> areály ve formě oborové normy.</w:t>
      </w:r>
    </w:p>
    <w:p w:rsidR="007C3D64" w:rsidRDefault="007C3D64" w:rsidP="007C3D64">
      <w:pPr>
        <w:pStyle w:val="Text0"/>
        <w:numPr>
          <w:ilvl w:val="0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Výsledná oborová norma bude zpracována v logické struktuře s dodržením základních metodických pravidel pro její tvorbu. Základní struktura bude následující: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Název technického předpokladu,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Termíny a definice v rámci technického předpokladu,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Vymezení účelu a zaměření technického předpokladu,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Identifikace vydání a platnosti technického předpokladu,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Metodika certifikace technického předpokladu,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Požadavky na hodnocení/certifikaci ve formě kritérií a požadavků technického předpokladu,</w:t>
      </w:r>
    </w:p>
    <w:p w:rsidR="003B27B9" w:rsidRPr="003B27B9" w:rsidRDefault="007C3D64" w:rsidP="003B27B9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Způsob provedení/získání certifikace technického předpokladu,</w:t>
      </w:r>
    </w:p>
    <w:p w:rsidR="007C3D64" w:rsidRDefault="007C3D64" w:rsidP="007C3D64">
      <w:pPr>
        <w:pStyle w:val="Text0"/>
        <w:numPr>
          <w:ilvl w:val="1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Přílohy.</w:t>
      </w:r>
    </w:p>
    <w:p w:rsidR="003B27B9" w:rsidRPr="007C3D64" w:rsidRDefault="003B27B9" w:rsidP="003B27B9">
      <w:pPr>
        <w:pStyle w:val="Text0"/>
        <w:numPr>
          <w:ilvl w:val="0"/>
          <w:numId w:val="28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Součástí dokumentace bude návrh implementace certifikace a oborové normy.</w:t>
      </w:r>
    </w:p>
    <w:p w:rsidR="0053638E" w:rsidRDefault="0053638E" w:rsidP="002143FF">
      <w:pPr>
        <w:pStyle w:val="Text0"/>
        <w:ind w:left="708" w:firstLine="1"/>
        <w:jc w:val="both"/>
        <w:rPr>
          <w:rFonts w:ascii="Georgia" w:hAnsi="Georgia"/>
          <w:szCs w:val="22"/>
        </w:rPr>
      </w:pPr>
    </w:p>
    <w:p w:rsidR="0053638E" w:rsidRDefault="0053638E" w:rsidP="0087129C">
      <w:pPr>
        <w:pStyle w:val="Text0"/>
        <w:ind w:left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Výše uvedeným postupem zpracuje a předá dodavatel objednateli následující výstup:</w:t>
      </w:r>
    </w:p>
    <w:p w:rsidR="0053638E" w:rsidRPr="0053638E" w:rsidRDefault="0053638E" w:rsidP="0053638E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Finální report v českém jazyce v rozsahu do 10 stran zpracovaný v programu MS </w:t>
      </w:r>
      <w:proofErr w:type="spellStart"/>
      <w:r>
        <w:rPr>
          <w:rFonts w:ascii="Georgia" w:hAnsi="Georgia"/>
          <w:szCs w:val="22"/>
        </w:rPr>
        <w:t>Power</w:t>
      </w:r>
      <w:proofErr w:type="spellEnd"/>
      <w:r>
        <w:rPr>
          <w:rFonts w:ascii="Georgia" w:hAnsi="Georgia"/>
          <w:szCs w:val="22"/>
        </w:rPr>
        <w:t xml:space="preserve"> Point, jehož přílohou bude vypracovaná Oborová norma v rozsahu 8-14 stran. Vše bude předáno elektronicky ve formátu PDF (předání elektronické verze dokumentu bude zajištěno zasláním souboru reportu na adresu kontaktní osoby e-mailem). </w:t>
      </w:r>
    </w:p>
    <w:p w:rsidR="004C3750" w:rsidRDefault="004C3750" w:rsidP="002143FF">
      <w:pPr>
        <w:pStyle w:val="Text0"/>
        <w:ind w:left="709" w:hanging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1.2</w:t>
      </w:r>
      <w:r>
        <w:rPr>
          <w:rFonts w:ascii="Georgia" w:hAnsi="Georgia"/>
          <w:szCs w:val="22"/>
        </w:rPr>
        <w:tab/>
        <w:t xml:space="preserve">Veškeré výstupy vytvořené na základě této smlouvy budou po uhrazení odměny za zpracování díla vlastnictvím objednatele. Objednatel je oprávněn s těmito výstupy disponovat v souladu s vlastními záměry vztahujícími se k předmětu plnění. Objednatel se zavazuje, že použitím výstupu neohrozí oprávněné zájmy dodavatele, např. ohrožení reputace dodavatele. </w:t>
      </w:r>
    </w:p>
    <w:p w:rsidR="004C3750" w:rsidRDefault="004C3750" w:rsidP="002143FF">
      <w:pPr>
        <w:pStyle w:val="Text0"/>
        <w:ind w:left="709" w:hanging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1.3</w:t>
      </w:r>
      <w:r>
        <w:rPr>
          <w:rFonts w:ascii="Georgia" w:hAnsi="Georgia"/>
          <w:szCs w:val="22"/>
        </w:rPr>
        <w:tab/>
        <w:t>Dodavatel nezveřejní či nezpřístupní jakékoliv třetí straně informace, které jsou výlučným majetkem objednatele.</w:t>
      </w:r>
    </w:p>
    <w:p w:rsidR="004C3750" w:rsidRDefault="004C3750" w:rsidP="002143FF">
      <w:pPr>
        <w:pStyle w:val="Text0"/>
        <w:ind w:left="709" w:hanging="709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1.4</w:t>
      </w:r>
      <w:r>
        <w:rPr>
          <w:rFonts w:ascii="Georgia" w:hAnsi="Georgia"/>
          <w:szCs w:val="22"/>
        </w:rPr>
        <w:tab/>
        <w:t xml:space="preserve">Výsledný report a veškeré plnění bude objednateli předáno nejpozději </w:t>
      </w:r>
      <w:r w:rsidRPr="00DB76FA">
        <w:rPr>
          <w:rFonts w:ascii="Georgia" w:hAnsi="Georgia"/>
          <w:szCs w:val="22"/>
        </w:rPr>
        <w:t>do 15. 12. 2016</w:t>
      </w:r>
      <w:r>
        <w:rPr>
          <w:rFonts w:ascii="Georgia" w:hAnsi="Georgia"/>
          <w:szCs w:val="22"/>
        </w:rPr>
        <w:t xml:space="preserve">, </w:t>
      </w:r>
      <w:r w:rsidRPr="000E22C2">
        <w:rPr>
          <w:rFonts w:ascii="Georgia" w:hAnsi="Georgia"/>
          <w:szCs w:val="22"/>
        </w:rPr>
        <w:t>přičemž jeho finální podobu musí schválit objednatel na základě podepsaného předávacího protokolu.</w:t>
      </w:r>
    </w:p>
    <w:p w:rsidR="007C3D64" w:rsidRDefault="007C3D64" w:rsidP="002143FF">
      <w:pPr>
        <w:pStyle w:val="Text0"/>
        <w:ind w:left="709" w:hanging="709"/>
        <w:jc w:val="both"/>
        <w:rPr>
          <w:rFonts w:ascii="Georgia" w:hAnsi="Georgia"/>
          <w:szCs w:val="22"/>
        </w:rPr>
      </w:pPr>
    </w:p>
    <w:p w:rsidR="007C3D64" w:rsidRDefault="007C3D64" w:rsidP="002143FF">
      <w:pPr>
        <w:pStyle w:val="Text0"/>
        <w:ind w:left="709" w:hanging="709"/>
        <w:jc w:val="both"/>
        <w:rPr>
          <w:rFonts w:ascii="Georgia" w:hAnsi="Georgia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07554A" w:rsidRPr="00315E6F" w:rsidRDefault="00315E6F" w:rsidP="002143FF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>
        <w:rPr>
          <w:rFonts w:ascii="Georgia" w:hAnsi="Georgia"/>
          <w:szCs w:val="22"/>
        </w:rPr>
        <w:t>dodavatel</w:t>
      </w:r>
      <w:r w:rsidR="00494608">
        <w:rPr>
          <w:rFonts w:ascii="Georgia" w:hAnsi="Georgia"/>
          <w:szCs w:val="22"/>
        </w:rPr>
        <w:t xml:space="preserve">i odměnu ve </w:t>
      </w:r>
      <w:r w:rsidR="00494608" w:rsidRPr="00494608">
        <w:rPr>
          <w:rFonts w:ascii="Georgia" w:hAnsi="Georgia"/>
          <w:szCs w:val="22"/>
        </w:rPr>
        <w:t>výši</w:t>
      </w:r>
      <w:r w:rsidR="002D52A9">
        <w:rPr>
          <w:rFonts w:ascii="Georgia" w:hAnsi="Georgia"/>
          <w:szCs w:val="22"/>
        </w:rPr>
        <w:t xml:space="preserve"> </w:t>
      </w:r>
      <w:r w:rsidR="0053638E">
        <w:rPr>
          <w:rFonts w:ascii="Georgia" w:hAnsi="Georgia"/>
          <w:szCs w:val="22"/>
        </w:rPr>
        <w:t>1</w:t>
      </w:r>
      <w:r w:rsidR="006B0D1E">
        <w:rPr>
          <w:rFonts w:ascii="Georgia" w:hAnsi="Georgia"/>
          <w:szCs w:val="22"/>
        </w:rPr>
        <w:t>63 35</w:t>
      </w:r>
      <w:r w:rsidR="000E22C2" w:rsidRPr="000E22C2">
        <w:rPr>
          <w:rFonts w:ascii="Georgia" w:hAnsi="Georgia"/>
          <w:szCs w:val="22"/>
        </w:rPr>
        <w:t>0</w:t>
      </w:r>
      <w:r w:rsidR="001C7C8C" w:rsidRPr="000E22C2">
        <w:rPr>
          <w:rFonts w:ascii="Georgia" w:hAnsi="Georgia"/>
          <w:szCs w:val="22"/>
        </w:rPr>
        <w:t>,-</w:t>
      </w:r>
      <w:r w:rsidR="001C7C8C" w:rsidRPr="00494608">
        <w:rPr>
          <w:rFonts w:ascii="Georgia" w:hAnsi="Georgia"/>
          <w:szCs w:val="22"/>
        </w:rPr>
        <w:t xml:space="preserve"> Kč </w:t>
      </w:r>
      <w:r w:rsidR="001E6811">
        <w:rPr>
          <w:rFonts w:ascii="Georgia" w:hAnsi="Georgia"/>
          <w:szCs w:val="22"/>
        </w:rPr>
        <w:t>(</w:t>
      </w:r>
      <w:r w:rsidR="0053638E">
        <w:rPr>
          <w:rFonts w:ascii="Georgia" w:hAnsi="Georgia"/>
          <w:szCs w:val="22"/>
        </w:rPr>
        <w:t>dodavatel není plátce DPH</w:t>
      </w:r>
      <w:r w:rsidR="001E6811">
        <w:rPr>
          <w:rFonts w:ascii="Georgia" w:hAnsi="Georgia"/>
          <w:szCs w:val="22"/>
        </w:rPr>
        <w:t>)</w:t>
      </w:r>
      <w:r w:rsidR="000E22C2">
        <w:rPr>
          <w:rFonts w:ascii="Georgia" w:hAnsi="Georgia"/>
          <w:szCs w:val="22"/>
        </w:rPr>
        <w:t>.</w:t>
      </w:r>
      <w:r w:rsidR="001C7C8C">
        <w:rPr>
          <w:rFonts w:ascii="Georgia" w:hAnsi="Georgia"/>
          <w:szCs w:val="22"/>
        </w:rPr>
        <w:t xml:space="preserve"> </w:t>
      </w:r>
      <w:r w:rsidR="000E22C2">
        <w:rPr>
          <w:rFonts w:ascii="Georgia" w:hAnsi="Georgia"/>
          <w:szCs w:val="22"/>
        </w:rPr>
        <w:t>J</w:t>
      </w:r>
      <w:r w:rsidR="001C7C8C">
        <w:rPr>
          <w:rFonts w:ascii="Georgia" w:hAnsi="Georgia"/>
          <w:szCs w:val="22"/>
        </w:rPr>
        <w:t>edná se o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2143FF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Pr="000A1A42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A24C3A">
        <w:rPr>
          <w:rFonts w:ascii="Georgia" w:hAnsi="Georgia"/>
          <w:szCs w:val="22"/>
        </w:rPr>
        <w:t xml:space="preserve">Dohodnutá </w:t>
      </w:r>
      <w:r w:rsidR="00A24C3A" w:rsidRPr="00A24C3A">
        <w:rPr>
          <w:rFonts w:ascii="Georgia" w:hAnsi="Georgia"/>
          <w:szCs w:val="22"/>
        </w:rPr>
        <w:t>odměna za poskytnuté služby bude na základě</w:t>
      </w:r>
      <w:r w:rsidR="000E22C2">
        <w:rPr>
          <w:rFonts w:ascii="Georgia" w:hAnsi="Georgia"/>
          <w:szCs w:val="22"/>
        </w:rPr>
        <w:t xml:space="preserve"> schváleného předávacího protokolu a na základě</w:t>
      </w:r>
      <w:r w:rsidR="00A24C3A" w:rsidRPr="00A24C3A">
        <w:rPr>
          <w:rFonts w:ascii="Georgia" w:hAnsi="Georgia"/>
          <w:szCs w:val="22"/>
        </w:rPr>
        <w:t xml:space="preserve"> předané fakt</w:t>
      </w:r>
      <w:r w:rsidR="000E22C2">
        <w:rPr>
          <w:rFonts w:ascii="Georgia" w:hAnsi="Georgia"/>
          <w:szCs w:val="22"/>
        </w:rPr>
        <w:t>ury pouká</w:t>
      </w:r>
      <w:r w:rsidR="002D52A9">
        <w:rPr>
          <w:rFonts w:ascii="Georgia" w:hAnsi="Georgia"/>
          <w:szCs w:val="22"/>
        </w:rPr>
        <w:t xml:space="preserve">zána na </w:t>
      </w:r>
      <w:r w:rsidR="002D52A9" w:rsidRPr="00DB76FA">
        <w:rPr>
          <w:rFonts w:ascii="Georgia" w:hAnsi="Georgia"/>
          <w:szCs w:val="22"/>
        </w:rPr>
        <w:t xml:space="preserve">účet </w:t>
      </w:r>
      <w:r w:rsidR="00DB76FA" w:rsidRPr="00DB76FA">
        <w:rPr>
          <w:rFonts w:ascii="Georgia" w:hAnsi="Georgia"/>
          <w:szCs w:val="22"/>
        </w:rPr>
        <w:t>uvedený ve faktuře</w:t>
      </w:r>
      <w:r w:rsidR="00A24C3A" w:rsidRPr="00DB76FA">
        <w:rPr>
          <w:rFonts w:ascii="Georgia" w:hAnsi="Georgia"/>
          <w:szCs w:val="22"/>
        </w:rPr>
        <w:t xml:space="preserve">. Přílohou faktury bude </w:t>
      </w:r>
      <w:bookmarkStart w:id="31" w:name="_Toc203291568"/>
      <w:bookmarkStart w:id="32" w:name="_Toc203292588"/>
      <w:bookmarkStart w:id="33" w:name="_Toc203306977"/>
      <w:bookmarkStart w:id="34" w:name="_Toc204476145"/>
      <w:bookmarkStart w:id="35" w:name="_Toc235235104"/>
      <w:bookmarkStart w:id="36" w:name="_Toc238266055"/>
      <w:bookmarkStart w:id="37" w:name="_Toc240357474"/>
      <w:bookmarkStart w:id="38" w:name="_Toc240444510"/>
      <w:bookmarkStart w:id="39" w:name="_Toc240703976"/>
      <w:bookmarkStart w:id="40" w:name="_Toc240704350"/>
      <w:bookmarkStart w:id="41" w:name="_Toc240792067"/>
      <w:bookmarkStart w:id="42" w:name="_Toc240792927"/>
      <w:bookmarkStart w:id="43" w:name="_Toc241496091"/>
      <w:bookmarkStart w:id="44" w:name="_Toc241501192"/>
      <w:bookmarkStart w:id="45" w:name="_Toc241501589"/>
      <w:bookmarkStart w:id="46" w:name="_Toc241657906"/>
      <w:bookmarkStart w:id="47" w:name="_Toc243380729"/>
      <w:bookmarkStart w:id="48" w:name="_Toc274231386"/>
      <w:bookmarkStart w:id="49" w:name="_Toc274234503"/>
      <w:r w:rsidR="000E22C2" w:rsidRPr="00DB76FA">
        <w:rPr>
          <w:rFonts w:ascii="Georgia" w:hAnsi="Georgia"/>
          <w:szCs w:val="22"/>
        </w:rPr>
        <w:t>report z předmětu plnění definovaný v </w:t>
      </w:r>
      <w:r w:rsidR="000E22C2">
        <w:rPr>
          <w:rFonts w:ascii="Georgia" w:hAnsi="Georgia"/>
          <w:szCs w:val="22"/>
        </w:rPr>
        <w:t xml:space="preserve">čl. 1.1 této smlouvy. Faktura bude mít splatnost </w:t>
      </w:r>
      <w:r w:rsidR="001E6811">
        <w:rPr>
          <w:rFonts w:ascii="Georgia" w:hAnsi="Georgia"/>
          <w:szCs w:val="22"/>
        </w:rPr>
        <w:t xml:space="preserve">minimálně </w:t>
      </w:r>
      <w:r w:rsidR="000E22C2">
        <w:rPr>
          <w:rFonts w:ascii="Georgia" w:hAnsi="Georgia"/>
          <w:szCs w:val="22"/>
        </w:rPr>
        <w:t>15 dní.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:rsidR="0007554A" w:rsidRPr="00A24C3A" w:rsidRDefault="00A24C3A" w:rsidP="002143FF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50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sídlo dodavatele a</w:t>
      </w:r>
      <w:r w:rsidR="00E4270F">
        <w:rPr>
          <w:rFonts w:ascii="Georgia" w:hAnsi="Georgia"/>
          <w:szCs w:val="22"/>
        </w:rPr>
        <w:t xml:space="preserve"> území</w:t>
      </w:r>
      <w:r w:rsidR="000E22C2" w:rsidRPr="000E22C2">
        <w:rPr>
          <w:rFonts w:ascii="Georgia" w:hAnsi="Georgia"/>
          <w:szCs w:val="22"/>
        </w:rPr>
        <w:t xml:space="preserve"> České republik</w:t>
      </w:r>
      <w:r w:rsidR="00E4270F">
        <w:rPr>
          <w:rFonts w:ascii="Georgia" w:hAnsi="Georgia"/>
          <w:szCs w:val="22"/>
        </w:rPr>
        <w:t>y</w:t>
      </w:r>
      <w:r w:rsidRPr="000E22C2">
        <w:rPr>
          <w:rFonts w:ascii="Georgia" w:hAnsi="Georgia"/>
          <w:szCs w:val="22"/>
        </w:rPr>
        <w:t>.</w:t>
      </w:r>
    </w:p>
    <w:p w:rsidR="003E437E" w:rsidRPr="00677F36" w:rsidRDefault="003E437E" w:rsidP="0087129C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51" w:name="_Toc203291569"/>
      <w:bookmarkStart w:id="52" w:name="_Toc203292589"/>
      <w:bookmarkStart w:id="53" w:name="_Toc203306978"/>
      <w:bookmarkStart w:id="54" w:name="_Toc204476146"/>
      <w:bookmarkStart w:id="55" w:name="_Toc235235105"/>
      <w:bookmarkStart w:id="56" w:name="_Toc238266056"/>
      <w:bookmarkStart w:id="57" w:name="_Toc240357475"/>
      <w:bookmarkStart w:id="58" w:name="_Toc240444511"/>
      <w:bookmarkStart w:id="59" w:name="_Toc240703977"/>
      <w:bookmarkStart w:id="60" w:name="_Toc240704351"/>
      <w:bookmarkStart w:id="61" w:name="_Toc240792068"/>
      <w:bookmarkStart w:id="62" w:name="_Toc240792928"/>
      <w:bookmarkStart w:id="63" w:name="_Toc241496092"/>
      <w:bookmarkStart w:id="64" w:name="_Toc241501193"/>
      <w:bookmarkStart w:id="65" w:name="_Toc241501590"/>
      <w:bookmarkStart w:id="66" w:name="_Toc241657907"/>
      <w:bookmarkStart w:id="67" w:name="_Toc243380730"/>
      <w:bookmarkStart w:id="68" w:name="_Toc274231387"/>
      <w:bookmarkStart w:id="69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87129C">
      <w:pPr>
        <w:pStyle w:val="slolnku"/>
        <w:keepNext w:val="0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87129C">
      <w:pPr>
        <w:rPr>
          <w:rFonts w:eastAsia="Calibri"/>
          <w:lang w:eastAsia="cs-CZ" w:bidi="ar-SA"/>
        </w:rPr>
      </w:pPr>
    </w:p>
    <w:p w:rsidR="00A24C3A" w:rsidRDefault="003F327B" w:rsidP="0087129C">
      <w:pPr>
        <w:pStyle w:val="slolnku"/>
        <w:keepNext w:val="0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87129C">
      <w:pPr>
        <w:ind w:firstLine="0"/>
        <w:rPr>
          <w:rFonts w:eastAsia="Calibri"/>
          <w:lang w:eastAsia="cs-CZ" w:bidi="ar-SA"/>
        </w:rPr>
      </w:pP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:rsidR="000E22C2" w:rsidRPr="000E22C2" w:rsidRDefault="000E22C2" w:rsidP="000E22C2">
      <w:pPr>
        <w:rPr>
          <w:rFonts w:eastAsia="Calibri"/>
          <w:lang w:eastAsia="cs-CZ" w:bidi="ar-SA"/>
        </w:rPr>
      </w:pPr>
    </w:p>
    <w:p w:rsidR="000E22C2" w:rsidRPr="000E22C2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0E22C2">
        <w:rPr>
          <w:rFonts w:ascii="Georgia" w:eastAsia="Calibri" w:hAnsi="Georgia"/>
          <w:sz w:val="22"/>
          <w:szCs w:val="22"/>
          <w:lang w:eastAsia="cs-CZ" w:bidi="ar-SA"/>
        </w:rPr>
        <w:t>5.4</w:t>
      </w:r>
      <w:r>
        <w:rPr>
          <w:rFonts w:ascii="Georgia" w:eastAsia="Calibri" w:hAnsi="Georgia"/>
          <w:sz w:val="22"/>
          <w:szCs w:val="22"/>
          <w:lang w:eastAsia="cs-CZ" w:bidi="ar-SA"/>
        </w:rPr>
        <w:tab/>
      </w:r>
      <w:r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za plnění této smlouvy </w:t>
      </w:r>
      <w:r w:rsidR="0053638E">
        <w:rPr>
          <w:rFonts w:ascii="Georgia" w:eastAsia="Calibri" w:hAnsi="Georgia"/>
          <w:sz w:val="22"/>
          <w:szCs w:val="22"/>
          <w:lang w:eastAsia="cs-CZ" w:bidi="ar-SA"/>
        </w:rPr>
        <w:t xml:space="preserve">a zároveň kontaktní osobou </w:t>
      </w:r>
      <w:r>
        <w:rPr>
          <w:rFonts w:ascii="Georgia" w:eastAsia="Calibri" w:hAnsi="Georgia"/>
          <w:sz w:val="22"/>
          <w:szCs w:val="22"/>
          <w:lang w:eastAsia="cs-CZ" w:bidi="ar-SA"/>
        </w:rPr>
        <w:t xml:space="preserve">je </w:t>
      </w:r>
      <w:r w:rsidR="0053638E">
        <w:rPr>
          <w:rFonts w:ascii="Georgia" w:eastAsia="Calibri" w:hAnsi="Georgia"/>
          <w:sz w:val="22"/>
          <w:szCs w:val="22"/>
          <w:lang w:eastAsia="cs-CZ" w:bidi="ar-SA"/>
        </w:rPr>
        <w:t xml:space="preserve">Václav </w:t>
      </w:r>
      <w:proofErr w:type="spellStart"/>
      <w:r w:rsidR="0053638E">
        <w:rPr>
          <w:rFonts w:ascii="Georgia" w:eastAsia="Calibri" w:hAnsi="Georgia"/>
          <w:sz w:val="22"/>
          <w:szCs w:val="22"/>
          <w:lang w:eastAsia="cs-CZ" w:bidi="ar-SA"/>
        </w:rPr>
        <w:t>Volráb</w:t>
      </w:r>
      <w:proofErr w:type="spellEnd"/>
      <w:r w:rsidR="0053638E">
        <w:rPr>
          <w:rFonts w:ascii="Georgia" w:eastAsia="Calibri" w:hAnsi="Georgia"/>
          <w:sz w:val="22"/>
          <w:szCs w:val="22"/>
          <w:lang w:eastAsia="cs-CZ" w:bidi="ar-SA"/>
        </w:rPr>
        <w:t xml:space="preserve"> (</w:t>
      </w:r>
      <w:hyperlink r:id="rId10" w:history="1">
        <w:r w:rsidR="0053638E" w:rsidRPr="00D43C7A">
          <w:rPr>
            <w:rStyle w:val="Hypertextovodkaz"/>
            <w:rFonts w:ascii="Georgia" w:eastAsia="Calibri" w:hAnsi="Georgia"/>
            <w:sz w:val="22"/>
            <w:szCs w:val="22"/>
            <w:lang w:eastAsia="cs-CZ" w:bidi="ar-SA"/>
          </w:rPr>
          <w:t>vaclav.volrab@cemba.eu</w:t>
        </w:r>
      </w:hyperlink>
      <w:r w:rsidR="0053638E">
        <w:rPr>
          <w:rFonts w:ascii="Georgia" w:eastAsia="Calibri" w:hAnsi="Georgia"/>
          <w:sz w:val="22"/>
          <w:szCs w:val="22"/>
          <w:lang w:eastAsia="cs-CZ" w:bidi="ar-SA"/>
        </w:rPr>
        <w:t>, 777 728 752)</w:t>
      </w:r>
      <w:r w:rsidRPr="000E22C2">
        <w:rPr>
          <w:rFonts w:ascii="Georgia" w:eastAsia="Calibri" w:hAnsi="Georgia"/>
          <w:sz w:val="22"/>
          <w:szCs w:val="22"/>
          <w:lang w:eastAsia="cs-CZ" w:bidi="ar-SA"/>
        </w:rPr>
        <w:t>.</w:t>
      </w:r>
    </w:p>
    <w:bookmarkEnd w:id="50"/>
    <w:p w:rsidR="00B76E22" w:rsidRDefault="00C22149" w:rsidP="002143FF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B50605" w:rsidRPr="00677F36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>
        <w:rPr>
          <w:rFonts w:ascii="Georgia" w:eastAsia="Calibri" w:hAnsi="Georgia" w:cs="Arial"/>
          <w:b w:val="0"/>
          <w:sz w:val="22"/>
        </w:rPr>
        <w:t>naplnění předmětu smlouvy</w:t>
      </w:r>
      <w:r w:rsidRPr="00677F36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E4270F">
        <w:rPr>
          <w:rFonts w:ascii="Georgia" w:eastAsia="Calibri" w:hAnsi="Georgia" w:cs="Arial"/>
          <w:b w:val="0"/>
          <w:sz w:val="22"/>
        </w:rPr>
        <w:t>Adéla Pilařová (</w:t>
      </w:r>
      <w:hyperlink r:id="rId11" w:history="1">
        <w:r w:rsidR="00E4270F" w:rsidRPr="00820AD0">
          <w:rPr>
            <w:rStyle w:val="Hypertextovodkaz"/>
            <w:rFonts w:ascii="Georgia" w:eastAsia="Calibri" w:hAnsi="Georgia" w:cs="Arial"/>
            <w:b w:val="0"/>
            <w:sz w:val="22"/>
          </w:rPr>
          <w:t>pilarova@czechtourism.cz</w:t>
        </w:r>
      </w:hyperlink>
      <w:r w:rsidR="00E4270F">
        <w:rPr>
          <w:rFonts w:ascii="Georgia" w:eastAsia="Calibri" w:hAnsi="Georgia" w:cs="Arial"/>
          <w:b w:val="0"/>
          <w:sz w:val="22"/>
        </w:rPr>
        <w:t>, 221 580 429)</w:t>
      </w:r>
      <w:r w:rsidR="00B50605" w:rsidRPr="00677F36">
        <w:rPr>
          <w:rFonts w:ascii="Georgia" w:eastAsia="Calibri" w:hAnsi="Georgia" w:cs="Arial"/>
          <w:b w:val="0"/>
          <w:sz w:val="22"/>
        </w:rPr>
        <w:t>.</w:t>
      </w:r>
    </w:p>
    <w:p w:rsidR="0007554A" w:rsidRPr="00C72F98" w:rsidRDefault="0007554A" w:rsidP="002143FF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7B3F20" w:rsidRPr="007B3F20" w:rsidRDefault="00C72F98" w:rsidP="0087129C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  <w:r w:rsidRPr="00C72F98">
        <w:rPr>
          <w:rFonts w:ascii="Georgia" w:eastAsia="Calibri" w:hAnsi="Georgia" w:cs="Arial"/>
          <w:color w:val="auto"/>
          <w:sz w:val="22"/>
          <w:lang w:bidi="ar-SA"/>
        </w:rPr>
        <w:t xml:space="preserve"> </w:t>
      </w:r>
    </w:p>
    <w:p w:rsidR="00C72F98" w:rsidRDefault="00C72F98" w:rsidP="00DB76FA">
      <w:pPr>
        <w:pStyle w:val="slolnku"/>
        <w:keepNext w:val="0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7"/>
        <w:jc w:val="both"/>
        <w:rPr>
          <w:rFonts w:ascii="Georgia" w:eastAsia="Calibri" w:hAnsi="Georgia" w:cs="Arial"/>
          <w:b w:val="0"/>
          <w:sz w:val="22"/>
        </w:rPr>
      </w:pPr>
      <w:r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Default="003F327B" w:rsidP="00DB76FA">
      <w:pPr>
        <w:pStyle w:val="slolnku"/>
        <w:keepNext w:val="0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7"/>
        <w:jc w:val="both"/>
        <w:rPr>
          <w:rFonts w:ascii="Georgia" w:eastAsia="Calibri" w:hAnsi="Georgia" w:cs="Arial"/>
          <w:b w:val="0"/>
          <w:sz w:val="22"/>
        </w:rPr>
      </w:pPr>
      <w:r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677F36" w:rsidRDefault="00394F38" w:rsidP="0087129C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Platnost smlouvy</w:t>
      </w:r>
    </w:p>
    <w:p w:rsidR="00B50605" w:rsidRPr="00B50605" w:rsidRDefault="00394F38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Tato Smlouva se uzavírá na dobu určitou, a</w:t>
      </w:r>
      <w:r w:rsidR="002D52A9" w:rsidRPr="00B50605">
        <w:rPr>
          <w:rFonts w:ascii="Georgia" w:hAnsi="Georgia"/>
          <w:b w:val="0"/>
          <w:sz w:val="22"/>
          <w:szCs w:val="22"/>
        </w:rPr>
        <w:t xml:space="preserve"> to </w:t>
      </w:r>
      <w:r w:rsidR="003E4B01">
        <w:rPr>
          <w:rFonts w:ascii="Georgia" w:hAnsi="Georgia"/>
          <w:b w:val="0"/>
          <w:sz w:val="22"/>
          <w:szCs w:val="22"/>
        </w:rPr>
        <w:t xml:space="preserve">do </w:t>
      </w:r>
      <w:r w:rsidR="00546989">
        <w:rPr>
          <w:rFonts w:ascii="Georgia" w:hAnsi="Georgia"/>
          <w:b w:val="0"/>
          <w:sz w:val="22"/>
          <w:szCs w:val="22"/>
        </w:rPr>
        <w:t>15</w:t>
      </w:r>
      <w:r w:rsidR="003E4B01">
        <w:rPr>
          <w:rFonts w:ascii="Georgia" w:hAnsi="Georgia"/>
          <w:b w:val="0"/>
          <w:sz w:val="22"/>
          <w:szCs w:val="22"/>
        </w:rPr>
        <w:t>. 12. 2016.</w:t>
      </w:r>
    </w:p>
    <w:p w:rsidR="005D45DE" w:rsidRDefault="00160CF6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:rsidR="005D45DE" w:rsidRDefault="00CD3AC1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5D45DE" w:rsidRPr="005D45DE" w:rsidRDefault="005D45DE" w:rsidP="00F8467D">
      <w:pPr>
        <w:keepNext/>
        <w:keepLines/>
        <w:rPr>
          <w:lang w:eastAsia="cs-CZ" w:bidi="ar-SA"/>
        </w:rPr>
      </w:pPr>
    </w:p>
    <w:p w:rsidR="008B2746" w:rsidRPr="005D45DE" w:rsidRDefault="00CD3AC1" w:rsidP="00F8467D">
      <w:pPr>
        <w:keepNext/>
        <w:keepLines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F8467D">
      <w:pPr>
        <w:keepNext/>
        <w:keepLines/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prodlení s plnění</w:t>
      </w:r>
      <w:r w:rsidR="005D45DE">
        <w:rPr>
          <w:rFonts w:ascii="Georgia" w:hAnsi="Georgia"/>
          <w:sz w:val="22"/>
          <w:szCs w:val="22"/>
        </w:rPr>
        <w:t>m</w:t>
      </w:r>
      <w:r w:rsidRPr="005D45DE">
        <w:rPr>
          <w:rFonts w:ascii="Georgia" w:hAnsi="Georgia"/>
          <w:sz w:val="22"/>
          <w:szCs w:val="22"/>
        </w:rPr>
        <w:t xml:space="preserve"> dle této Smlouvy po dobu delší než </w:t>
      </w:r>
      <w:r w:rsidR="003E4B01">
        <w:rPr>
          <w:rFonts w:ascii="Georgia" w:hAnsi="Georgia"/>
          <w:sz w:val="22"/>
          <w:szCs w:val="22"/>
        </w:rPr>
        <w:t>20</w:t>
      </w:r>
      <w:r w:rsidR="005D45DE">
        <w:rPr>
          <w:rFonts w:ascii="Georgia" w:hAnsi="Georgia"/>
          <w:sz w:val="22"/>
          <w:szCs w:val="22"/>
        </w:rPr>
        <w:t xml:space="preserve"> d</w:t>
      </w:r>
      <w:r w:rsidRPr="005D45DE">
        <w:rPr>
          <w:rFonts w:ascii="Georgia" w:hAnsi="Georgia"/>
          <w:sz w:val="22"/>
          <w:szCs w:val="22"/>
        </w:rPr>
        <w:t>nů,</w:t>
      </w:r>
    </w:p>
    <w:p w:rsidR="005D45DE" w:rsidRDefault="005D45DE" w:rsidP="00F8467D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</w:p>
    <w:p w:rsidR="008B2746" w:rsidRPr="005D45DE" w:rsidRDefault="00CD3AC1" w:rsidP="00F8467D">
      <w:pPr>
        <w:keepNext/>
        <w:keepLines/>
        <w:numPr>
          <w:ilvl w:val="0"/>
          <w:numId w:val="22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 xml:space="preserve">provádění plnění </w:t>
      </w:r>
      <w:r w:rsidR="008B2746" w:rsidRPr="005D45DE">
        <w:rPr>
          <w:rFonts w:ascii="Georgia" w:hAnsi="Georgia"/>
          <w:sz w:val="22"/>
          <w:szCs w:val="22"/>
        </w:rPr>
        <w:t xml:space="preserve">smlouvy </w:t>
      </w:r>
      <w:r w:rsidRPr="005D45DE">
        <w:rPr>
          <w:rFonts w:ascii="Georgia" w:hAnsi="Georgia"/>
          <w:sz w:val="22"/>
          <w:szCs w:val="22"/>
        </w:rPr>
        <w:t>v rozporu s</w:t>
      </w:r>
      <w:r w:rsidR="008B2746" w:rsidRPr="005D45DE">
        <w:rPr>
          <w:rFonts w:ascii="Georgia" w:hAnsi="Georgia"/>
          <w:sz w:val="22"/>
          <w:szCs w:val="22"/>
        </w:rPr>
        <w:t> pokyny o</w:t>
      </w:r>
      <w:r w:rsidRPr="005D45DE">
        <w:rPr>
          <w:rFonts w:ascii="Georgia" w:hAnsi="Georgia"/>
          <w:sz w:val="22"/>
          <w:szCs w:val="22"/>
        </w:rPr>
        <w:t>bjednatele</w:t>
      </w:r>
      <w:r w:rsidR="00CC7487" w:rsidRPr="005D45DE">
        <w:rPr>
          <w:rFonts w:ascii="Georgia" w:hAnsi="Georgia"/>
          <w:sz w:val="22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 w:val="22"/>
          <w:szCs w:val="22"/>
        </w:rPr>
        <w:t>ě</w:t>
      </w:r>
      <w:r w:rsidR="00CC7487" w:rsidRPr="005D45DE">
        <w:rPr>
          <w:rFonts w:ascii="Georgia" w:hAnsi="Georgia"/>
          <w:sz w:val="22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 w:val="22"/>
          <w:szCs w:val="22"/>
        </w:rPr>
        <w:t>.</w:t>
      </w:r>
      <w:r w:rsidR="00CC7487" w:rsidRPr="005D45DE">
        <w:rPr>
          <w:rFonts w:ascii="Georgia" w:hAnsi="Georgia"/>
          <w:sz w:val="22"/>
          <w:szCs w:val="22"/>
        </w:rPr>
        <w:t xml:space="preserve"> </w:t>
      </w:r>
    </w:p>
    <w:p w:rsidR="008B2746" w:rsidRDefault="008B2746" w:rsidP="00F8467D">
      <w:pPr>
        <w:keepNext/>
        <w:keepLines/>
      </w:pP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633682" w:rsidRDefault="00160CF6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87129C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87129C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EB0900" w:rsidRPr="00EB0900" w:rsidRDefault="00CC7487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:rsidR="00F8467D" w:rsidRDefault="00CD3AC1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Pr="00F8467D" w:rsidRDefault="00EA097F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0605" w:rsidRPr="00677F36" w:rsidRDefault="00160CF6" w:rsidP="0087129C">
      <w:pPr>
        <w:pStyle w:val="Textnadpis1"/>
        <w:numPr>
          <w:ilvl w:val="0"/>
          <w:numId w:val="25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87129C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677F36" w:rsidRPr="00677F36" w:rsidRDefault="00677F36" w:rsidP="0087129C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87129C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p w:rsidR="00E4713A" w:rsidRPr="005F69B6" w:rsidRDefault="00310AE4" w:rsidP="0087129C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Georgia" w:hAnsi="Georgia"/>
          <w:szCs w:val="22"/>
        </w:rPr>
        <w:t xml:space="preserve">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4797"/>
      </w:tblGrid>
      <w:tr w:rsidR="005E5030" w:rsidRPr="00547689" w:rsidTr="007D4B91">
        <w:tc>
          <w:tcPr>
            <w:tcW w:w="4275" w:type="dxa"/>
            <w:shd w:val="clear" w:color="auto" w:fill="auto"/>
            <w:vAlign w:val="center"/>
          </w:tcPr>
          <w:p w:rsidR="00310AE4" w:rsidRPr="00310AE4" w:rsidRDefault="00310AE4" w:rsidP="0087129C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  <w:p w:rsidR="00F8467D" w:rsidRPr="00310AE4" w:rsidRDefault="00F8467D" w:rsidP="0087129C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Za </w:t>
            </w:r>
            <w:r>
              <w:rPr>
                <w:rFonts w:ascii="Georgia" w:hAnsi="Georgia"/>
                <w:sz w:val="22"/>
                <w:szCs w:val="22"/>
              </w:rPr>
              <w:t>dodavatel</w:t>
            </w:r>
            <w:r w:rsidRPr="00310AE4">
              <w:rPr>
                <w:rFonts w:ascii="Georgia" w:hAnsi="Georgia"/>
                <w:sz w:val="22"/>
                <w:szCs w:val="22"/>
              </w:rPr>
              <w:t>e:</w:t>
            </w:r>
          </w:p>
          <w:p w:rsidR="00310AE4" w:rsidRPr="00310AE4" w:rsidRDefault="00310AE4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E5030" w:rsidP="0087129C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E5030" w:rsidRPr="00310AE4" w:rsidRDefault="00F8467D" w:rsidP="0087129C">
            <w:pPr>
              <w:tabs>
                <w:tab w:val="left" w:pos="5103"/>
              </w:tabs>
              <w:spacing w:after="0" w:line="280" w:lineRule="atLeast"/>
              <w:ind w:firstLine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</w:t>
            </w:r>
            <w:r w:rsidR="005E5030" w:rsidRPr="00310AE4">
              <w:rPr>
                <w:rFonts w:ascii="Georgia" w:hAnsi="Georgia"/>
                <w:sz w:val="22"/>
                <w:szCs w:val="22"/>
              </w:rPr>
              <w:t>Za objednatele:</w:t>
            </w:r>
          </w:p>
          <w:p w:rsidR="005E5030" w:rsidRPr="00310AE4" w:rsidRDefault="005E5030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E5030" w:rsidRPr="00547689" w:rsidTr="007D4B91">
        <w:tc>
          <w:tcPr>
            <w:tcW w:w="4275" w:type="dxa"/>
            <w:shd w:val="clear" w:color="auto" w:fill="auto"/>
            <w:vAlign w:val="bottom"/>
          </w:tcPr>
          <w:p w:rsidR="005E5030" w:rsidRPr="00310AE4" w:rsidRDefault="00E04384" w:rsidP="0087129C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="005E5030" w:rsidRPr="00310AE4" w:rsidRDefault="00E04384" w:rsidP="0087129C">
            <w:pPr>
              <w:tabs>
                <w:tab w:val="left" w:pos="5103"/>
              </w:tabs>
              <w:spacing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E5030" w:rsidRPr="00547689" w:rsidTr="007D4B91">
        <w:tc>
          <w:tcPr>
            <w:tcW w:w="4275" w:type="dxa"/>
            <w:shd w:val="clear" w:color="auto" w:fill="auto"/>
          </w:tcPr>
          <w:p w:rsidR="005E5030" w:rsidRPr="00310AE4" w:rsidRDefault="005E5030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Default="003E4B01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__________________________</w:t>
            </w:r>
          </w:p>
          <w:p w:rsidR="003E4B01" w:rsidRDefault="0087129C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Václav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Volráb</w:t>
            </w:r>
            <w:proofErr w:type="spellEnd"/>
          </w:p>
          <w:p w:rsidR="0087129C" w:rsidRPr="00310AE4" w:rsidRDefault="0087129C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předseda</w:t>
            </w:r>
          </w:p>
          <w:p w:rsidR="00110886" w:rsidRPr="00310AE4" w:rsidRDefault="00110886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110886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97" w:type="dxa"/>
            <w:shd w:val="clear" w:color="auto" w:fill="auto"/>
          </w:tcPr>
          <w:p w:rsidR="005E5030" w:rsidRPr="00310AE4" w:rsidRDefault="005E5030" w:rsidP="0087129C">
            <w:pPr>
              <w:tabs>
                <w:tab w:val="left" w:pos="5103"/>
              </w:tabs>
              <w:spacing w:after="0" w:line="280" w:lineRule="atLeast"/>
              <w:rPr>
                <w:rFonts w:ascii="Georgia" w:hAnsi="Georgia"/>
                <w:sz w:val="22"/>
                <w:szCs w:val="22"/>
              </w:rPr>
            </w:pPr>
          </w:p>
          <w:p w:rsidR="005E5030" w:rsidRPr="00310AE4" w:rsidRDefault="005842D4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310AE4">
              <w:rPr>
                <w:rFonts w:ascii="Georgia" w:hAnsi="Georgia" w:cs="Arial"/>
                <w:sz w:val="22"/>
                <w:szCs w:val="22"/>
              </w:rPr>
              <w:t>______________________________</w:t>
            </w:r>
          </w:p>
          <w:p w:rsidR="005E5030" w:rsidRDefault="003E4B01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Aleš Pangrác</w:t>
            </w:r>
          </w:p>
          <w:p w:rsidR="003E4B01" w:rsidRPr="00310AE4" w:rsidRDefault="003E4B01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ředitel odboru regionální partnerství a vztahy B2B</w:t>
            </w:r>
          </w:p>
          <w:p w:rsidR="005E5030" w:rsidRPr="00310AE4" w:rsidRDefault="003B19E7" w:rsidP="0087129C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Georgia" w:hAnsi="Georgia"/>
                <w:sz w:val="22"/>
                <w:szCs w:val="22"/>
              </w:rPr>
            </w:pPr>
            <w:r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  <w:r w:rsidR="005F69B6" w:rsidRPr="00310AE4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:rsidR="0007554A" w:rsidRPr="00E42B2C" w:rsidRDefault="0007554A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="0007554A" w:rsidRPr="00E42B2C" w:rsidSect="00EA4D52">
      <w:head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F3" w:rsidRDefault="00231CF3" w:rsidP="00E1754B">
      <w:pPr>
        <w:spacing w:after="0" w:line="240" w:lineRule="auto"/>
      </w:pPr>
      <w:r>
        <w:separator/>
      </w:r>
    </w:p>
  </w:endnote>
  <w:endnote w:type="continuationSeparator" w:id="0">
    <w:p w:rsidR="00231CF3" w:rsidRDefault="00231CF3" w:rsidP="00E1754B">
      <w:pPr>
        <w:spacing w:after="0" w:line="240" w:lineRule="auto"/>
      </w:pPr>
      <w:r>
        <w:continuationSeparator/>
      </w:r>
    </w:p>
  </w:endnote>
  <w:endnote w:type="continuationNotice" w:id="1">
    <w:p w:rsidR="00231CF3" w:rsidRDefault="00231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F3" w:rsidRDefault="00231CF3" w:rsidP="00E1754B">
      <w:pPr>
        <w:spacing w:after="0" w:line="240" w:lineRule="auto"/>
      </w:pPr>
      <w:r>
        <w:separator/>
      </w:r>
    </w:p>
  </w:footnote>
  <w:footnote w:type="continuationSeparator" w:id="0">
    <w:p w:rsidR="00231CF3" w:rsidRDefault="00231CF3" w:rsidP="00E1754B">
      <w:pPr>
        <w:spacing w:after="0" w:line="240" w:lineRule="auto"/>
      </w:pPr>
      <w:r>
        <w:continuationSeparator/>
      </w:r>
    </w:p>
  </w:footnote>
  <w:footnote w:type="continuationNotice" w:id="1">
    <w:p w:rsidR="00231CF3" w:rsidRDefault="00231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2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3">
    <w:nsid w:val="1AC938A7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E1E7A"/>
    <w:multiLevelType w:val="multilevel"/>
    <w:tmpl w:val="C882B7AA"/>
    <w:numStyleLink w:val="Headings"/>
  </w:abstractNum>
  <w:abstractNum w:abstractNumId="8">
    <w:nsid w:val="2E0409A2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4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5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74710FF"/>
    <w:multiLevelType w:val="hybridMultilevel"/>
    <w:tmpl w:val="6D085FD2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5A22139A"/>
    <w:multiLevelType w:val="hybridMultilevel"/>
    <w:tmpl w:val="576C633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6CA008B5"/>
    <w:multiLevelType w:val="hybridMultilevel"/>
    <w:tmpl w:val="0156B6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5">
    <w:nsid w:val="751D1914"/>
    <w:multiLevelType w:val="multilevel"/>
    <w:tmpl w:val="8180B20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C9241AD"/>
    <w:multiLevelType w:val="multilevel"/>
    <w:tmpl w:val="D8E42092"/>
    <w:numStyleLink w:val="text"/>
  </w:abstractNum>
  <w:abstractNum w:abstractNumId="27">
    <w:nsid w:val="7F873016"/>
    <w:multiLevelType w:val="multilevel"/>
    <w:tmpl w:val="C2803032"/>
    <w:numStyleLink w:val="numberingtext"/>
  </w:abstractNum>
  <w:num w:numId="1">
    <w:abstractNumId w:val="4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0"/>
  </w:num>
  <w:num w:numId="7">
    <w:abstractNumId w:val="13"/>
  </w:num>
  <w:num w:numId="8">
    <w:abstractNumId w:val="14"/>
  </w:num>
  <w:num w:numId="9">
    <w:abstractNumId w:val="7"/>
  </w:num>
  <w:num w:numId="10">
    <w:abstractNumId w:val="24"/>
  </w:num>
  <w:num w:numId="11">
    <w:abstractNumId w:val="26"/>
  </w:num>
  <w:num w:numId="12">
    <w:abstractNumId w:val="20"/>
  </w:num>
  <w:num w:numId="13">
    <w:abstractNumId w:val="23"/>
  </w:num>
  <w:num w:numId="14">
    <w:abstractNumId w:val="9"/>
  </w:num>
  <w:num w:numId="15">
    <w:abstractNumId w:val="1"/>
  </w:num>
  <w:num w:numId="16">
    <w:abstractNumId w:val="27"/>
  </w:num>
  <w:num w:numId="17">
    <w:abstractNumId w:val="3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5"/>
  </w:num>
  <w:num w:numId="23">
    <w:abstractNumId w:val="6"/>
  </w:num>
  <w:num w:numId="24">
    <w:abstractNumId w:val="22"/>
  </w:num>
  <w:num w:numId="25">
    <w:abstractNumId w:val="8"/>
  </w:num>
  <w:num w:numId="26">
    <w:abstractNumId w:val="16"/>
  </w:num>
  <w:num w:numId="27">
    <w:abstractNumId w:val="21"/>
  </w:num>
  <w:num w:numId="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4988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10CEB"/>
    <w:rsid w:val="002143FF"/>
    <w:rsid w:val="00231CF3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3FDE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B27B9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3437"/>
    <w:rsid w:val="00530152"/>
    <w:rsid w:val="00535653"/>
    <w:rsid w:val="0053638E"/>
    <w:rsid w:val="00546989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7CB4"/>
    <w:rsid w:val="006B08C9"/>
    <w:rsid w:val="006B0D1E"/>
    <w:rsid w:val="006B570C"/>
    <w:rsid w:val="006D47DE"/>
    <w:rsid w:val="006E0DFE"/>
    <w:rsid w:val="006E2815"/>
    <w:rsid w:val="006E4E8E"/>
    <w:rsid w:val="006E53F3"/>
    <w:rsid w:val="006F00EC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A04B9"/>
    <w:rsid w:val="007A5B9E"/>
    <w:rsid w:val="007B3F20"/>
    <w:rsid w:val="007C3D64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7129C"/>
    <w:rsid w:val="00885B7F"/>
    <w:rsid w:val="008873FE"/>
    <w:rsid w:val="008A2CC8"/>
    <w:rsid w:val="008B2746"/>
    <w:rsid w:val="008C1C5B"/>
    <w:rsid w:val="008C6739"/>
    <w:rsid w:val="008D2586"/>
    <w:rsid w:val="008F2F3B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C516A"/>
    <w:rsid w:val="009C5527"/>
    <w:rsid w:val="009D1D42"/>
    <w:rsid w:val="009D21D1"/>
    <w:rsid w:val="009D5E1F"/>
    <w:rsid w:val="009E31E1"/>
    <w:rsid w:val="009E7094"/>
    <w:rsid w:val="009F0BCE"/>
    <w:rsid w:val="00A12DD1"/>
    <w:rsid w:val="00A1447E"/>
    <w:rsid w:val="00A2134B"/>
    <w:rsid w:val="00A24C3A"/>
    <w:rsid w:val="00A30A65"/>
    <w:rsid w:val="00A3236B"/>
    <w:rsid w:val="00A34A3D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627AB"/>
    <w:rsid w:val="00B62BBF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7E1E"/>
    <w:rsid w:val="00C4233A"/>
    <w:rsid w:val="00C43787"/>
    <w:rsid w:val="00C46BA3"/>
    <w:rsid w:val="00C60621"/>
    <w:rsid w:val="00C63F37"/>
    <w:rsid w:val="00C72F98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94121"/>
    <w:rsid w:val="00D94B17"/>
    <w:rsid w:val="00DA441D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3023"/>
    <w:rsid w:val="00E236A9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53D8"/>
    <w:rsid w:val="00E72B6F"/>
    <w:rsid w:val="00E82C93"/>
    <w:rsid w:val="00EA097F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73AEC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larova@czechtourism.cz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vaclav.volrab@cemba.e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7A2B-6DB2-44CB-9601-BF5AFC5D2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557B1-4487-4CAE-A393-4A773F68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7789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9091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2016-11-18T13:31:00Z</cp:lastPrinted>
  <dcterms:created xsi:type="dcterms:W3CDTF">2016-12-05T07:57:00Z</dcterms:created>
  <dcterms:modified xsi:type="dcterms:W3CDTF">2016-12-05T07:57:00Z</dcterms:modified>
</cp:coreProperties>
</file>