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F2" w:rsidRPr="004F547D" w:rsidRDefault="004421F2" w:rsidP="00513DE4">
      <w:pPr>
        <w:keepNext/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outlineLvl w:val="4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>Níže uvedeného dne, měsíce, roku uzavřeli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</w:p>
    <w:p w:rsidR="001053AF" w:rsidRDefault="00540E7E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 w:rsidRPr="004F547D">
        <w:rPr>
          <w:rFonts w:cs="Calibri"/>
          <w:b/>
          <w:bCs/>
          <w:sz w:val="24"/>
          <w:szCs w:val="24"/>
        </w:rPr>
        <w:t>Městská knihovna Varnsdorf</w:t>
      </w:r>
      <w:r w:rsidRPr="004F547D">
        <w:rPr>
          <w:rFonts w:cs="Calibri"/>
          <w:sz w:val="24"/>
          <w:szCs w:val="24"/>
        </w:rPr>
        <w:t xml:space="preserve">, příspěvková organizace, </w:t>
      </w:r>
    </w:p>
    <w:p w:rsidR="001053AF" w:rsidRDefault="00540E7E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Otáh</w:t>
      </w:r>
      <w:r w:rsidR="00D3055F" w:rsidRPr="004F547D">
        <w:rPr>
          <w:rFonts w:cs="Calibri"/>
          <w:sz w:val="24"/>
          <w:szCs w:val="24"/>
        </w:rPr>
        <w:t xml:space="preserve">alova 1260, 40747 Varnsdorf, </w:t>
      </w:r>
    </w:p>
    <w:p w:rsidR="001053AF" w:rsidRDefault="00D3055F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IČ </w:t>
      </w:r>
      <w:r w:rsidR="00540E7E" w:rsidRPr="004F547D">
        <w:rPr>
          <w:rFonts w:cs="Calibri"/>
          <w:sz w:val="24"/>
          <w:szCs w:val="24"/>
        </w:rPr>
        <w:t xml:space="preserve">49888595, </w:t>
      </w:r>
    </w:p>
    <w:p w:rsidR="004421F2" w:rsidRPr="004F547D" w:rsidRDefault="00540E7E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 xml:space="preserve">zastoupená ředitelkou </w:t>
      </w:r>
      <w:r w:rsidR="001053AF">
        <w:rPr>
          <w:rFonts w:cs="Calibri"/>
          <w:sz w:val="24"/>
          <w:szCs w:val="24"/>
        </w:rPr>
        <w:t>Ing. Ilonou Martinovskou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 xml:space="preserve">(dále </w:t>
      </w:r>
      <w:r w:rsidRPr="004F547D">
        <w:rPr>
          <w:rFonts w:cs="Calibri"/>
          <w:b/>
          <w:bCs/>
          <w:sz w:val="24"/>
          <w:szCs w:val="24"/>
          <w:lang w:val="x-none"/>
        </w:rPr>
        <w:t>pronajímatel</w:t>
      </w:r>
      <w:r w:rsidRPr="004F547D">
        <w:rPr>
          <w:rFonts w:cs="Calibri"/>
          <w:sz w:val="24"/>
          <w:szCs w:val="24"/>
          <w:lang w:val="x-none"/>
        </w:rPr>
        <w:t>)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0"/>
          <w:szCs w:val="24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>a</w:t>
      </w:r>
    </w:p>
    <w:p w:rsidR="00540E7E" w:rsidRPr="004F547D" w:rsidRDefault="00540E7E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0"/>
          <w:szCs w:val="24"/>
        </w:rPr>
      </w:pPr>
    </w:p>
    <w:p w:rsidR="00B30F2F" w:rsidRPr="001053AF" w:rsidRDefault="001053AF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b/>
          <w:sz w:val="24"/>
          <w:szCs w:val="24"/>
        </w:rPr>
      </w:pPr>
      <w:r w:rsidRPr="001053AF">
        <w:rPr>
          <w:rFonts w:cs="Calibri"/>
          <w:b/>
          <w:sz w:val="24"/>
          <w:szCs w:val="24"/>
        </w:rPr>
        <w:t xml:space="preserve">Letecko-modelářský klub Varnsdorf </w:t>
      </w:r>
      <w:proofErr w:type="spellStart"/>
      <w:proofErr w:type="gramStart"/>
      <w:r w:rsidRPr="001053AF">
        <w:rPr>
          <w:rFonts w:cs="Calibri"/>
          <w:b/>
          <w:sz w:val="24"/>
          <w:szCs w:val="24"/>
        </w:rPr>
        <w:t>p.s.</w:t>
      </w:r>
      <w:proofErr w:type="spellEnd"/>
      <w:proofErr w:type="gramEnd"/>
      <w:r w:rsidRPr="001053AF">
        <w:rPr>
          <w:rFonts w:cs="Calibri"/>
          <w:b/>
          <w:sz w:val="24"/>
          <w:szCs w:val="24"/>
        </w:rPr>
        <w:t xml:space="preserve"> č. 44</w:t>
      </w:r>
    </w:p>
    <w:p w:rsidR="001053AF" w:rsidRDefault="001053AF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Otáhalova 1260, 407 47 Varnsdorf</w:t>
      </w:r>
    </w:p>
    <w:p w:rsidR="001053AF" w:rsidRDefault="001053AF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IČ: 64676498</w:t>
      </w:r>
    </w:p>
    <w:p w:rsidR="001053AF" w:rsidRDefault="001053AF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 předsedou Miroslavem Procházkou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 xml:space="preserve">(dále </w:t>
      </w:r>
      <w:r w:rsidRPr="004F547D">
        <w:rPr>
          <w:rFonts w:cs="Calibri"/>
          <w:b/>
          <w:bCs/>
          <w:sz w:val="24"/>
          <w:szCs w:val="24"/>
          <w:lang w:val="x-none"/>
        </w:rPr>
        <w:t>nájemce</w:t>
      </w:r>
      <w:r w:rsidRPr="004F547D">
        <w:rPr>
          <w:rFonts w:cs="Calibri"/>
          <w:sz w:val="24"/>
          <w:szCs w:val="24"/>
          <w:lang w:val="x-none"/>
        </w:rPr>
        <w:t>)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0"/>
          <w:szCs w:val="24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 xml:space="preserve">(ve smlouvě společně dále jen jako </w:t>
      </w:r>
      <w:r w:rsidRPr="004F547D">
        <w:rPr>
          <w:rFonts w:cs="Calibri"/>
          <w:b/>
          <w:bCs/>
          <w:sz w:val="24"/>
          <w:szCs w:val="24"/>
          <w:lang w:val="x-none"/>
        </w:rPr>
        <w:t>smluvní strany</w:t>
      </w:r>
      <w:r w:rsidRPr="004F547D">
        <w:rPr>
          <w:rFonts w:cs="Calibri"/>
          <w:sz w:val="24"/>
          <w:szCs w:val="24"/>
          <w:lang w:val="x-none"/>
        </w:rPr>
        <w:t>)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0"/>
          <w:szCs w:val="24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>tuto</w:t>
      </w:r>
    </w:p>
    <w:p w:rsidR="004421F2" w:rsidRPr="004F547D" w:rsidRDefault="00D3055F" w:rsidP="00563506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40"/>
          <w:szCs w:val="32"/>
          <w:lang w:val="x-none"/>
        </w:rPr>
      </w:pPr>
      <w:r w:rsidRPr="004F547D">
        <w:rPr>
          <w:rFonts w:cs="Calibri"/>
          <w:b/>
          <w:bCs/>
          <w:sz w:val="40"/>
          <w:szCs w:val="32"/>
          <w:lang w:val="x-none"/>
        </w:rPr>
        <w:t>NÁJEMNÍ SMLOUVU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32"/>
          <w:szCs w:val="32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I.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Prohlášení o způsobilosti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b/>
          <w:bCs/>
          <w:sz w:val="32"/>
          <w:szCs w:val="32"/>
          <w:lang w:val="x-none"/>
        </w:rPr>
      </w:pPr>
    </w:p>
    <w:p w:rsidR="004421F2" w:rsidRPr="004F547D" w:rsidRDefault="004421F2" w:rsidP="00056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Smluvní strany si vzájemně prohlašují, že jejich způsobilost a volnos</w:t>
      </w:r>
      <w:r w:rsidR="00056879" w:rsidRPr="004F547D">
        <w:rPr>
          <w:rFonts w:cs="Calibri"/>
          <w:sz w:val="24"/>
          <w:szCs w:val="24"/>
        </w:rPr>
        <w:t>t uzavřít tuto smlouvu, jakož i </w:t>
      </w:r>
      <w:r w:rsidRPr="004F547D">
        <w:rPr>
          <w:rFonts w:cs="Calibri"/>
          <w:sz w:val="24"/>
          <w:szCs w:val="24"/>
        </w:rPr>
        <w:t>způsobilost ke všem souvisejícím právním úkonům, není nijak omezena ani vyloučena.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II.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Předmět nájmu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</w:p>
    <w:p w:rsidR="004421F2" w:rsidRPr="004F547D" w:rsidRDefault="00540E7E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Pronajímatel je správcem</w:t>
      </w:r>
      <w:r w:rsidR="004421F2" w:rsidRPr="004F547D">
        <w:rPr>
          <w:rFonts w:cs="Calibri"/>
          <w:sz w:val="24"/>
          <w:szCs w:val="24"/>
        </w:rPr>
        <w:t xml:space="preserve"> domu </w:t>
      </w:r>
      <w:proofErr w:type="gramStart"/>
      <w:r w:rsidR="004421F2" w:rsidRPr="004F547D">
        <w:rPr>
          <w:rFonts w:cs="Calibri"/>
          <w:sz w:val="24"/>
          <w:szCs w:val="24"/>
        </w:rPr>
        <w:t>č.p.</w:t>
      </w:r>
      <w:proofErr w:type="gramEnd"/>
      <w:r w:rsidR="004421F2" w:rsidRPr="004F547D">
        <w:rPr>
          <w:rFonts w:cs="Calibri"/>
          <w:sz w:val="24"/>
          <w:szCs w:val="24"/>
        </w:rPr>
        <w:t xml:space="preserve"> </w:t>
      </w:r>
      <w:r w:rsidRPr="004F547D">
        <w:rPr>
          <w:rFonts w:cs="Calibri"/>
          <w:sz w:val="24"/>
          <w:szCs w:val="24"/>
        </w:rPr>
        <w:t>1260, na adrese Otáhalova 1260</w:t>
      </w:r>
      <w:r w:rsidR="004421F2" w:rsidRPr="004F547D">
        <w:rPr>
          <w:rFonts w:cs="Calibri"/>
          <w:sz w:val="24"/>
          <w:szCs w:val="24"/>
        </w:rPr>
        <w:t>,</w:t>
      </w:r>
      <w:r w:rsidRPr="004F547D">
        <w:rPr>
          <w:rFonts w:cs="Calibri"/>
          <w:sz w:val="24"/>
          <w:szCs w:val="24"/>
        </w:rPr>
        <w:t xml:space="preserve"> 40747 Varnsdorf,</w:t>
      </w:r>
      <w:r w:rsidR="00513DE4" w:rsidRPr="004F547D">
        <w:rPr>
          <w:rFonts w:cs="Calibri"/>
          <w:sz w:val="24"/>
          <w:szCs w:val="24"/>
        </w:rPr>
        <w:t xml:space="preserve"> v katastrálním </w:t>
      </w:r>
      <w:r w:rsidRPr="004F547D">
        <w:rPr>
          <w:rFonts w:cs="Calibri"/>
          <w:sz w:val="24"/>
          <w:szCs w:val="24"/>
        </w:rPr>
        <w:t>území Varnsdorf</w:t>
      </w:r>
      <w:r w:rsidR="004421F2" w:rsidRPr="004F547D">
        <w:rPr>
          <w:rFonts w:cs="Calibri"/>
          <w:sz w:val="24"/>
          <w:szCs w:val="24"/>
        </w:rPr>
        <w:t xml:space="preserve">, obec </w:t>
      </w:r>
      <w:r w:rsidRPr="004F547D">
        <w:rPr>
          <w:rFonts w:cs="Calibri"/>
          <w:sz w:val="24"/>
          <w:szCs w:val="24"/>
        </w:rPr>
        <w:t>Varnsdorf</w:t>
      </w:r>
      <w:r w:rsidR="004421F2" w:rsidRPr="004F547D">
        <w:rPr>
          <w:rFonts w:cs="Calibri"/>
          <w:sz w:val="24"/>
          <w:szCs w:val="24"/>
        </w:rPr>
        <w:t xml:space="preserve">, okres </w:t>
      </w:r>
      <w:r w:rsidRPr="004F547D">
        <w:rPr>
          <w:rFonts w:cs="Calibri"/>
          <w:sz w:val="24"/>
          <w:szCs w:val="24"/>
        </w:rPr>
        <w:t>Děčín</w:t>
      </w:r>
      <w:r w:rsidR="004421F2" w:rsidRPr="004F547D">
        <w:rPr>
          <w:rFonts w:cs="Calibri"/>
          <w:sz w:val="24"/>
          <w:szCs w:val="24"/>
        </w:rPr>
        <w:t>, zapsán</w:t>
      </w:r>
      <w:r w:rsidR="00A27A97" w:rsidRPr="004F547D">
        <w:rPr>
          <w:rFonts w:cs="Calibri"/>
          <w:sz w:val="24"/>
          <w:szCs w:val="24"/>
        </w:rPr>
        <w:t xml:space="preserve">o Katastrálním úřadem </w:t>
      </w:r>
      <w:r w:rsidR="00056879" w:rsidRPr="004F547D">
        <w:rPr>
          <w:rFonts w:cs="Calibri"/>
          <w:sz w:val="24"/>
          <w:szCs w:val="24"/>
        </w:rPr>
        <w:t>v </w:t>
      </w:r>
      <w:r w:rsidR="00A27A97" w:rsidRPr="004F547D">
        <w:rPr>
          <w:rFonts w:cs="Calibri"/>
          <w:sz w:val="24"/>
          <w:szCs w:val="24"/>
        </w:rPr>
        <w:t xml:space="preserve">Děčíně, katastrálním pracovištěm v Rumburku </w:t>
      </w:r>
      <w:r w:rsidR="00513DE4" w:rsidRPr="004F547D">
        <w:rPr>
          <w:rFonts w:cs="Calibri"/>
          <w:sz w:val="24"/>
          <w:szCs w:val="24"/>
        </w:rPr>
        <w:t>na LV č. </w:t>
      </w:r>
      <w:r w:rsidR="00A27A97" w:rsidRPr="004F547D">
        <w:rPr>
          <w:rFonts w:cs="Calibri"/>
          <w:sz w:val="24"/>
          <w:szCs w:val="24"/>
        </w:rPr>
        <w:t>2990</w:t>
      </w:r>
      <w:r w:rsidR="004421F2" w:rsidRPr="004F547D">
        <w:rPr>
          <w:rFonts w:cs="Calibri"/>
          <w:sz w:val="24"/>
          <w:szCs w:val="24"/>
        </w:rPr>
        <w:t xml:space="preserve"> (dále také jen předmět nájmu).</w:t>
      </w:r>
      <w:r w:rsidR="00A27A97" w:rsidRPr="004F547D">
        <w:rPr>
          <w:rFonts w:cs="Calibri"/>
          <w:sz w:val="24"/>
          <w:szCs w:val="24"/>
        </w:rPr>
        <w:t xml:space="preserve"> Pronajímatel je oprávněný dle Zřizovací listiny ze dne 13.</w:t>
      </w:r>
      <w:r w:rsidR="00D3055F" w:rsidRPr="004F547D">
        <w:rPr>
          <w:rFonts w:cs="Calibri"/>
          <w:sz w:val="24"/>
          <w:szCs w:val="24"/>
        </w:rPr>
        <w:t xml:space="preserve"> </w:t>
      </w:r>
      <w:r w:rsidR="00A27A97" w:rsidRPr="004F547D">
        <w:rPr>
          <w:rFonts w:cs="Calibri"/>
          <w:sz w:val="24"/>
          <w:szCs w:val="24"/>
        </w:rPr>
        <w:t>02.</w:t>
      </w:r>
      <w:r w:rsidR="00D3055F" w:rsidRPr="004F547D">
        <w:rPr>
          <w:rFonts w:cs="Calibri"/>
          <w:sz w:val="24"/>
          <w:szCs w:val="24"/>
        </w:rPr>
        <w:t xml:space="preserve"> </w:t>
      </w:r>
      <w:r w:rsidR="00A27A97" w:rsidRPr="004F547D">
        <w:rPr>
          <w:rFonts w:cs="Calibri"/>
          <w:sz w:val="24"/>
          <w:szCs w:val="24"/>
        </w:rPr>
        <w:t>2012 pronajímat předmět nájmu.</w:t>
      </w:r>
      <w:r w:rsidR="004421F2" w:rsidRPr="004F547D">
        <w:rPr>
          <w:rFonts w:cs="Calibri"/>
          <w:sz w:val="24"/>
          <w:szCs w:val="24"/>
        </w:rPr>
        <w:t xml:space="preserve"> Předmět nájmu je způsobilý k užívání, je bez právních vad a jeho užívání nebrání žádná věcná břemena či závazky.</w:t>
      </w:r>
    </w:p>
    <w:p w:rsidR="00A27A97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Obsahem této smlo</w:t>
      </w:r>
      <w:r w:rsidR="00513DE4" w:rsidRPr="004F547D">
        <w:rPr>
          <w:rFonts w:cs="Calibri"/>
          <w:sz w:val="24"/>
          <w:szCs w:val="24"/>
        </w:rPr>
        <w:t>uvy je nájem nebytových prostor</w:t>
      </w:r>
      <w:r w:rsidR="00A27A97" w:rsidRPr="004F547D">
        <w:rPr>
          <w:rFonts w:cs="Calibri"/>
          <w:sz w:val="24"/>
          <w:szCs w:val="24"/>
        </w:rPr>
        <w:t>:</w:t>
      </w:r>
    </w:p>
    <w:p w:rsidR="00B30F2F" w:rsidRDefault="00A27A97" w:rsidP="0005687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30F2F">
        <w:rPr>
          <w:rFonts w:cs="Calibri"/>
          <w:sz w:val="24"/>
          <w:szCs w:val="24"/>
        </w:rPr>
        <w:t>místnosti č.</w:t>
      </w:r>
      <w:r w:rsidR="007272E0" w:rsidRPr="00B30F2F">
        <w:rPr>
          <w:rFonts w:cs="Calibri"/>
          <w:sz w:val="24"/>
          <w:szCs w:val="24"/>
        </w:rPr>
        <w:t xml:space="preserve"> 107</w:t>
      </w:r>
      <w:r w:rsidR="001053AF">
        <w:rPr>
          <w:rFonts w:cs="Calibri"/>
          <w:sz w:val="24"/>
          <w:szCs w:val="24"/>
        </w:rPr>
        <w:t>, 108, 110</w:t>
      </w:r>
      <w:r w:rsidRPr="00B30F2F">
        <w:rPr>
          <w:rFonts w:cs="Calibri"/>
          <w:sz w:val="24"/>
          <w:szCs w:val="24"/>
        </w:rPr>
        <w:t xml:space="preserve"> v 1. nadzemním podlaží</w:t>
      </w:r>
      <w:r w:rsidR="00B30F2F">
        <w:rPr>
          <w:rFonts w:cs="Calibri"/>
          <w:sz w:val="24"/>
          <w:szCs w:val="24"/>
        </w:rPr>
        <w:t xml:space="preserve"> ke společnému užívání s DDM Varnsdorf (celková výměra </w:t>
      </w:r>
      <w:r w:rsidR="00B81F55">
        <w:rPr>
          <w:rFonts w:cs="Calibri"/>
          <w:sz w:val="24"/>
          <w:szCs w:val="24"/>
        </w:rPr>
        <w:t>82,</w:t>
      </w:r>
      <w:r w:rsidR="00B81F55" w:rsidRPr="00B81F55">
        <w:rPr>
          <w:rFonts w:cs="Calibri"/>
          <w:sz w:val="24"/>
          <w:szCs w:val="24"/>
        </w:rPr>
        <w:t>53</w:t>
      </w:r>
      <w:r w:rsidR="00B81F55">
        <w:rPr>
          <w:rFonts w:cs="Calibri"/>
          <w:sz w:val="24"/>
          <w:szCs w:val="24"/>
        </w:rPr>
        <w:t xml:space="preserve"> </w:t>
      </w:r>
      <w:r w:rsidR="00B30F2F" w:rsidRPr="00B81F55">
        <w:rPr>
          <w:rFonts w:cs="Calibri"/>
          <w:sz w:val="24"/>
          <w:szCs w:val="24"/>
        </w:rPr>
        <w:t>m2)</w:t>
      </w:r>
    </w:p>
    <w:p w:rsidR="00A27A97" w:rsidRPr="00B30F2F" w:rsidRDefault="00B30F2F" w:rsidP="0005687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A27A97" w:rsidRPr="00B30F2F">
        <w:rPr>
          <w:rFonts w:cs="Calibri"/>
          <w:sz w:val="24"/>
          <w:szCs w:val="24"/>
        </w:rPr>
        <w:t>ebytové prostory v objektu č. 1260</w:t>
      </w:r>
      <w:r w:rsidR="007A5A91" w:rsidRPr="00B30F2F">
        <w:rPr>
          <w:rFonts w:cs="Calibri"/>
          <w:sz w:val="24"/>
          <w:szCs w:val="24"/>
        </w:rPr>
        <w:t xml:space="preserve"> </w:t>
      </w:r>
      <w:r w:rsidR="00A27A97" w:rsidRPr="00B30F2F">
        <w:rPr>
          <w:rFonts w:cs="Calibri"/>
          <w:sz w:val="24"/>
          <w:szCs w:val="24"/>
        </w:rPr>
        <w:t>ke společnému užívání všec</w:t>
      </w:r>
      <w:r w:rsidR="00056879" w:rsidRPr="00B30F2F">
        <w:rPr>
          <w:rFonts w:cs="Calibri"/>
          <w:sz w:val="24"/>
          <w:szCs w:val="24"/>
        </w:rPr>
        <w:t>h nájemců nebytových prostor, a </w:t>
      </w:r>
      <w:r w:rsidR="00A27A97" w:rsidRPr="00B30F2F">
        <w:rPr>
          <w:rFonts w:cs="Calibri"/>
          <w:sz w:val="24"/>
          <w:szCs w:val="24"/>
        </w:rPr>
        <w:t>to zejména chodby, výtah a WC.</w:t>
      </w:r>
    </w:p>
    <w:p w:rsidR="00513DE4" w:rsidRPr="004F547D" w:rsidRDefault="00513DE4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</w:rPr>
      </w:pPr>
    </w:p>
    <w:p w:rsidR="004421F2" w:rsidRPr="004F547D" w:rsidRDefault="004421F2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III. Účel nájmu</w:t>
      </w:r>
    </w:p>
    <w:p w:rsidR="004421F2" w:rsidRPr="004F547D" w:rsidRDefault="004421F2">
      <w:pPr>
        <w:widowControl w:val="0"/>
        <w:autoSpaceDE w:val="0"/>
        <w:autoSpaceDN w:val="0"/>
        <w:adjustRightInd w:val="0"/>
        <w:spacing w:after="0" w:line="240" w:lineRule="auto"/>
        <w:ind w:left="570" w:right="420"/>
        <w:jc w:val="center"/>
        <w:rPr>
          <w:rFonts w:cs="Calibri"/>
          <w:b/>
          <w:bCs/>
          <w:sz w:val="24"/>
          <w:szCs w:val="24"/>
          <w:lang w:val="x-none"/>
        </w:rPr>
      </w:pPr>
    </w:p>
    <w:p w:rsidR="00B30F2F" w:rsidRPr="00B30F2F" w:rsidRDefault="004421F2" w:rsidP="00B30F2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0"/>
        <w:rPr>
          <w:rFonts w:cs="Calibri"/>
          <w:b/>
          <w:bCs/>
          <w:sz w:val="24"/>
          <w:szCs w:val="24"/>
          <w:lang w:val="x-none"/>
        </w:rPr>
      </w:pPr>
      <w:r w:rsidRPr="00B30F2F">
        <w:rPr>
          <w:rFonts w:cs="Calibri"/>
          <w:sz w:val="24"/>
          <w:szCs w:val="24"/>
        </w:rPr>
        <w:t xml:space="preserve">Účelem nájmu je takové využívání najatých nebytových prostor </w:t>
      </w:r>
      <w:r w:rsidR="00D3055F" w:rsidRPr="00B30F2F">
        <w:rPr>
          <w:rFonts w:cs="Calibri"/>
          <w:sz w:val="24"/>
          <w:szCs w:val="24"/>
        </w:rPr>
        <w:t>nájemcem, které je v souladu se </w:t>
      </w:r>
      <w:r w:rsidRPr="00B30F2F">
        <w:rPr>
          <w:rFonts w:cs="Calibri"/>
          <w:sz w:val="24"/>
          <w:szCs w:val="24"/>
        </w:rPr>
        <w:t>stavebně technickým určením užívání těchto prostor. Náje</w:t>
      </w:r>
      <w:r w:rsidR="00D3055F" w:rsidRPr="00B30F2F">
        <w:rPr>
          <w:rFonts w:cs="Calibri"/>
          <w:sz w:val="24"/>
          <w:szCs w:val="24"/>
        </w:rPr>
        <w:t>mce bude předmět nájmu užívat v </w:t>
      </w:r>
      <w:r w:rsidRPr="00B30F2F">
        <w:rPr>
          <w:rFonts w:cs="Calibri"/>
          <w:sz w:val="24"/>
          <w:szCs w:val="24"/>
        </w:rPr>
        <w:t>souladu s předmětem podnikání nájemce, jež vyplývá z jeho</w:t>
      </w:r>
      <w:r w:rsidR="003003C8" w:rsidRPr="00B30F2F">
        <w:rPr>
          <w:rFonts w:cs="Calibri"/>
          <w:sz w:val="24"/>
          <w:szCs w:val="24"/>
        </w:rPr>
        <w:t xml:space="preserve"> </w:t>
      </w:r>
      <w:r w:rsidR="00B30F2F" w:rsidRPr="00B30F2F">
        <w:rPr>
          <w:rFonts w:cs="Calibri"/>
          <w:sz w:val="24"/>
          <w:szCs w:val="24"/>
        </w:rPr>
        <w:t>stanov</w:t>
      </w:r>
      <w:r w:rsidR="00B30F2F">
        <w:rPr>
          <w:rFonts w:cs="Calibri"/>
          <w:sz w:val="24"/>
          <w:szCs w:val="24"/>
        </w:rPr>
        <w:t>.</w:t>
      </w:r>
    </w:p>
    <w:p w:rsidR="00B30F2F" w:rsidRDefault="00B30F2F" w:rsidP="00B30F2F">
      <w:pPr>
        <w:widowControl w:val="0"/>
        <w:autoSpaceDE w:val="0"/>
        <w:autoSpaceDN w:val="0"/>
        <w:adjustRightInd w:val="0"/>
        <w:spacing w:after="0" w:line="240" w:lineRule="auto"/>
        <w:ind w:left="360" w:right="420"/>
        <w:jc w:val="center"/>
        <w:rPr>
          <w:rFonts w:cs="Calibri"/>
          <w:sz w:val="24"/>
          <w:szCs w:val="24"/>
        </w:rPr>
      </w:pPr>
    </w:p>
    <w:p w:rsidR="004421F2" w:rsidRPr="00B30F2F" w:rsidRDefault="004421F2" w:rsidP="00B30F2F">
      <w:pPr>
        <w:widowControl w:val="0"/>
        <w:autoSpaceDE w:val="0"/>
        <w:autoSpaceDN w:val="0"/>
        <w:adjustRightInd w:val="0"/>
        <w:spacing w:after="0" w:line="240" w:lineRule="auto"/>
        <w:ind w:left="360"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B30F2F">
        <w:rPr>
          <w:rFonts w:cs="Calibri"/>
          <w:b/>
          <w:bCs/>
          <w:sz w:val="24"/>
          <w:szCs w:val="24"/>
          <w:lang w:val="x-none"/>
        </w:rPr>
        <w:lastRenderedPageBreak/>
        <w:t>IV.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Doba nájmu</w:t>
      </w:r>
      <w:r w:rsidR="00513DE4" w:rsidRPr="004F547D">
        <w:rPr>
          <w:rFonts w:cs="Calibri"/>
          <w:b/>
          <w:bCs/>
          <w:sz w:val="24"/>
          <w:szCs w:val="24"/>
          <w:vertAlign w:val="superscript"/>
          <w:lang w:val="x-none"/>
        </w:rPr>
        <w:t xml:space="preserve"> </w:t>
      </w:r>
    </w:p>
    <w:p w:rsidR="004421F2" w:rsidRPr="00A85B0E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18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ab/>
      </w: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Tato smlouva se uzavírá na dobu neurčitou.</w:t>
      </w: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Mezi smluvními stranami se ujednává, že v případ</w:t>
      </w:r>
      <w:r w:rsidR="008925A2" w:rsidRPr="004F547D">
        <w:rPr>
          <w:rFonts w:cs="Calibri"/>
          <w:sz w:val="24"/>
          <w:szCs w:val="24"/>
        </w:rPr>
        <w:t>ě výpovědi činí výpovědní lhůta</w:t>
      </w:r>
      <w:r w:rsidR="00513DE4" w:rsidRPr="004F547D">
        <w:rPr>
          <w:rFonts w:cs="Calibri"/>
          <w:sz w:val="24"/>
          <w:szCs w:val="24"/>
        </w:rPr>
        <w:t xml:space="preserve"> 6</w:t>
      </w:r>
      <w:r w:rsidR="00D3055F" w:rsidRPr="004F547D">
        <w:rPr>
          <w:rFonts w:cs="Calibri"/>
          <w:sz w:val="24"/>
          <w:szCs w:val="24"/>
        </w:rPr>
        <w:t xml:space="preserve"> měsíce a </w:t>
      </w:r>
      <w:r w:rsidRPr="004F547D">
        <w:rPr>
          <w:rFonts w:cs="Calibri"/>
          <w:sz w:val="24"/>
          <w:szCs w:val="24"/>
        </w:rPr>
        <w:t>počíná běžet prvního dne měsíce následujícího po doručení písemné výpovědi druhé smluvní straně.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24"/>
          <w:szCs w:val="24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V.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Nájemné</w:t>
      </w:r>
      <w:r w:rsidR="003D52F9" w:rsidRPr="004F547D">
        <w:rPr>
          <w:rFonts w:cs="Calibri"/>
          <w:b/>
          <w:bCs/>
          <w:sz w:val="24"/>
          <w:szCs w:val="24"/>
        </w:rPr>
        <w:t xml:space="preserve"> a služby související</w:t>
      </w:r>
    </w:p>
    <w:p w:rsidR="004421F2" w:rsidRPr="00A85B0E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both"/>
        <w:rPr>
          <w:rFonts w:cs="Calibri"/>
          <w:sz w:val="18"/>
          <w:szCs w:val="24"/>
          <w:lang w:val="x-none"/>
        </w:rPr>
      </w:pP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Nájemné se stanoví dohodou</w:t>
      </w:r>
      <w:r w:rsidR="008925A2" w:rsidRPr="004F547D">
        <w:rPr>
          <w:rFonts w:cs="Calibri"/>
          <w:sz w:val="24"/>
          <w:szCs w:val="24"/>
        </w:rPr>
        <w:t xml:space="preserve"> na celkovou plochu užívanou určenou k výlučnému užívání nájemce</w:t>
      </w:r>
      <w:r w:rsidRPr="004F547D">
        <w:rPr>
          <w:rFonts w:cs="Calibri"/>
          <w:sz w:val="24"/>
          <w:szCs w:val="24"/>
        </w:rPr>
        <w:t xml:space="preserve">, a to ve výši </w:t>
      </w:r>
      <w:r w:rsidR="00F608F6">
        <w:rPr>
          <w:rFonts w:cs="Calibri"/>
          <w:sz w:val="24"/>
          <w:szCs w:val="24"/>
        </w:rPr>
        <w:t>…………………</w:t>
      </w:r>
      <w:r w:rsidR="003003C8" w:rsidRPr="004F547D">
        <w:rPr>
          <w:rFonts w:cs="Calibri"/>
          <w:sz w:val="24"/>
          <w:szCs w:val="24"/>
        </w:rPr>
        <w:t>za rok, slovy</w:t>
      </w:r>
      <w:r w:rsidR="005A239D">
        <w:rPr>
          <w:rFonts w:cs="Calibri"/>
          <w:sz w:val="24"/>
          <w:szCs w:val="24"/>
        </w:rPr>
        <w:t xml:space="preserve"> </w:t>
      </w:r>
      <w:r w:rsidR="00F608F6">
        <w:rPr>
          <w:rFonts w:cs="Calibri"/>
          <w:sz w:val="24"/>
          <w:szCs w:val="24"/>
        </w:rPr>
        <w:t>……………………………….</w:t>
      </w:r>
      <w:bookmarkStart w:id="0" w:name="_GoBack"/>
      <w:bookmarkEnd w:id="0"/>
      <w:r w:rsidR="003003C8" w:rsidRPr="004F547D">
        <w:rPr>
          <w:rFonts w:cs="Calibri"/>
          <w:sz w:val="24"/>
          <w:szCs w:val="24"/>
        </w:rPr>
        <w:t xml:space="preserve"> za rok.</w:t>
      </w:r>
    </w:p>
    <w:p w:rsidR="008925A2" w:rsidRPr="004F547D" w:rsidRDefault="008925A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V případě kratšího nájmu než jeden rok činí nájemné poměrnou část ze stanovené částky</w:t>
      </w:r>
      <w:r w:rsidR="00056879" w:rsidRPr="004F547D">
        <w:rPr>
          <w:rFonts w:cs="Calibri"/>
          <w:sz w:val="24"/>
          <w:szCs w:val="24"/>
        </w:rPr>
        <w:t>, za celé i </w:t>
      </w:r>
      <w:r w:rsidR="003D52F9" w:rsidRPr="004F547D">
        <w:rPr>
          <w:rFonts w:cs="Calibri"/>
          <w:sz w:val="24"/>
          <w:szCs w:val="24"/>
        </w:rPr>
        <w:t xml:space="preserve">započaté měsíce. </w:t>
      </w:r>
    </w:p>
    <w:p w:rsidR="00EE4FA9" w:rsidRPr="004F547D" w:rsidRDefault="00EE4FA9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Nájemné bude nájemce hradit pronajímateli bezhotovostně převodem na účet pronajímatele, vedený u Komerční banky, se sídlem ve Varnsdorfu</w:t>
      </w:r>
      <w:r w:rsidR="003D52F9" w:rsidRPr="004F547D">
        <w:rPr>
          <w:rFonts w:cs="Calibri"/>
          <w:sz w:val="24"/>
          <w:szCs w:val="24"/>
        </w:rPr>
        <w:t xml:space="preserve">, </w:t>
      </w:r>
      <w:proofErr w:type="spellStart"/>
      <w:proofErr w:type="gramStart"/>
      <w:r w:rsidR="003D52F9" w:rsidRPr="004F547D">
        <w:rPr>
          <w:rFonts w:cs="Calibri"/>
          <w:sz w:val="24"/>
          <w:szCs w:val="24"/>
        </w:rPr>
        <w:t>č.ú</w:t>
      </w:r>
      <w:proofErr w:type="spellEnd"/>
      <w:r w:rsidR="003D52F9" w:rsidRPr="004F547D">
        <w:rPr>
          <w:rFonts w:cs="Calibri"/>
          <w:sz w:val="24"/>
          <w:szCs w:val="24"/>
        </w:rPr>
        <w:t>.: </w:t>
      </w:r>
      <w:r w:rsidR="00B30F2F">
        <w:rPr>
          <w:rFonts w:cs="Calibri"/>
          <w:sz w:val="24"/>
          <w:szCs w:val="24"/>
        </w:rPr>
        <w:t>4039920267/0100</w:t>
      </w:r>
      <w:proofErr w:type="gramEnd"/>
      <w:r w:rsidR="003D52F9" w:rsidRPr="004F547D">
        <w:rPr>
          <w:rFonts w:cs="Calibri"/>
          <w:sz w:val="24"/>
          <w:szCs w:val="24"/>
        </w:rPr>
        <w:t>, VS:</w:t>
      </w:r>
      <w:r w:rsidR="00B30F2F">
        <w:rPr>
          <w:rFonts w:cs="Calibri"/>
          <w:sz w:val="24"/>
          <w:szCs w:val="24"/>
        </w:rPr>
        <w:t xml:space="preserve"> 603302</w:t>
      </w:r>
      <w:r w:rsidR="005A239D">
        <w:rPr>
          <w:rFonts w:cs="Calibri"/>
          <w:sz w:val="24"/>
          <w:szCs w:val="24"/>
        </w:rPr>
        <w:t xml:space="preserve"> </w:t>
      </w:r>
      <w:r w:rsidRPr="004F547D">
        <w:rPr>
          <w:rFonts w:cs="Calibri"/>
          <w:sz w:val="24"/>
          <w:szCs w:val="24"/>
        </w:rPr>
        <w:t>vždy jedenkrát ročně do 31.</w:t>
      </w:r>
      <w:r w:rsidR="00B30F2F">
        <w:rPr>
          <w:rFonts w:cs="Calibri"/>
          <w:sz w:val="24"/>
          <w:szCs w:val="24"/>
        </w:rPr>
        <w:t xml:space="preserve"> </w:t>
      </w:r>
      <w:r w:rsidRPr="004F547D">
        <w:rPr>
          <w:rFonts w:cs="Calibri"/>
          <w:sz w:val="24"/>
          <w:szCs w:val="24"/>
        </w:rPr>
        <w:t xml:space="preserve">3. příslušného roku. </w:t>
      </w:r>
    </w:p>
    <w:p w:rsidR="00EE4FA9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 xml:space="preserve">Vedle nájemného je nájemce povinen hradit </w:t>
      </w:r>
      <w:r w:rsidR="00294698" w:rsidRPr="004F547D">
        <w:rPr>
          <w:rFonts w:cs="Calibri"/>
          <w:sz w:val="24"/>
          <w:szCs w:val="24"/>
        </w:rPr>
        <w:t>další</w:t>
      </w:r>
      <w:r w:rsidR="00563506" w:rsidRPr="004F547D">
        <w:rPr>
          <w:rFonts w:cs="Calibri"/>
          <w:sz w:val="24"/>
          <w:szCs w:val="24"/>
        </w:rPr>
        <w:t xml:space="preserve"> </w:t>
      </w:r>
      <w:r w:rsidR="003D52F9" w:rsidRPr="004F547D">
        <w:rPr>
          <w:rFonts w:cs="Calibri"/>
          <w:sz w:val="24"/>
          <w:szCs w:val="24"/>
        </w:rPr>
        <w:t>související služby</w:t>
      </w:r>
      <w:r w:rsidR="00294698" w:rsidRPr="004F547D">
        <w:rPr>
          <w:rFonts w:cs="Calibri"/>
          <w:sz w:val="24"/>
          <w:szCs w:val="24"/>
        </w:rPr>
        <w:t xml:space="preserve"> dle vystavených faktur</w:t>
      </w:r>
      <w:r w:rsidR="00EE4FA9" w:rsidRPr="004F547D">
        <w:rPr>
          <w:rFonts w:cs="Calibri"/>
          <w:sz w:val="24"/>
          <w:szCs w:val="24"/>
        </w:rPr>
        <w:t>:</w:t>
      </w:r>
    </w:p>
    <w:p w:rsidR="00EE4FA9" w:rsidRPr="001E0648" w:rsidRDefault="00294698" w:rsidP="001E0648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1E0648">
        <w:rPr>
          <w:rFonts w:cs="Calibri"/>
          <w:b/>
          <w:sz w:val="24"/>
          <w:szCs w:val="24"/>
        </w:rPr>
        <w:t>na elektrickou energii</w:t>
      </w:r>
      <w:r w:rsidR="00056879" w:rsidRPr="001E0648">
        <w:rPr>
          <w:rFonts w:cs="Calibri"/>
          <w:sz w:val="24"/>
          <w:szCs w:val="24"/>
        </w:rPr>
        <w:t xml:space="preserve"> –</w:t>
      </w:r>
      <w:r w:rsidR="001E0648" w:rsidRPr="001E0648">
        <w:rPr>
          <w:rFonts w:cs="Calibri"/>
          <w:sz w:val="24"/>
          <w:szCs w:val="24"/>
        </w:rPr>
        <w:t xml:space="preserve"> </w:t>
      </w:r>
      <w:r w:rsidR="00EE4FA9" w:rsidRPr="001E0648">
        <w:rPr>
          <w:rFonts w:cs="Calibri"/>
          <w:sz w:val="24"/>
          <w:szCs w:val="24"/>
        </w:rPr>
        <w:t>poměrnou část</w:t>
      </w:r>
      <w:r w:rsidR="001E0648">
        <w:rPr>
          <w:rFonts w:cs="Calibri"/>
          <w:sz w:val="24"/>
          <w:szCs w:val="24"/>
        </w:rPr>
        <w:t>í dle využívání prostor</w:t>
      </w:r>
      <w:r w:rsidR="00EE4FA9" w:rsidRPr="001E0648">
        <w:rPr>
          <w:rFonts w:cs="Calibri"/>
          <w:sz w:val="24"/>
          <w:szCs w:val="24"/>
        </w:rPr>
        <w:t xml:space="preserve"> č. 107 v 1 NP (</w:t>
      </w:r>
      <w:r w:rsidR="00A85B0E">
        <w:rPr>
          <w:rFonts w:cs="Calibri"/>
          <w:sz w:val="24"/>
          <w:szCs w:val="24"/>
        </w:rPr>
        <w:t>33</w:t>
      </w:r>
      <w:r w:rsidR="00E06900" w:rsidRPr="001E0648">
        <w:rPr>
          <w:rFonts w:cs="Calibri"/>
          <w:sz w:val="24"/>
          <w:szCs w:val="24"/>
        </w:rPr>
        <w:t xml:space="preserve"> %</w:t>
      </w:r>
      <w:r w:rsidR="00056879" w:rsidRPr="001E0648">
        <w:rPr>
          <w:rFonts w:cs="Calibri"/>
          <w:sz w:val="24"/>
          <w:szCs w:val="24"/>
        </w:rPr>
        <w:t xml:space="preserve"> z elektroměru č. 4</w:t>
      </w:r>
      <w:r w:rsidR="00E06900" w:rsidRPr="001E0648">
        <w:rPr>
          <w:rFonts w:cs="Calibri"/>
          <w:sz w:val="24"/>
          <w:szCs w:val="24"/>
        </w:rPr>
        <w:t>)</w:t>
      </w:r>
    </w:p>
    <w:p w:rsidR="00EE4FA9" w:rsidRPr="004F547D" w:rsidRDefault="00294698" w:rsidP="00056879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b/>
          <w:sz w:val="24"/>
          <w:szCs w:val="24"/>
        </w:rPr>
        <w:t>vodné, stočné</w:t>
      </w:r>
      <w:r w:rsidR="00056879" w:rsidRPr="004F547D">
        <w:rPr>
          <w:rFonts w:cs="Calibri"/>
          <w:b/>
          <w:sz w:val="24"/>
          <w:szCs w:val="24"/>
        </w:rPr>
        <w:t>, teplo</w:t>
      </w:r>
      <w:r w:rsidR="00B81F55">
        <w:rPr>
          <w:rFonts w:cs="Calibri"/>
          <w:b/>
          <w:sz w:val="24"/>
          <w:szCs w:val="24"/>
        </w:rPr>
        <w:t>, odvoz LTO, náklady za</w:t>
      </w:r>
      <w:r w:rsidR="00B81F55" w:rsidRPr="004F547D">
        <w:rPr>
          <w:rFonts w:cs="Calibri"/>
          <w:b/>
          <w:sz w:val="24"/>
          <w:szCs w:val="24"/>
        </w:rPr>
        <w:t xml:space="preserve"> revize, čistění okapů a další související náklady </w:t>
      </w:r>
      <w:r w:rsidR="00B81F55" w:rsidRPr="004F547D">
        <w:rPr>
          <w:rFonts w:cs="Calibri"/>
          <w:sz w:val="24"/>
          <w:szCs w:val="24"/>
        </w:rPr>
        <w:t xml:space="preserve">spojené s provozem budovy – </w:t>
      </w:r>
      <w:r w:rsidR="00EE4FA9" w:rsidRPr="004F547D">
        <w:rPr>
          <w:rFonts w:cs="Calibri"/>
          <w:sz w:val="24"/>
          <w:szCs w:val="24"/>
        </w:rPr>
        <w:t>poměrnou částí dle využívaných prostor</w:t>
      </w:r>
      <w:r w:rsidR="00A85B0E">
        <w:rPr>
          <w:rFonts w:cs="Calibri"/>
          <w:sz w:val="24"/>
          <w:szCs w:val="24"/>
        </w:rPr>
        <w:t xml:space="preserve"> (1</w:t>
      </w:r>
      <w:r w:rsidR="00B81F55">
        <w:rPr>
          <w:rFonts w:cs="Calibri"/>
          <w:sz w:val="24"/>
          <w:szCs w:val="24"/>
        </w:rPr>
        <w:t>,</w:t>
      </w:r>
      <w:r w:rsidR="00A85B0E">
        <w:rPr>
          <w:rFonts w:cs="Calibri"/>
          <w:sz w:val="24"/>
          <w:szCs w:val="24"/>
        </w:rPr>
        <w:t>8</w:t>
      </w:r>
      <w:r w:rsidR="00B81F55">
        <w:rPr>
          <w:rFonts w:cs="Calibri"/>
          <w:sz w:val="24"/>
          <w:szCs w:val="24"/>
        </w:rPr>
        <w:t xml:space="preserve"> </w:t>
      </w:r>
      <w:r w:rsidR="00E06900" w:rsidRPr="004F547D">
        <w:rPr>
          <w:rFonts w:cs="Calibri"/>
          <w:sz w:val="24"/>
          <w:szCs w:val="24"/>
        </w:rPr>
        <w:t>%)</w:t>
      </w:r>
    </w:p>
    <w:p w:rsidR="00EE4FA9" w:rsidRPr="004F547D" w:rsidRDefault="00EE4FA9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Ostatní náklady – úklid, telekomunikační služby včetně internetu a další hradí nájemce sám na své náklady.</w:t>
      </w: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 xml:space="preserve">V případě prodlení nájemce s úhradou nájemného nebo s úhradou </w:t>
      </w:r>
      <w:r w:rsidR="00EE4FA9" w:rsidRPr="004F547D">
        <w:rPr>
          <w:rFonts w:cs="Calibri"/>
          <w:sz w:val="24"/>
          <w:szCs w:val="24"/>
        </w:rPr>
        <w:t xml:space="preserve">faktur </w:t>
      </w:r>
      <w:r w:rsidRPr="004F547D">
        <w:rPr>
          <w:rFonts w:cs="Calibri"/>
          <w:sz w:val="24"/>
          <w:szCs w:val="24"/>
        </w:rPr>
        <w:t xml:space="preserve">za plnění poskytovaná s užíváním nebytového prostoru, jež </w:t>
      </w:r>
      <w:r w:rsidR="007036D5" w:rsidRPr="004F547D">
        <w:rPr>
          <w:rFonts w:cs="Calibri"/>
          <w:sz w:val="24"/>
          <w:szCs w:val="24"/>
        </w:rPr>
        <w:t>vyplývají z této smlouvy, náleží</w:t>
      </w:r>
      <w:r w:rsidRPr="004F547D">
        <w:rPr>
          <w:rFonts w:cs="Calibri"/>
          <w:sz w:val="24"/>
          <w:szCs w:val="24"/>
        </w:rPr>
        <w:t xml:space="preserve"> pronajíma</w:t>
      </w:r>
      <w:r w:rsidR="005A239D">
        <w:rPr>
          <w:rFonts w:cs="Calibri"/>
          <w:sz w:val="24"/>
          <w:szCs w:val="24"/>
        </w:rPr>
        <w:t>te</w:t>
      </w:r>
      <w:r w:rsidRPr="004F547D">
        <w:rPr>
          <w:rFonts w:cs="Calibri"/>
          <w:sz w:val="24"/>
          <w:szCs w:val="24"/>
        </w:rPr>
        <w:t xml:space="preserve">li úrok z prodlení ve výši </w:t>
      </w:r>
      <w:r w:rsidR="00294698" w:rsidRPr="004F547D">
        <w:rPr>
          <w:rFonts w:cs="Calibri"/>
          <w:sz w:val="24"/>
          <w:szCs w:val="24"/>
        </w:rPr>
        <w:t>0,05</w:t>
      </w:r>
      <w:r w:rsidRPr="004F547D">
        <w:rPr>
          <w:rFonts w:cs="Calibri"/>
          <w:sz w:val="24"/>
          <w:szCs w:val="24"/>
        </w:rPr>
        <w:t xml:space="preserve"> % z dlužné částky, a to za každý den prodlení až do zaplacení.</w:t>
      </w:r>
    </w:p>
    <w:p w:rsidR="004421F2" w:rsidRPr="004F547D" w:rsidRDefault="004421F2" w:rsidP="00294698">
      <w:pPr>
        <w:widowControl w:val="0"/>
        <w:autoSpaceDE w:val="0"/>
        <w:autoSpaceDN w:val="0"/>
        <w:adjustRightInd w:val="0"/>
        <w:spacing w:after="0" w:line="240" w:lineRule="auto"/>
        <w:ind w:left="360" w:right="420"/>
        <w:jc w:val="both"/>
        <w:rPr>
          <w:rFonts w:cs="Calibri"/>
          <w:sz w:val="24"/>
          <w:szCs w:val="24"/>
        </w:rPr>
      </w:pPr>
    </w:p>
    <w:p w:rsidR="00D3055F" w:rsidRPr="004F547D" w:rsidRDefault="00D3055F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VI.</w:t>
      </w:r>
    </w:p>
    <w:p w:rsidR="004421F2" w:rsidRPr="004F547D" w:rsidRDefault="00E06900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Práva a povinnosti pronajímatele</w:t>
      </w:r>
    </w:p>
    <w:p w:rsidR="00056879" w:rsidRPr="00A85B0E" w:rsidRDefault="00056879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0"/>
          <w:szCs w:val="24"/>
        </w:rPr>
      </w:pPr>
    </w:p>
    <w:p w:rsidR="00E06900" w:rsidRPr="004F547D" w:rsidRDefault="00E06900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Pronajímatel předá ke dn</w:t>
      </w:r>
      <w:r w:rsidR="00D3055F" w:rsidRPr="004F547D">
        <w:rPr>
          <w:rFonts w:cs="Calibri"/>
          <w:sz w:val="24"/>
          <w:szCs w:val="24"/>
        </w:rPr>
        <w:t>i</w:t>
      </w:r>
      <w:r w:rsidR="00B30F2F">
        <w:rPr>
          <w:rFonts w:cs="Calibri"/>
          <w:sz w:val="24"/>
          <w:szCs w:val="24"/>
        </w:rPr>
        <w:t xml:space="preserve"> </w:t>
      </w:r>
      <w:proofErr w:type="gramStart"/>
      <w:r w:rsidR="00B30F2F">
        <w:rPr>
          <w:rFonts w:cs="Calibri"/>
          <w:sz w:val="24"/>
          <w:szCs w:val="24"/>
        </w:rPr>
        <w:t>1.1.2019</w:t>
      </w:r>
      <w:proofErr w:type="gramEnd"/>
      <w:r w:rsidRPr="004F547D">
        <w:rPr>
          <w:rFonts w:cs="Calibri"/>
          <w:sz w:val="24"/>
          <w:szCs w:val="24"/>
        </w:rPr>
        <w:t xml:space="preserve"> pronajaté prostory včetně technického vybavení ve stavu způsobilém k jejich užívání dle smluveného účelu užívání.</w:t>
      </w:r>
    </w:p>
    <w:p w:rsidR="00E06900" w:rsidRPr="004F547D" w:rsidRDefault="00E06900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Pronajímatel nebo jím pověřená osoba jsou oprávněny vstoupit do pronajatých prostor spolu s nájemcem, a to zejména za účelem kontroly dodržování podmínek této smlouvy, provádění údržby, kontroly, revizí a nutných oprav.</w:t>
      </w:r>
      <w:r w:rsidR="00F16AEC" w:rsidRPr="004F547D">
        <w:rPr>
          <w:rFonts w:cs="Calibri"/>
          <w:sz w:val="24"/>
          <w:szCs w:val="24"/>
        </w:rPr>
        <w:t xml:space="preserve"> Ve výjimečných případech je oprávněn do pronajatých prostor vstoupit pronajímatel nebo jím oprávněná osoba bez doprovodu nájemce, jestliže to vyžaduje náhle vzniklý havarijní stav či jiná obdobná skutečnost. O takové skutečnosti musí pronajímatel neprodleně nájemce informovat, jestliže ho nebylo možno informovat předem. V této souvislosti bere nájemce na vědomí, že pronajímatel bude mít v držení náhradní klíče k pronajímaným prostorům</w:t>
      </w:r>
      <w:r w:rsidR="00B30F2F">
        <w:rPr>
          <w:rFonts w:cs="Calibri"/>
          <w:sz w:val="24"/>
          <w:szCs w:val="24"/>
        </w:rPr>
        <w:t xml:space="preserve"> a vlastní kód k</w:t>
      </w:r>
      <w:r w:rsidR="00DC623D">
        <w:rPr>
          <w:rFonts w:cs="Calibri"/>
          <w:sz w:val="24"/>
          <w:szCs w:val="24"/>
        </w:rPr>
        <w:t> zabezpečovacímu systému. N</w:t>
      </w:r>
      <w:r w:rsidR="00F16AEC" w:rsidRPr="004F547D">
        <w:rPr>
          <w:rFonts w:cs="Calibri"/>
          <w:sz w:val="24"/>
          <w:szCs w:val="24"/>
        </w:rPr>
        <w:t>ájemce není oprávněn provést bez souhlasu pronajímatele výměnu zámků.</w:t>
      </w:r>
    </w:p>
    <w:p w:rsidR="00DC623D" w:rsidRDefault="00DC623D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</w:rPr>
      </w:pPr>
    </w:p>
    <w:p w:rsidR="00D3055F" w:rsidRPr="004F547D" w:rsidRDefault="00D3055F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VII.</w:t>
      </w:r>
    </w:p>
    <w:p w:rsidR="00F16AEC" w:rsidRPr="004F547D" w:rsidRDefault="00F16AEC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Práva a povinnosti nájemce</w:t>
      </w:r>
    </w:p>
    <w:p w:rsidR="00056879" w:rsidRPr="00A85B0E" w:rsidRDefault="00056879" w:rsidP="00D3055F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18"/>
          <w:szCs w:val="24"/>
        </w:rPr>
      </w:pPr>
    </w:p>
    <w:p w:rsidR="00F16AEC" w:rsidRPr="004F547D" w:rsidRDefault="00F16AEC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Nájemce je oprávněn užívat pronajaté prostory v rozsahu a k účelu podle této smlouvy po celou dobu trvání nájemního vztahu.</w:t>
      </w:r>
      <w:r w:rsidR="00D3055F" w:rsidRPr="004F547D">
        <w:rPr>
          <w:rFonts w:cs="Calibri"/>
          <w:sz w:val="24"/>
          <w:szCs w:val="24"/>
        </w:rPr>
        <w:t xml:space="preserve"> Nájemce je povinen předmět nájmu udržovat ve stavu způsobilém k užívání.</w:t>
      </w:r>
    </w:p>
    <w:p w:rsidR="00F16AEC" w:rsidRPr="004F547D" w:rsidRDefault="004679D6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lastRenderedPageBreak/>
        <w:t>Nájemce je povinen hradit náklady spojené s obvyklým udržováním a provozem.</w:t>
      </w:r>
    </w:p>
    <w:p w:rsidR="004679D6" w:rsidRPr="004F547D" w:rsidRDefault="004679D6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 xml:space="preserve">Nájemce je povinen oznámit pronajímateli bez zbytečného odkladu veškeré změny, které nastaly v pronajatých prostorách, a to jak zaviněním nájemce, tak i bez jeho vlivu a vůle. Současně je </w:t>
      </w:r>
      <w:r w:rsidR="00DC623D">
        <w:rPr>
          <w:rFonts w:cs="Calibri"/>
          <w:sz w:val="24"/>
          <w:szCs w:val="24"/>
        </w:rPr>
        <w:t xml:space="preserve">nájemce výslovně povinen oznámit písemně pronajímateli potřebu oprav a není oprávněn tyto sám realizovat </w:t>
      </w:r>
      <w:r w:rsidRPr="004F547D">
        <w:rPr>
          <w:rFonts w:cs="Calibri"/>
          <w:sz w:val="24"/>
          <w:szCs w:val="24"/>
        </w:rPr>
        <w:t xml:space="preserve">a </w:t>
      </w:r>
      <w:r w:rsidR="00DC623D">
        <w:rPr>
          <w:rFonts w:cs="Calibri"/>
          <w:sz w:val="24"/>
          <w:szCs w:val="24"/>
        </w:rPr>
        <w:t xml:space="preserve">je povinen </w:t>
      </w:r>
      <w:r w:rsidRPr="004F547D">
        <w:rPr>
          <w:rFonts w:cs="Calibri"/>
          <w:sz w:val="24"/>
          <w:szCs w:val="24"/>
        </w:rPr>
        <w:t>umožnit provedení těchto nebo jiných nezbytných oprav. V opačném případě nájemce odpovídá za škody vniklé v souvislosti s neplněním této povinnosti.</w:t>
      </w:r>
    </w:p>
    <w:p w:rsidR="004679D6" w:rsidRPr="004F547D" w:rsidRDefault="004679D6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Nájemce odpovídá za dodržování bezpečnostních a požárních předpisů podle obecně závazných předpisů. Je odpovědný za případné školy, které vznikly v souvislosti s porušením těchto předpisů.</w:t>
      </w:r>
    </w:p>
    <w:p w:rsidR="004679D6" w:rsidRPr="004F547D" w:rsidRDefault="004679D6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 xml:space="preserve">Nájemce je povinen zdržet se jakéhokoliv jednání, které by rušilo nebo mohlo rušit výkon ostatních užívacích a nájemních práv v objektu MCKV. </w:t>
      </w:r>
    </w:p>
    <w:p w:rsidR="004679D6" w:rsidRPr="004F547D" w:rsidRDefault="004679D6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Nájemce není oprávněn na předmětu nájmu bez souhlasu pronajíma</w:t>
      </w:r>
      <w:r w:rsidR="00056879" w:rsidRPr="004F547D">
        <w:rPr>
          <w:rFonts w:cs="Calibri"/>
          <w:sz w:val="24"/>
          <w:szCs w:val="24"/>
        </w:rPr>
        <w:t>tele činit jakékoliv stavební a </w:t>
      </w:r>
      <w:r w:rsidRPr="004F547D">
        <w:rPr>
          <w:rFonts w:cs="Calibri"/>
          <w:sz w:val="24"/>
          <w:szCs w:val="24"/>
        </w:rPr>
        <w:t xml:space="preserve">jiné úpravy, které by vyžadovaly stavebního povolení. </w:t>
      </w:r>
    </w:p>
    <w:p w:rsidR="00D3055F" w:rsidRPr="004F547D" w:rsidRDefault="00D3055F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Nájemce není oprávněn bez předchozím souhlasu pronajímatele dát do podnájmu předmět nájmu.</w:t>
      </w:r>
    </w:p>
    <w:p w:rsidR="004421F2" w:rsidRDefault="00D3055F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Při ukončení</w:t>
      </w:r>
      <w:r w:rsidR="004421F2" w:rsidRPr="004F547D">
        <w:rPr>
          <w:rFonts w:cs="Calibri"/>
          <w:sz w:val="24"/>
          <w:szCs w:val="24"/>
        </w:rPr>
        <w:t xml:space="preserve"> nájemního vztahu se nájemce zavazuje najatý nebytový prostor vyklidit a vyklizený </w:t>
      </w:r>
      <w:r w:rsidR="00294698" w:rsidRPr="004F547D">
        <w:rPr>
          <w:rFonts w:cs="Calibri"/>
          <w:sz w:val="24"/>
          <w:szCs w:val="24"/>
        </w:rPr>
        <w:t xml:space="preserve">prostor </w:t>
      </w:r>
      <w:r w:rsidR="004421F2" w:rsidRPr="004F547D">
        <w:rPr>
          <w:rFonts w:cs="Calibri"/>
          <w:sz w:val="24"/>
          <w:szCs w:val="24"/>
        </w:rPr>
        <w:t xml:space="preserve">protokolárně pronajímateli předat. </w:t>
      </w:r>
      <w:r w:rsidR="008925A2" w:rsidRPr="004F547D">
        <w:rPr>
          <w:rFonts w:cs="Calibri"/>
          <w:sz w:val="24"/>
          <w:szCs w:val="24"/>
        </w:rPr>
        <w:t xml:space="preserve">Za každý den prodlení s vyklizením se nájemce zavazuje zaplatit smluvní pokutu ve výši 500 Kč za každý den prodlení. Zaplacením smluvní pokuty není dotčeno právo pronajímatele na náhradu </w:t>
      </w:r>
      <w:r w:rsidR="004421F2" w:rsidRPr="004F547D">
        <w:rPr>
          <w:rFonts w:cs="Calibri"/>
          <w:sz w:val="24"/>
          <w:szCs w:val="24"/>
        </w:rPr>
        <w:t xml:space="preserve">škody způsobené na najatém předmětu nájmu. Předmět nájmu se nájemce zavazuje pronajímateli odevzdat ve stavu obvyklého opotřebení. </w:t>
      </w:r>
    </w:p>
    <w:p w:rsidR="00B30F2F" w:rsidRPr="004F547D" w:rsidRDefault="00B30F2F" w:rsidP="00B30F2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Nájemce je povinen při akcích realizovaných mimo ot</w:t>
      </w:r>
      <w:r w:rsidR="00DC623D">
        <w:rPr>
          <w:rFonts w:cs="Calibri"/>
          <w:sz w:val="24"/>
          <w:szCs w:val="24"/>
        </w:rPr>
        <w:t>evírací dobu pronajímatele a MIC</w:t>
      </w:r>
      <w:r>
        <w:rPr>
          <w:rFonts w:cs="Calibri"/>
          <w:sz w:val="24"/>
          <w:szCs w:val="24"/>
        </w:rPr>
        <w:t xml:space="preserve"> zkontrolovat uzavřená okna a zhasnutá světla na chodbách</w:t>
      </w:r>
      <w:r w:rsidR="00DC623D">
        <w:rPr>
          <w:rFonts w:cs="Calibri"/>
          <w:sz w:val="24"/>
          <w:szCs w:val="24"/>
        </w:rPr>
        <w:t xml:space="preserve"> a WC,</w:t>
      </w:r>
      <w:r>
        <w:rPr>
          <w:rFonts w:cs="Calibri"/>
          <w:sz w:val="24"/>
          <w:szCs w:val="24"/>
        </w:rPr>
        <w:t xml:space="preserve"> zavřené kohoutky na WC v přízemí a uzamknout budovu (hlavní vchod). Nájemce je odpovědný za škody vzniklé v souvislosti s neplněním výše uvedené povinnosti.  </w:t>
      </w:r>
    </w:p>
    <w:p w:rsidR="00B30F2F" w:rsidRPr="004F547D" w:rsidRDefault="00B30F2F" w:rsidP="00B30F2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421F2" w:rsidRPr="004F547D" w:rsidRDefault="004421F2" w:rsidP="00D3055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Calibri"/>
          <w:b/>
          <w:bCs/>
          <w:sz w:val="24"/>
          <w:szCs w:val="24"/>
          <w:lang w:val="x-none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VII</w:t>
      </w:r>
      <w:r w:rsidR="00D3055F" w:rsidRPr="004F547D">
        <w:rPr>
          <w:rFonts w:cs="Calibri"/>
          <w:b/>
          <w:bCs/>
          <w:sz w:val="24"/>
          <w:szCs w:val="24"/>
        </w:rPr>
        <w:t>I</w:t>
      </w:r>
      <w:r w:rsidRPr="004F547D">
        <w:rPr>
          <w:rFonts w:cs="Calibri"/>
          <w:b/>
          <w:bCs/>
          <w:sz w:val="24"/>
          <w:szCs w:val="24"/>
          <w:lang w:val="x-none"/>
        </w:rPr>
        <w:t>.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  <w:r w:rsidRPr="004F547D">
        <w:rPr>
          <w:rFonts w:cs="Calibri"/>
          <w:b/>
          <w:bCs/>
          <w:sz w:val="24"/>
          <w:szCs w:val="24"/>
          <w:lang w:val="x-none"/>
        </w:rPr>
        <w:t>Závěrečná ustanovení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cs="Calibri"/>
          <w:b/>
          <w:bCs/>
          <w:sz w:val="24"/>
          <w:szCs w:val="24"/>
          <w:lang w:val="x-none"/>
        </w:rPr>
      </w:pP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Tato smlouva nabývá platnosti</w:t>
      </w:r>
      <w:r w:rsidR="003003C8" w:rsidRPr="004F547D">
        <w:rPr>
          <w:rFonts w:cs="Calibri"/>
          <w:sz w:val="24"/>
          <w:szCs w:val="24"/>
        </w:rPr>
        <w:t xml:space="preserve"> podpisem </w:t>
      </w:r>
      <w:r w:rsidRPr="004F547D">
        <w:rPr>
          <w:rFonts w:cs="Calibri"/>
          <w:sz w:val="24"/>
          <w:szCs w:val="24"/>
        </w:rPr>
        <w:t>poslední ze smluvních stran</w:t>
      </w:r>
      <w:r w:rsidR="003003C8" w:rsidRPr="004F547D">
        <w:rPr>
          <w:rFonts w:cs="Calibri"/>
          <w:sz w:val="24"/>
          <w:szCs w:val="24"/>
        </w:rPr>
        <w:t xml:space="preserve"> s účinností od </w:t>
      </w:r>
      <w:r w:rsidR="00294698" w:rsidRPr="004F547D">
        <w:rPr>
          <w:rFonts w:cs="Calibri"/>
          <w:sz w:val="24"/>
          <w:szCs w:val="24"/>
        </w:rPr>
        <w:t>0</w:t>
      </w:r>
      <w:r w:rsidR="003003C8" w:rsidRPr="004F547D">
        <w:rPr>
          <w:rFonts w:cs="Calibri"/>
          <w:sz w:val="24"/>
          <w:szCs w:val="24"/>
        </w:rPr>
        <w:t>1.</w:t>
      </w:r>
      <w:r w:rsidR="001053AF">
        <w:rPr>
          <w:rFonts w:cs="Calibri"/>
          <w:sz w:val="24"/>
          <w:szCs w:val="24"/>
        </w:rPr>
        <w:t xml:space="preserve"> </w:t>
      </w:r>
      <w:r w:rsidR="003003C8" w:rsidRPr="004F547D">
        <w:rPr>
          <w:rFonts w:cs="Calibri"/>
          <w:sz w:val="24"/>
          <w:szCs w:val="24"/>
        </w:rPr>
        <w:t>0</w:t>
      </w:r>
      <w:r w:rsidR="00DC623D">
        <w:rPr>
          <w:rFonts w:cs="Calibri"/>
          <w:sz w:val="24"/>
          <w:szCs w:val="24"/>
        </w:rPr>
        <w:t>1.</w:t>
      </w:r>
      <w:r w:rsidR="001053AF">
        <w:rPr>
          <w:rFonts w:cs="Calibri"/>
          <w:sz w:val="24"/>
          <w:szCs w:val="24"/>
        </w:rPr>
        <w:t xml:space="preserve"> </w:t>
      </w:r>
      <w:r w:rsidR="00DC623D">
        <w:rPr>
          <w:rFonts w:cs="Calibri"/>
          <w:sz w:val="24"/>
          <w:szCs w:val="24"/>
        </w:rPr>
        <w:t>2019</w:t>
      </w:r>
      <w:r w:rsidRPr="004F547D">
        <w:rPr>
          <w:rFonts w:cs="Calibri"/>
          <w:sz w:val="24"/>
          <w:szCs w:val="24"/>
        </w:rPr>
        <w:t>. Smluvní strany prohlašují, že se s obsahem smlouvy řádně seznámily, že byla sepsána dle jejich svobodné a vážné vůle a nebyla sjednána v tísni a za nápadně nevýhodných podmínek.</w:t>
      </w: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Tato smlouva se řídí právním řádem České rep</w:t>
      </w:r>
      <w:r w:rsidR="00294698" w:rsidRPr="004F547D">
        <w:rPr>
          <w:rFonts w:cs="Calibri"/>
          <w:sz w:val="24"/>
          <w:szCs w:val="24"/>
        </w:rPr>
        <w:t>ubliky, a to zejména zákonem č. </w:t>
      </w:r>
      <w:r w:rsidR="001E0648">
        <w:rPr>
          <w:rFonts w:cs="Calibri"/>
          <w:sz w:val="24"/>
          <w:szCs w:val="24"/>
        </w:rPr>
        <w:t>89/2012</w:t>
      </w:r>
      <w:r w:rsidRPr="004F547D">
        <w:rPr>
          <w:rFonts w:cs="Calibri"/>
          <w:sz w:val="24"/>
          <w:szCs w:val="24"/>
        </w:rPr>
        <w:t xml:space="preserve"> Sb.</w:t>
      </w:r>
      <w:r w:rsidR="00056879" w:rsidRPr="004F547D">
        <w:rPr>
          <w:rFonts w:cs="Calibri"/>
          <w:sz w:val="24"/>
          <w:szCs w:val="24"/>
        </w:rPr>
        <w:t xml:space="preserve">, </w:t>
      </w:r>
      <w:r w:rsidR="001E0648">
        <w:rPr>
          <w:rFonts w:cs="Calibri"/>
          <w:sz w:val="24"/>
          <w:szCs w:val="24"/>
        </w:rPr>
        <w:t>občanským zákonem</w:t>
      </w:r>
      <w:r w:rsidRPr="004F547D">
        <w:rPr>
          <w:rFonts w:cs="Calibri"/>
          <w:sz w:val="24"/>
          <w:szCs w:val="24"/>
        </w:rPr>
        <w:t xml:space="preserve"> v platném znění.</w:t>
      </w:r>
    </w:p>
    <w:p w:rsidR="004421F2" w:rsidRPr="004F547D" w:rsidRDefault="004421F2" w:rsidP="000568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>Tato smlouva je vyhotovena ve dvou originálech, z nichž každá ze smluvních stran obdrží po jednom.</w:t>
      </w:r>
    </w:p>
    <w:p w:rsidR="004421F2" w:rsidRPr="004F547D" w:rsidRDefault="004421F2" w:rsidP="000568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right="570" w:firstLine="540"/>
        <w:jc w:val="both"/>
        <w:rPr>
          <w:rFonts w:cs="Calibri"/>
          <w:sz w:val="24"/>
          <w:szCs w:val="24"/>
        </w:rPr>
      </w:pPr>
    </w:p>
    <w:p w:rsidR="00056879" w:rsidRPr="004F547D" w:rsidRDefault="00056879" w:rsidP="00513DE4">
      <w:pPr>
        <w:widowControl w:val="0"/>
        <w:autoSpaceDE w:val="0"/>
        <w:autoSpaceDN w:val="0"/>
        <w:adjustRightInd w:val="0"/>
        <w:spacing w:after="0" w:line="240" w:lineRule="auto"/>
        <w:ind w:right="570" w:firstLine="540"/>
        <w:jc w:val="both"/>
        <w:rPr>
          <w:rFonts w:cs="Calibri"/>
          <w:sz w:val="24"/>
          <w:szCs w:val="24"/>
        </w:rPr>
      </w:pPr>
    </w:p>
    <w:p w:rsidR="00056879" w:rsidRPr="004F547D" w:rsidRDefault="00056879" w:rsidP="00513DE4">
      <w:pPr>
        <w:widowControl w:val="0"/>
        <w:autoSpaceDE w:val="0"/>
        <w:autoSpaceDN w:val="0"/>
        <w:adjustRightInd w:val="0"/>
        <w:spacing w:after="0" w:line="240" w:lineRule="auto"/>
        <w:ind w:right="570" w:firstLine="540"/>
        <w:jc w:val="both"/>
        <w:rPr>
          <w:rFonts w:cs="Calibri"/>
          <w:sz w:val="24"/>
          <w:szCs w:val="24"/>
        </w:rPr>
      </w:pPr>
    </w:p>
    <w:p w:rsidR="004421F2" w:rsidRPr="004F547D" w:rsidRDefault="004421F2" w:rsidP="00294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>V</w:t>
      </w:r>
      <w:r w:rsidR="00294698" w:rsidRPr="004F547D">
        <w:rPr>
          <w:rFonts w:cs="Calibri"/>
          <w:sz w:val="24"/>
          <w:szCs w:val="24"/>
        </w:rPr>
        <w:t>e Varnsdorfu</w:t>
      </w:r>
      <w:r w:rsidRPr="004F547D">
        <w:rPr>
          <w:rFonts w:cs="Calibri"/>
          <w:sz w:val="24"/>
          <w:szCs w:val="24"/>
          <w:lang w:val="x-none"/>
        </w:rPr>
        <w:t xml:space="preserve"> dne </w:t>
      </w:r>
      <w:r w:rsidR="00DC623D">
        <w:rPr>
          <w:rFonts w:cs="Calibri"/>
          <w:sz w:val="24"/>
          <w:szCs w:val="24"/>
        </w:rPr>
        <w:t>31.12.2018</w:t>
      </w:r>
      <w:r w:rsidRPr="004F547D">
        <w:rPr>
          <w:rFonts w:cs="Calibri"/>
          <w:sz w:val="24"/>
          <w:szCs w:val="24"/>
          <w:lang w:val="x-none"/>
        </w:rPr>
        <w:tab/>
      </w:r>
      <w:r w:rsidRPr="004F547D">
        <w:rPr>
          <w:rFonts w:cs="Calibri"/>
          <w:sz w:val="24"/>
          <w:szCs w:val="24"/>
          <w:lang w:val="x-none"/>
        </w:rPr>
        <w:tab/>
      </w:r>
      <w:r w:rsidRPr="004F547D">
        <w:rPr>
          <w:rFonts w:cs="Calibri"/>
          <w:sz w:val="24"/>
          <w:szCs w:val="24"/>
          <w:lang w:val="x-none"/>
        </w:rPr>
        <w:tab/>
      </w:r>
      <w:r w:rsidR="00294698" w:rsidRPr="004F547D">
        <w:rPr>
          <w:rFonts w:cs="Calibri"/>
          <w:sz w:val="24"/>
          <w:szCs w:val="24"/>
        </w:rPr>
        <w:t xml:space="preserve">  </w:t>
      </w:r>
      <w:r w:rsidR="00056879" w:rsidRPr="004F547D">
        <w:rPr>
          <w:rFonts w:cs="Calibri"/>
          <w:sz w:val="24"/>
          <w:szCs w:val="24"/>
        </w:rPr>
        <w:tab/>
      </w:r>
      <w:r w:rsidRPr="004F547D">
        <w:rPr>
          <w:rFonts w:cs="Calibri"/>
          <w:sz w:val="24"/>
          <w:szCs w:val="24"/>
          <w:lang w:val="x-none"/>
        </w:rPr>
        <w:t>V</w:t>
      </w:r>
      <w:r w:rsidR="00294698" w:rsidRPr="004F547D">
        <w:rPr>
          <w:rFonts w:cs="Calibri"/>
          <w:sz w:val="24"/>
          <w:szCs w:val="24"/>
        </w:rPr>
        <w:t>e Varnsdorfu</w:t>
      </w:r>
      <w:r w:rsidRPr="004F547D">
        <w:rPr>
          <w:rFonts w:cs="Calibri"/>
          <w:sz w:val="24"/>
          <w:szCs w:val="24"/>
          <w:lang w:val="x-none"/>
        </w:rPr>
        <w:t xml:space="preserve"> dne </w:t>
      </w:r>
      <w:r w:rsidR="00DC623D">
        <w:rPr>
          <w:rFonts w:cs="Calibri"/>
          <w:sz w:val="24"/>
          <w:szCs w:val="24"/>
        </w:rPr>
        <w:t>31.12.2018</w:t>
      </w:r>
    </w:p>
    <w:p w:rsidR="00056879" w:rsidRPr="004F547D" w:rsidRDefault="00056879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500"/>
        <w:jc w:val="both"/>
        <w:rPr>
          <w:rFonts w:cs="Calibri"/>
          <w:sz w:val="24"/>
          <w:szCs w:val="24"/>
        </w:rPr>
      </w:pPr>
    </w:p>
    <w:p w:rsidR="00056879" w:rsidRPr="004F547D" w:rsidRDefault="00056879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500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</w:rPr>
        <w:tab/>
      </w:r>
    </w:p>
    <w:p w:rsidR="00056879" w:rsidRPr="004F547D" w:rsidRDefault="00056879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500"/>
        <w:jc w:val="both"/>
        <w:rPr>
          <w:rFonts w:cs="Calibri"/>
          <w:sz w:val="24"/>
          <w:szCs w:val="24"/>
        </w:rPr>
      </w:pPr>
    </w:p>
    <w:p w:rsidR="00056879" w:rsidRPr="004F547D" w:rsidRDefault="00056879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500"/>
        <w:jc w:val="both"/>
        <w:rPr>
          <w:rFonts w:cs="Calibri"/>
          <w:sz w:val="24"/>
          <w:szCs w:val="24"/>
        </w:rPr>
      </w:pP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50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 xml:space="preserve">_________________                                  </w:t>
      </w:r>
      <w:r w:rsidR="00056879" w:rsidRPr="004F547D">
        <w:rPr>
          <w:rFonts w:cs="Calibri"/>
          <w:sz w:val="24"/>
          <w:szCs w:val="24"/>
        </w:rPr>
        <w:tab/>
      </w:r>
      <w:r w:rsidR="00056879" w:rsidRPr="004F547D">
        <w:rPr>
          <w:rFonts w:cs="Calibri"/>
          <w:sz w:val="24"/>
          <w:szCs w:val="24"/>
        </w:rPr>
        <w:tab/>
      </w:r>
      <w:r w:rsidRPr="004F547D">
        <w:rPr>
          <w:rFonts w:cs="Calibri"/>
          <w:sz w:val="24"/>
          <w:szCs w:val="24"/>
          <w:lang w:val="x-none"/>
        </w:rPr>
        <w:t>__________________</w:t>
      </w:r>
    </w:p>
    <w:p w:rsidR="00294698" w:rsidRPr="004F547D" w:rsidRDefault="00294698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470"/>
        <w:jc w:val="both"/>
        <w:rPr>
          <w:rFonts w:cs="Calibri"/>
          <w:sz w:val="24"/>
          <w:szCs w:val="24"/>
        </w:rPr>
      </w:pPr>
      <w:r w:rsidRPr="004F547D">
        <w:rPr>
          <w:rFonts w:cs="Calibri"/>
          <w:sz w:val="24"/>
          <w:szCs w:val="24"/>
          <w:lang w:val="x-none"/>
        </w:rPr>
        <w:t xml:space="preserve">pronajímatel </w:t>
      </w:r>
      <w:r w:rsidRPr="004F547D">
        <w:rPr>
          <w:rFonts w:cs="Calibri"/>
          <w:sz w:val="24"/>
          <w:szCs w:val="24"/>
        </w:rPr>
        <w:tab/>
      </w:r>
      <w:r w:rsidR="00056879" w:rsidRPr="004F547D">
        <w:rPr>
          <w:rFonts w:cs="Calibri"/>
          <w:sz w:val="24"/>
          <w:szCs w:val="24"/>
        </w:rPr>
        <w:tab/>
      </w:r>
      <w:r w:rsidR="004421F2" w:rsidRPr="004F547D">
        <w:rPr>
          <w:rFonts w:cs="Calibri"/>
          <w:sz w:val="24"/>
          <w:szCs w:val="24"/>
          <w:lang w:val="x-none"/>
        </w:rPr>
        <w:t>nájemce</w:t>
      </w:r>
    </w:p>
    <w:p w:rsidR="004421F2" w:rsidRPr="004F547D" w:rsidRDefault="004421F2" w:rsidP="00513DE4">
      <w:pPr>
        <w:widowControl w:val="0"/>
        <w:autoSpaceDE w:val="0"/>
        <w:autoSpaceDN w:val="0"/>
        <w:adjustRightInd w:val="0"/>
        <w:spacing w:after="0" w:line="240" w:lineRule="auto"/>
        <w:ind w:left="4470" w:hanging="4470"/>
        <w:jc w:val="both"/>
        <w:rPr>
          <w:rFonts w:cs="Calibri"/>
          <w:sz w:val="24"/>
          <w:szCs w:val="24"/>
          <w:lang w:val="x-none"/>
        </w:rPr>
      </w:pPr>
      <w:r w:rsidRPr="004F547D">
        <w:rPr>
          <w:rFonts w:cs="Calibri"/>
          <w:sz w:val="24"/>
          <w:szCs w:val="24"/>
          <w:lang w:val="x-none"/>
        </w:rPr>
        <w:tab/>
      </w:r>
    </w:p>
    <w:sectPr w:rsidR="004421F2" w:rsidRPr="004F547D" w:rsidSect="00D3055F">
      <w:footerReference w:type="default" r:id="rId8"/>
      <w:pgSz w:w="11906" w:h="16838" w:code="9"/>
      <w:pgMar w:top="851" w:right="964" w:bottom="851" w:left="96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3" w:rsidRDefault="00E218E3" w:rsidP="00513DE4">
      <w:pPr>
        <w:spacing w:after="0" w:line="240" w:lineRule="auto"/>
      </w:pPr>
      <w:r>
        <w:separator/>
      </w:r>
    </w:p>
  </w:endnote>
  <w:endnote w:type="continuationSeparator" w:id="0">
    <w:p w:rsidR="00E218E3" w:rsidRDefault="00E218E3" w:rsidP="0051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E4" w:rsidRDefault="00513DE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608F6">
      <w:rPr>
        <w:noProof/>
      </w:rPr>
      <w:t>3</w:t>
    </w:r>
    <w:r>
      <w:fldChar w:fldCharType="end"/>
    </w:r>
  </w:p>
  <w:p w:rsidR="00513DE4" w:rsidRDefault="00513D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3" w:rsidRDefault="00E218E3" w:rsidP="00513DE4">
      <w:pPr>
        <w:spacing w:after="0" w:line="240" w:lineRule="auto"/>
      </w:pPr>
      <w:r>
        <w:separator/>
      </w:r>
    </w:p>
  </w:footnote>
  <w:footnote w:type="continuationSeparator" w:id="0">
    <w:p w:rsidR="00E218E3" w:rsidRDefault="00E218E3" w:rsidP="0051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945"/>
    <w:multiLevelType w:val="hybridMultilevel"/>
    <w:tmpl w:val="A1CC7C0C"/>
    <w:lvl w:ilvl="0" w:tplc="1C74D6EE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20E4E"/>
    <w:multiLevelType w:val="hybridMultilevel"/>
    <w:tmpl w:val="0CF20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15862"/>
    <w:multiLevelType w:val="hybridMultilevel"/>
    <w:tmpl w:val="02A00D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8521C"/>
    <w:multiLevelType w:val="hybridMultilevel"/>
    <w:tmpl w:val="6E36A2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7227B6"/>
    <w:multiLevelType w:val="hybridMultilevel"/>
    <w:tmpl w:val="F1FE48C4"/>
    <w:lvl w:ilvl="0" w:tplc="1C74D6EE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67F5C"/>
    <w:multiLevelType w:val="hybridMultilevel"/>
    <w:tmpl w:val="5E72A8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AE63DE"/>
    <w:multiLevelType w:val="hybridMultilevel"/>
    <w:tmpl w:val="983E13B4"/>
    <w:lvl w:ilvl="0" w:tplc="1C74D6EE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D72510"/>
    <w:multiLevelType w:val="hybridMultilevel"/>
    <w:tmpl w:val="6A1E7288"/>
    <w:lvl w:ilvl="0" w:tplc="8EFE48E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>
    <w:nsid w:val="2E94164F"/>
    <w:multiLevelType w:val="hybridMultilevel"/>
    <w:tmpl w:val="2A8CC2A6"/>
    <w:lvl w:ilvl="0" w:tplc="1C74D6EE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53E73"/>
    <w:multiLevelType w:val="hybridMultilevel"/>
    <w:tmpl w:val="8FD21676"/>
    <w:lvl w:ilvl="0" w:tplc="9AFA1380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313DE5"/>
    <w:multiLevelType w:val="hybridMultilevel"/>
    <w:tmpl w:val="3DF8AD20"/>
    <w:lvl w:ilvl="0" w:tplc="9D50AE38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3822BE"/>
    <w:multiLevelType w:val="hybridMultilevel"/>
    <w:tmpl w:val="E6249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667264"/>
    <w:multiLevelType w:val="hybridMultilevel"/>
    <w:tmpl w:val="7AF0BE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877260"/>
    <w:multiLevelType w:val="hybridMultilevel"/>
    <w:tmpl w:val="59244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DE2A42"/>
    <w:multiLevelType w:val="hybridMultilevel"/>
    <w:tmpl w:val="C39CBCFE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4"/>
  </w:num>
  <w:num w:numId="12">
    <w:abstractNumId w:val="13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7E"/>
    <w:rsid w:val="00056879"/>
    <w:rsid w:val="001053AF"/>
    <w:rsid w:val="001E0648"/>
    <w:rsid w:val="002533E7"/>
    <w:rsid w:val="00294698"/>
    <w:rsid w:val="003003C8"/>
    <w:rsid w:val="003769F5"/>
    <w:rsid w:val="003C76E9"/>
    <w:rsid w:val="003D52F9"/>
    <w:rsid w:val="003D7D57"/>
    <w:rsid w:val="004421F2"/>
    <w:rsid w:val="004679D6"/>
    <w:rsid w:val="004E5DDF"/>
    <w:rsid w:val="004F547D"/>
    <w:rsid w:val="00513DE4"/>
    <w:rsid w:val="00540E7E"/>
    <w:rsid w:val="00563506"/>
    <w:rsid w:val="005A239D"/>
    <w:rsid w:val="006F3B0F"/>
    <w:rsid w:val="007036D5"/>
    <w:rsid w:val="007272E0"/>
    <w:rsid w:val="007A5A91"/>
    <w:rsid w:val="007C1FC3"/>
    <w:rsid w:val="00834FBA"/>
    <w:rsid w:val="008925A2"/>
    <w:rsid w:val="00934FF1"/>
    <w:rsid w:val="00A27A97"/>
    <w:rsid w:val="00A85B0E"/>
    <w:rsid w:val="00AA47E4"/>
    <w:rsid w:val="00B02E14"/>
    <w:rsid w:val="00B30F2F"/>
    <w:rsid w:val="00B77459"/>
    <w:rsid w:val="00B81F55"/>
    <w:rsid w:val="00BA379B"/>
    <w:rsid w:val="00D3055F"/>
    <w:rsid w:val="00DC623D"/>
    <w:rsid w:val="00E06900"/>
    <w:rsid w:val="00E218E3"/>
    <w:rsid w:val="00EE4FA9"/>
    <w:rsid w:val="00F16AEC"/>
    <w:rsid w:val="00F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13DE4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13D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13D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13DE4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13D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13D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MKVDF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Matysová</dc:creator>
  <cp:lastModifiedBy>Ekonom</cp:lastModifiedBy>
  <cp:revision>2</cp:revision>
  <dcterms:created xsi:type="dcterms:W3CDTF">2019-01-31T15:50:00Z</dcterms:created>
  <dcterms:modified xsi:type="dcterms:W3CDTF">2019-01-31T15:50:00Z</dcterms:modified>
</cp:coreProperties>
</file>