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B" w:rsidRDefault="001D1DE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C95B82" w:rsidRPr="002F00F8" w:rsidRDefault="00C95B82" w:rsidP="00C95B82">
      <w:pPr>
        <w:rPr>
          <w:b/>
          <w:bCs/>
        </w:rPr>
      </w:pPr>
      <w:r w:rsidRPr="002F00F8">
        <w:rPr>
          <w:b/>
        </w:rPr>
        <w:t>Komerční banka, a.s.</w:t>
      </w:r>
      <w:r w:rsidRPr="002F00F8">
        <w:t>, se sídlem: Praha 1, Na Příkopě 33 čp. 969, PSČ 114 07, IČ</w:t>
      </w:r>
      <w:r w:rsidR="007B4A89" w:rsidRPr="002F00F8">
        <w:t>O</w:t>
      </w:r>
      <w:r w:rsidRPr="002F00F8">
        <w:t>: 45317054,</w:t>
      </w:r>
      <w:r w:rsidR="009753CB" w:rsidRPr="002F00F8">
        <w:t xml:space="preserve"> DIČ pro účely DPH  CZ699001182,</w:t>
      </w:r>
      <w:r w:rsidRPr="002F00F8">
        <w:t xml:space="preserve"> zapsaná v obchodním rejstříku vedeném Městským soudem v Praze, oddíl B, vložka 1360</w:t>
      </w:r>
    </w:p>
    <w:p w:rsidR="00C95B82" w:rsidRPr="002F00F8" w:rsidRDefault="00C95B82" w:rsidP="00C95B82">
      <w:pPr>
        <w:ind w:left="567"/>
      </w:pPr>
    </w:p>
    <w:p w:rsidR="001C09D2" w:rsidRPr="002F00F8" w:rsidRDefault="00C95B82" w:rsidP="001C09D2">
      <w:pPr>
        <w:rPr>
          <w:b/>
          <w:bCs/>
        </w:rPr>
      </w:pPr>
      <w:r w:rsidRPr="002F00F8">
        <w:t>(dále jen „</w:t>
      </w:r>
      <w:r w:rsidR="00B76724" w:rsidRPr="00B76724">
        <w:rPr>
          <w:b/>
        </w:rPr>
        <w:t>B</w:t>
      </w:r>
      <w:r w:rsidR="000B51A4" w:rsidRPr="000B51A4">
        <w:rPr>
          <w:b/>
        </w:rPr>
        <w:t>anka</w:t>
      </w:r>
      <w:r w:rsidRPr="002F00F8">
        <w:t>“)</w:t>
      </w:r>
    </w:p>
    <w:p w:rsidR="001D1DEB" w:rsidRPr="002F00F8" w:rsidRDefault="001D1DEB"/>
    <w:p w:rsidR="0039736B" w:rsidRDefault="007F78E4">
      <w:r>
        <w:t>a</w:t>
      </w:r>
    </w:p>
    <w:p w:rsidR="006646D1" w:rsidRDefault="006646D1"/>
    <w:tbl>
      <w:tblPr>
        <w:tblW w:w="976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6"/>
        <w:gridCol w:w="5160"/>
      </w:tblGrid>
      <w:tr w:rsidR="006646D1" w:rsidTr="00A15053">
        <w:trPr>
          <w:trHeight w:val="119"/>
        </w:trPr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>
            <w:pPr>
              <w:pStyle w:val="Nadpis3"/>
              <w:rPr>
                <w:bCs w:val="0"/>
              </w:rPr>
            </w:pPr>
            <w:r>
              <w:rPr>
                <w:bCs w:val="0"/>
              </w:rPr>
              <w:t>Statutární Město Plzeň</w:t>
            </w:r>
          </w:p>
        </w:tc>
      </w:tr>
      <w:tr w:rsidR="006646D1" w:rsidTr="00A1505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>
            <w:r>
              <w:t xml:space="preserve">se sídlem: 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6646D1">
            <w:r>
              <w:t>Plzeň, Nám. Republiky 1, PSČ 306  32</w:t>
            </w:r>
          </w:p>
        </w:tc>
      </w:tr>
      <w:tr w:rsidR="006646D1" w:rsidTr="00A15053">
        <w:trPr>
          <w:trHeight w:val="21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>
            <w:r>
              <w:t>identifikační číslo: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>
            <w:pPr>
              <w:rPr>
                <w:lang w:val="pt-BR"/>
              </w:rPr>
            </w:pPr>
            <w:r>
              <w:rPr>
                <w:lang w:val="pt-BR"/>
              </w:rPr>
              <w:t>000 75 370</w:t>
            </w:r>
          </w:p>
        </w:tc>
      </w:tr>
      <w:tr w:rsidR="006646D1" w:rsidTr="00A15053">
        <w:trPr>
          <w:trHeight w:val="21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>
            <w:r>
              <w:t xml:space="preserve">zastoupené: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7F78E4">
            <w:pPr>
              <w:rPr>
                <w:lang w:val="pt-BR"/>
              </w:rPr>
            </w:pPr>
            <w:r>
              <w:rPr>
                <w:lang w:val="pt-BR"/>
              </w:rPr>
              <w:t>Městským obvodem Plzeň 2 – Slovany, Koterovská 83, Plzeň, zastoupený starostou  MO Plzeň 2 – Slovany, Ing. Lumírem Aschenbrennerem</w:t>
            </w:r>
          </w:p>
        </w:tc>
      </w:tr>
      <w:tr w:rsidR="006646D1" w:rsidTr="00A15053"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D1" w:rsidRDefault="006646D1" w:rsidP="00A15053"/>
        </w:tc>
      </w:tr>
    </w:tbl>
    <w:p w:rsidR="004A6178" w:rsidRPr="002F00F8" w:rsidRDefault="006F1099" w:rsidP="004A6178">
      <w:pPr>
        <w:rPr>
          <w:b/>
          <w:bCs/>
        </w:rPr>
      </w:pPr>
      <w:r w:rsidRPr="002F00F8">
        <w:t xml:space="preserve"> </w:t>
      </w:r>
      <w:r w:rsidR="004A6178" w:rsidRPr="002F00F8">
        <w:t>(dále jen „</w:t>
      </w:r>
      <w:r w:rsidR="007F78E4">
        <w:rPr>
          <w:b/>
        </w:rPr>
        <w:t>Pronajímatel</w:t>
      </w:r>
      <w:r w:rsidR="004A6178" w:rsidRPr="002F00F8">
        <w:t>“)</w:t>
      </w:r>
    </w:p>
    <w:p w:rsidR="001D1DEB" w:rsidRPr="002F00F8" w:rsidRDefault="001D1DEB"/>
    <w:p w:rsidR="001D1DEB" w:rsidRPr="002F00F8" w:rsidRDefault="001D1DEB">
      <w:r w:rsidRPr="002F00F8">
        <w:t>(shora uvedené smluvní strany jsou dále označovány též jako „</w:t>
      </w:r>
      <w:r w:rsidRPr="002F00F8">
        <w:rPr>
          <w:b/>
        </w:rPr>
        <w:t>Smluvní strany</w:t>
      </w:r>
      <w:r w:rsidRPr="002F00F8">
        <w:t>“)</w:t>
      </w:r>
    </w:p>
    <w:p w:rsidR="001D1DEB" w:rsidRPr="002F00F8" w:rsidRDefault="001D1DEB"/>
    <w:p w:rsidR="001D1DEB" w:rsidRPr="002F00F8" w:rsidRDefault="001D1DEB" w:rsidP="00222C41">
      <w:pPr>
        <w:tabs>
          <w:tab w:val="right" w:pos="9639"/>
        </w:tabs>
      </w:pPr>
      <w:r w:rsidRPr="002F00F8">
        <w:t>uzavírají t</w:t>
      </w:r>
      <w:r w:rsidR="0019632E" w:rsidRPr="002F00F8">
        <w:t>en</w:t>
      </w:r>
      <w:r w:rsidRPr="002F00F8">
        <w:t xml:space="preserve">to </w:t>
      </w:r>
      <w:r w:rsidR="00222C41">
        <w:tab/>
      </w:r>
    </w:p>
    <w:p w:rsidR="001D1DEB" w:rsidRPr="002F00F8" w:rsidRDefault="001D1DEB"/>
    <w:p w:rsidR="001E35A9" w:rsidRPr="002F00F8" w:rsidRDefault="0019632E" w:rsidP="0019632E">
      <w:pPr>
        <w:jc w:val="center"/>
        <w:rPr>
          <w:b/>
        </w:rPr>
      </w:pPr>
      <w:r w:rsidRPr="002F00F8">
        <w:rPr>
          <w:b/>
        </w:rPr>
        <w:t xml:space="preserve">Dodatek č. </w:t>
      </w:r>
      <w:r w:rsidR="00196BC0">
        <w:rPr>
          <w:b/>
        </w:rPr>
        <w:t>6</w:t>
      </w:r>
      <w:r w:rsidR="00196BC0" w:rsidRPr="002F00F8">
        <w:rPr>
          <w:b/>
        </w:rPr>
        <w:t xml:space="preserve"> </w:t>
      </w:r>
      <w:r w:rsidRPr="002F00F8">
        <w:rPr>
          <w:b/>
        </w:rPr>
        <w:t>k</w:t>
      </w:r>
      <w:r w:rsidR="00120E32">
        <w:rPr>
          <w:b/>
        </w:rPr>
        <w:t>e Smlouvě o nebytových prostor</w:t>
      </w:r>
    </w:p>
    <w:p w:rsidR="001D1DEB" w:rsidRPr="002F00F8" w:rsidRDefault="001D1DEB" w:rsidP="0019632E">
      <w:pPr>
        <w:jc w:val="center"/>
      </w:pPr>
      <w:r w:rsidRPr="002F00F8">
        <w:t>(dále jen „</w:t>
      </w:r>
      <w:r w:rsidR="0019632E" w:rsidRPr="002F00F8">
        <w:rPr>
          <w:b/>
        </w:rPr>
        <w:t>Dodatek</w:t>
      </w:r>
      <w:r w:rsidRPr="002F00F8">
        <w:t>“):</w:t>
      </w:r>
    </w:p>
    <w:p w:rsidR="002F00F8" w:rsidRDefault="002F00F8">
      <w:pPr>
        <w:rPr>
          <w:rStyle w:val="StylTun"/>
        </w:rPr>
      </w:pPr>
    </w:p>
    <w:p w:rsidR="002F00F8" w:rsidRPr="002F00F8" w:rsidRDefault="002F00F8">
      <w:pPr>
        <w:rPr>
          <w:rStyle w:val="StylTun"/>
        </w:rPr>
      </w:pPr>
    </w:p>
    <w:p w:rsidR="001D1DEB" w:rsidRDefault="00F70C3A">
      <w:pPr>
        <w:rPr>
          <w:rStyle w:val="StylTun"/>
        </w:rPr>
      </w:pPr>
      <w:r w:rsidRPr="002F00F8">
        <w:rPr>
          <w:rStyle w:val="StylTun"/>
        </w:rPr>
        <w:t>1</w:t>
      </w:r>
      <w:r w:rsidR="0019632E" w:rsidRPr="002F00F8">
        <w:rPr>
          <w:rStyle w:val="StylTun"/>
        </w:rPr>
        <w:t xml:space="preserve">. </w:t>
      </w:r>
      <w:r w:rsidRPr="002F00F8">
        <w:rPr>
          <w:rStyle w:val="StylTun"/>
        </w:rPr>
        <w:tab/>
      </w:r>
      <w:r w:rsidR="0019632E" w:rsidRPr="002F00F8">
        <w:rPr>
          <w:rStyle w:val="StylTun"/>
        </w:rPr>
        <w:t xml:space="preserve">Předmět </w:t>
      </w:r>
      <w:r w:rsidR="0037592D">
        <w:rPr>
          <w:rStyle w:val="StylTun"/>
        </w:rPr>
        <w:t>D</w:t>
      </w:r>
      <w:r w:rsidR="0019632E" w:rsidRPr="002F00F8">
        <w:rPr>
          <w:rStyle w:val="StylTun"/>
        </w:rPr>
        <w:t>odatku</w:t>
      </w:r>
    </w:p>
    <w:p w:rsidR="009F135A" w:rsidRDefault="009F135A">
      <w:pPr>
        <w:rPr>
          <w:rStyle w:val="StylTun"/>
        </w:rPr>
      </w:pPr>
    </w:p>
    <w:p w:rsidR="005A61DD" w:rsidRDefault="009F135A" w:rsidP="00A15053">
      <w:pPr>
        <w:numPr>
          <w:ilvl w:val="1"/>
          <w:numId w:val="3"/>
        </w:numPr>
        <w:tabs>
          <w:tab w:val="left" w:pos="567"/>
        </w:tabs>
      </w:pPr>
      <w:r>
        <w:t>Smluvní strany uzavřely dne 6.10.1999 smlouvu o nájmu nebytových prostor, ve znění dodatku č. 1 ze dne 27.12.2002,</w:t>
      </w:r>
      <w:r w:rsidR="00446E7A">
        <w:t xml:space="preserve"> dodatku č.</w:t>
      </w:r>
      <w:r w:rsidR="001914C3">
        <w:t xml:space="preserve"> </w:t>
      </w:r>
      <w:r w:rsidR="00446E7A">
        <w:t>2 ze dne 30.6.2007</w:t>
      </w:r>
      <w:r w:rsidR="0029354F">
        <w:t xml:space="preserve">, </w:t>
      </w:r>
      <w:r w:rsidR="00446E7A">
        <w:t>dodatku č.3 ze dne 17.6.2011</w:t>
      </w:r>
      <w:r w:rsidR="00196BC0">
        <w:t xml:space="preserve">, </w:t>
      </w:r>
      <w:r w:rsidR="0029354F">
        <w:t xml:space="preserve"> dodatku č.4 ze dne 16.2.2015</w:t>
      </w:r>
      <w:r>
        <w:t xml:space="preserve"> </w:t>
      </w:r>
      <w:r w:rsidR="00196BC0">
        <w:t xml:space="preserve">a dodatku č.5 ze dne 1.6.2017 </w:t>
      </w:r>
      <w:r>
        <w:t xml:space="preserve">na základě které  Nájemce užívá nebytové prostory v administrativní budově Úřadu městského obvodu Plzeň 2 – Slovany na Koterovské tř. 83, která je ve vlastnictví Města Plzně a je zapsána v katastru nemovitostí </w:t>
      </w:r>
      <w:r w:rsidRPr="00892DB7">
        <w:t>vedeném Katastrálním úřadem pro Plzeňský kraj, Katastrální pracoviště Plzeň - město na LV č. 1 pro kat. území Plzeň, obec Plzeň, okres Plzeň - město (dále jen „</w:t>
      </w:r>
      <w:r w:rsidRPr="009F135A">
        <w:rPr>
          <w:b/>
        </w:rPr>
        <w:t>Smlouva</w:t>
      </w:r>
      <w:r w:rsidRPr="00892DB7">
        <w:t>“).</w:t>
      </w:r>
      <w:r>
        <w:t xml:space="preserve"> </w:t>
      </w:r>
    </w:p>
    <w:p w:rsidR="0019632E" w:rsidRPr="002F00F8" w:rsidRDefault="0019632E" w:rsidP="0019632E"/>
    <w:p w:rsidR="00446E7A" w:rsidRPr="002F00F8" w:rsidRDefault="00F70C3A" w:rsidP="0019632E">
      <w:pPr>
        <w:ind w:left="567" w:hanging="567"/>
      </w:pPr>
      <w:r w:rsidRPr="002F00F8">
        <w:t>1</w:t>
      </w:r>
      <w:r w:rsidR="0019632E" w:rsidRPr="002F00F8">
        <w:t>.2</w:t>
      </w:r>
      <w:r w:rsidR="0019632E" w:rsidRPr="002F00F8">
        <w:tab/>
      </w:r>
      <w:r w:rsidR="009F135A">
        <w:t xml:space="preserve">Smluvní strany </w:t>
      </w:r>
      <w:r w:rsidR="00446E7A">
        <w:t>na základě čl. 8.2 Smlouvy</w:t>
      </w:r>
      <w:r w:rsidR="009F135A">
        <w:t xml:space="preserve"> tímto Dodatkem sjednávají změnu Smlouvy, jak je uvedeno v čl. 2. Dodatku. </w:t>
      </w:r>
    </w:p>
    <w:p w:rsidR="002F00F8" w:rsidRPr="002F00F8" w:rsidRDefault="002F00F8">
      <w:pPr>
        <w:rPr>
          <w:b/>
          <w:bCs/>
          <w:i/>
          <w:iCs/>
        </w:rPr>
      </w:pPr>
    </w:p>
    <w:p w:rsidR="00120A6F" w:rsidRPr="002F00F8" w:rsidRDefault="00120A6F">
      <w:pPr>
        <w:rPr>
          <w:b/>
          <w:bCs/>
          <w:i/>
          <w:iCs/>
        </w:rPr>
      </w:pPr>
    </w:p>
    <w:p w:rsidR="001D1DEB" w:rsidRDefault="00F70C3A" w:rsidP="00120A6F">
      <w:pPr>
        <w:rPr>
          <w:rStyle w:val="StylTun"/>
        </w:rPr>
      </w:pPr>
      <w:r w:rsidRPr="002F00F8">
        <w:rPr>
          <w:rStyle w:val="StylTun"/>
        </w:rPr>
        <w:t>2</w:t>
      </w:r>
      <w:r w:rsidR="001D1DEB" w:rsidRPr="002F00F8">
        <w:rPr>
          <w:rStyle w:val="StylTun"/>
        </w:rPr>
        <w:t xml:space="preserve">. </w:t>
      </w:r>
      <w:r w:rsidR="0019632E" w:rsidRPr="002F00F8">
        <w:rPr>
          <w:rStyle w:val="StylTun"/>
        </w:rPr>
        <w:t xml:space="preserve"> </w:t>
      </w:r>
      <w:r w:rsidRPr="002F00F8">
        <w:rPr>
          <w:rStyle w:val="StylTun"/>
        </w:rPr>
        <w:tab/>
      </w:r>
      <w:r w:rsidR="0019632E" w:rsidRPr="002F00F8">
        <w:rPr>
          <w:rStyle w:val="StylTun"/>
        </w:rPr>
        <w:t xml:space="preserve">Změna </w:t>
      </w:r>
      <w:r w:rsidR="0037592D">
        <w:rPr>
          <w:rStyle w:val="StylTun"/>
        </w:rPr>
        <w:t>S</w:t>
      </w:r>
      <w:r w:rsidR="0019632E" w:rsidRPr="002F00F8">
        <w:rPr>
          <w:rStyle w:val="StylTun"/>
        </w:rPr>
        <w:t xml:space="preserve">mlouvy </w:t>
      </w:r>
    </w:p>
    <w:p w:rsidR="00981BC4" w:rsidRPr="00215278" w:rsidRDefault="00981BC4" w:rsidP="00981BC4">
      <w:pPr>
        <w:tabs>
          <w:tab w:val="left" w:pos="0"/>
        </w:tabs>
        <w:ind w:right="-1"/>
      </w:pPr>
    </w:p>
    <w:p w:rsidR="00564ACF" w:rsidRPr="00C90E6E" w:rsidRDefault="00981BC4" w:rsidP="00981BC4">
      <w:pPr>
        <w:overflowPunct/>
        <w:ind w:left="567" w:hanging="567"/>
        <w:textAlignment w:val="auto"/>
      </w:pPr>
      <w:r>
        <w:t>2</w:t>
      </w:r>
      <w:r w:rsidRPr="001C09D2">
        <w:t xml:space="preserve">.1 </w:t>
      </w:r>
      <w:r w:rsidRPr="001C09D2">
        <w:tab/>
      </w:r>
      <w:r w:rsidR="00564ACF">
        <w:t>Tímto Dodatkem se čl. 1, odst. 1.2 Smlouvy nahrazuje tímto n</w:t>
      </w:r>
      <w:r w:rsidR="00564ACF" w:rsidRPr="00C90E6E">
        <w:t>ovým zněním:</w:t>
      </w:r>
    </w:p>
    <w:p w:rsidR="00C90E6E" w:rsidRPr="00C90E6E" w:rsidRDefault="00564ACF" w:rsidP="00981BC4">
      <w:pPr>
        <w:overflowPunct/>
        <w:ind w:left="567" w:hanging="567"/>
        <w:textAlignment w:val="auto"/>
        <w:rPr>
          <w:i/>
        </w:rPr>
      </w:pPr>
      <w:r w:rsidRPr="00C90E6E">
        <w:rPr>
          <w:i/>
        </w:rPr>
        <w:tab/>
        <w:t>„</w:t>
      </w:r>
      <w:r w:rsidR="00FD5223">
        <w:rPr>
          <w:i/>
        </w:rPr>
        <w:t xml:space="preserve">1.2 </w:t>
      </w:r>
      <w:r w:rsidRPr="00C90E6E">
        <w:rPr>
          <w:i/>
        </w:rPr>
        <w:t xml:space="preserve">Pronajímatel přenechává nájemci do užívání nebytové prostory o celkové </w:t>
      </w:r>
      <w:r w:rsidR="00C90E6E">
        <w:rPr>
          <w:i/>
        </w:rPr>
        <w:t>výměře</w:t>
      </w:r>
      <w:r w:rsidRPr="00C90E6E">
        <w:rPr>
          <w:i/>
        </w:rPr>
        <w:t xml:space="preserve"> 489 m</w:t>
      </w:r>
      <w:r w:rsidRPr="00C90E6E">
        <w:rPr>
          <w:i/>
          <w:vertAlign w:val="superscript"/>
        </w:rPr>
        <w:t>2</w:t>
      </w:r>
      <w:r w:rsidR="00C90E6E" w:rsidRPr="00C90E6E">
        <w:rPr>
          <w:i/>
        </w:rPr>
        <w:t xml:space="preserve"> nacházející se v 1. a 2. NP Budovy a ve 2. PP Budovy, a to:</w:t>
      </w:r>
    </w:p>
    <w:p w:rsidR="00C90E6E" w:rsidRPr="00C90E6E" w:rsidRDefault="00C90E6E" w:rsidP="00C90E6E">
      <w:pPr>
        <w:pStyle w:val="Odstavecseseznamem"/>
        <w:numPr>
          <w:ilvl w:val="0"/>
          <w:numId w:val="4"/>
        </w:numPr>
        <w:spacing w:before="0" w:beforeAutospacing="0" w:after="0" w:afterAutospacing="0"/>
        <w:ind w:left="918" w:hanging="357"/>
        <w:rPr>
          <w:rFonts w:ascii="Arial" w:hAnsi="Arial" w:cs="Arial"/>
          <w:i/>
          <w:sz w:val="18"/>
          <w:szCs w:val="18"/>
        </w:rPr>
      </w:pPr>
      <w:r w:rsidRPr="00C90E6E">
        <w:rPr>
          <w:rFonts w:ascii="Arial" w:hAnsi="Arial" w:cs="Arial"/>
          <w:i/>
          <w:sz w:val="18"/>
          <w:szCs w:val="18"/>
        </w:rPr>
        <w:t>Komerční plocha – veřejnost včetně zázemí v 1.NP o výměře 242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C90E6E">
        <w:rPr>
          <w:rFonts w:ascii="Arial" w:hAnsi="Arial" w:cs="Arial"/>
          <w:i/>
          <w:sz w:val="18"/>
          <w:szCs w:val="18"/>
        </w:rPr>
        <w:t>,</w:t>
      </w:r>
    </w:p>
    <w:p w:rsidR="00C90E6E" w:rsidRPr="00C90E6E" w:rsidRDefault="00C90E6E" w:rsidP="00C90E6E">
      <w:pPr>
        <w:pStyle w:val="Odstavecseseznamem"/>
        <w:numPr>
          <w:ilvl w:val="0"/>
          <w:numId w:val="4"/>
        </w:numPr>
        <w:spacing w:before="0" w:beforeAutospacing="0" w:after="0" w:afterAutospacing="0"/>
        <w:ind w:left="918" w:hanging="357"/>
        <w:rPr>
          <w:rFonts w:ascii="Arial" w:hAnsi="Arial" w:cs="Arial"/>
          <w:i/>
          <w:sz w:val="18"/>
          <w:szCs w:val="18"/>
        </w:rPr>
      </w:pPr>
      <w:r w:rsidRPr="00C90E6E">
        <w:rPr>
          <w:rFonts w:ascii="Arial" w:hAnsi="Arial" w:cs="Arial"/>
          <w:i/>
          <w:sz w:val="18"/>
          <w:szCs w:val="18"/>
        </w:rPr>
        <w:t>Kancelářské prostory včetně zázemí ve 2.NP o výměře 164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C90E6E">
        <w:rPr>
          <w:rFonts w:ascii="Arial" w:hAnsi="Arial" w:cs="Arial"/>
          <w:i/>
          <w:sz w:val="18"/>
          <w:szCs w:val="18"/>
        </w:rPr>
        <w:t>,</w:t>
      </w:r>
    </w:p>
    <w:p w:rsidR="00C90E6E" w:rsidRPr="00C90E6E" w:rsidRDefault="00C90E6E" w:rsidP="00C90E6E">
      <w:pPr>
        <w:pStyle w:val="Odstavecseseznamem"/>
        <w:numPr>
          <w:ilvl w:val="0"/>
          <w:numId w:val="4"/>
        </w:numPr>
        <w:spacing w:before="0" w:beforeAutospacing="0" w:after="0" w:afterAutospacing="0"/>
        <w:ind w:left="918" w:hanging="357"/>
        <w:rPr>
          <w:rFonts w:ascii="Arial" w:hAnsi="Arial" w:cs="Arial"/>
          <w:i/>
          <w:sz w:val="18"/>
          <w:szCs w:val="18"/>
        </w:rPr>
      </w:pPr>
      <w:r w:rsidRPr="00C90E6E">
        <w:rPr>
          <w:rFonts w:ascii="Arial" w:hAnsi="Arial" w:cs="Arial"/>
          <w:i/>
          <w:sz w:val="18"/>
          <w:szCs w:val="18"/>
        </w:rPr>
        <w:t>Vedlejší plocha v 1.NP a 2.NP (chodby, sklady, technika) o výměře 46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C90E6E">
        <w:rPr>
          <w:rFonts w:ascii="Arial" w:hAnsi="Arial" w:cs="Arial"/>
          <w:i/>
          <w:sz w:val="18"/>
          <w:szCs w:val="18"/>
        </w:rPr>
        <w:t>,</w:t>
      </w:r>
    </w:p>
    <w:p w:rsidR="00C90E6E" w:rsidRPr="00C90E6E" w:rsidRDefault="00C90E6E" w:rsidP="00C90E6E">
      <w:pPr>
        <w:pStyle w:val="Odstavecseseznamem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90E6E">
        <w:rPr>
          <w:rFonts w:ascii="Arial" w:hAnsi="Arial" w:cs="Arial"/>
          <w:i/>
          <w:sz w:val="18"/>
          <w:szCs w:val="18"/>
        </w:rPr>
        <w:t>Strojovna vzduchotechniky ve 2.PP o výměře 37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>,</w:t>
      </w:r>
    </w:p>
    <w:p w:rsidR="00564ACF" w:rsidRPr="00C90E6E" w:rsidRDefault="00C90E6E" w:rsidP="00C90E6E">
      <w:pPr>
        <w:pStyle w:val="Odstavecseseznamem"/>
        <w:spacing w:before="0" w:beforeAutospacing="0" w:after="0" w:afterAutospacing="0"/>
        <w:ind w:left="5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(dále jen „Předmět nájmu“ nebo „Nebytové prostory“)</w:t>
      </w:r>
      <w:r w:rsidRPr="00C90E6E">
        <w:rPr>
          <w:rFonts w:ascii="Arial" w:hAnsi="Arial" w:cs="Arial"/>
          <w:i/>
          <w:sz w:val="18"/>
          <w:szCs w:val="18"/>
        </w:rPr>
        <w:t>.“</w:t>
      </w:r>
      <w:r w:rsidRPr="00C90E6E">
        <w:rPr>
          <w:rFonts w:ascii="Arial" w:hAnsi="Arial" w:cs="Arial"/>
          <w:sz w:val="18"/>
          <w:szCs w:val="18"/>
        </w:rPr>
        <w:t xml:space="preserve"> </w:t>
      </w:r>
    </w:p>
    <w:p w:rsidR="00C90E6E" w:rsidRDefault="00C90E6E" w:rsidP="00981BC4">
      <w:pPr>
        <w:overflowPunct/>
        <w:ind w:left="567" w:hanging="567"/>
        <w:textAlignment w:val="auto"/>
      </w:pPr>
    </w:p>
    <w:p w:rsidR="00C90E6E" w:rsidRDefault="00564ACF" w:rsidP="00981BC4">
      <w:pPr>
        <w:overflowPunct/>
        <w:ind w:left="567" w:hanging="567"/>
        <w:textAlignment w:val="auto"/>
      </w:pPr>
      <w:r w:rsidRPr="00C90E6E">
        <w:tab/>
      </w:r>
      <w:r w:rsidR="00C90E6E">
        <w:t>Současně se tímto Dodatkem mění Příloha č. 3 Smlouvy – situační plánek, jenž se nahrazuje v plném rozsahu situačním plánkem, který tvoří jako Příloha č. 1 nedílnou součást tohoto Dodatku.</w:t>
      </w:r>
    </w:p>
    <w:p w:rsidR="00C90E6E" w:rsidRDefault="00C90E6E" w:rsidP="00981BC4">
      <w:pPr>
        <w:overflowPunct/>
        <w:ind w:left="567" w:hanging="567"/>
        <w:textAlignment w:val="auto"/>
      </w:pPr>
    </w:p>
    <w:p w:rsidR="00C90E6E" w:rsidRPr="00EB18A2" w:rsidRDefault="00C90E6E" w:rsidP="00981BC4">
      <w:pPr>
        <w:overflowPunct/>
        <w:ind w:left="567" w:hanging="567"/>
        <w:textAlignment w:val="auto"/>
        <w:rPr>
          <w:i/>
        </w:rPr>
      </w:pPr>
      <w:r>
        <w:t>2.2</w:t>
      </w:r>
      <w:r>
        <w:tab/>
        <w:t>Tímto Dodatkem se čl. 3, odst. 3.1 a 3.2 Smlouvy nahrazují tímto n</w:t>
      </w:r>
      <w:r w:rsidRPr="00C90E6E">
        <w:t>ovým zněním:</w:t>
      </w:r>
    </w:p>
    <w:p w:rsidR="00C90E6E" w:rsidRPr="00EB18A2" w:rsidRDefault="00C90E6E" w:rsidP="00C90E6E">
      <w:pPr>
        <w:overflowPunct/>
        <w:ind w:left="567"/>
        <w:textAlignment w:val="auto"/>
        <w:rPr>
          <w:i/>
        </w:rPr>
      </w:pPr>
      <w:r w:rsidRPr="00EB18A2">
        <w:rPr>
          <w:i/>
        </w:rPr>
        <w:t>„3.1 Způsob výpočtu výše nájemného byl dohodou smluvních stran stanoven takto:</w:t>
      </w:r>
    </w:p>
    <w:p w:rsidR="00C90E6E" w:rsidRPr="00EB18A2" w:rsidRDefault="00C90E6E" w:rsidP="00C90E6E">
      <w:pPr>
        <w:pStyle w:val="Odstavecseseznamem"/>
        <w:spacing w:before="0" w:beforeAutospacing="0" w:after="0" w:afterAutospacing="0"/>
        <w:ind w:firstLine="567"/>
        <w:rPr>
          <w:rFonts w:ascii="Arial" w:hAnsi="Arial" w:cs="Arial"/>
          <w:i/>
          <w:sz w:val="18"/>
          <w:szCs w:val="18"/>
        </w:rPr>
      </w:pPr>
      <w:r w:rsidRPr="00EB18A2">
        <w:rPr>
          <w:rFonts w:ascii="Arial" w:hAnsi="Arial" w:cs="Arial"/>
          <w:i/>
          <w:sz w:val="18"/>
          <w:szCs w:val="18"/>
        </w:rPr>
        <w:t xml:space="preserve">a)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nájemné za užívání </w:t>
      </w:r>
      <w:r w:rsidRPr="00EB18A2">
        <w:rPr>
          <w:rFonts w:ascii="Arial" w:hAnsi="Arial" w:cs="Arial"/>
          <w:i/>
          <w:sz w:val="18"/>
          <w:szCs w:val="18"/>
        </w:rPr>
        <w:t xml:space="preserve">1.NP - komerční prostory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o výměře </w:t>
      </w:r>
      <w:r w:rsidRPr="00EB18A2">
        <w:rPr>
          <w:rFonts w:ascii="Arial" w:hAnsi="Arial" w:cs="Arial"/>
          <w:i/>
          <w:sz w:val="18"/>
          <w:szCs w:val="18"/>
        </w:rPr>
        <w:t>242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 xml:space="preserve">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činí </w:t>
      </w:r>
      <w:r w:rsidRPr="00EB18A2">
        <w:rPr>
          <w:rFonts w:ascii="Arial" w:hAnsi="Arial" w:cs="Arial"/>
          <w:i/>
          <w:sz w:val="18"/>
          <w:szCs w:val="18"/>
        </w:rPr>
        <w:t>3</w:t>
      </w:r>
      <w:r w:rsidR="00EB18A2" w:rsidRPr="00EB18A2">
        <w:rPr>
          <w:rFonts w:ascii="Arial" w:hAnsi="Arial" w:cs="Arial"/>
          <w:i/>
          <w:sz w:val="18"/>
          <w:szCs w:val="18"/>
        </w:rPr>
        <w:t>.</w:t>
      </w:r>
      <w:r w:rsidRPr="00EB18A2">
        <w:rPr>
          <w:rFonts w:ascii="Arial" w:hAnsi="Arial" w:cs="Arial"/>
          <w:i/>
          <w:sz w:val="18"/>
          <w:szCs w:val="18"/>
        </w:rPr>
        <w:t>300</w:t>
      </w:r>
      <w:r w:rsidR="00EB18A2" w:rsidRPr="00EB18A2">
        <w:rPr>
          <w:rFonts w:ascii="Arial" w:hAnsi="Arial" w:cs="Arial"/>
          <w:i/>
          <w:sz w:val="18"/>
          <w:szCs w:val="18"/>
        </w:rPr>
        <w:t>,-</w:t>
      </w:r>
      <w:r w:rsidRPr="00EB18A2">
        <w:rPr>
          <w:rFonts w:ascii="Arial" w:hAnsi="Arial" w:cs="Arial"/>
          <w:i/>
          <w:sz w:val="18"/>
          <w:szCs w:val="18"/>
        </w:rPr>
        <w:t xml:space="preserve"> Kč/m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>/rok</w:t>
      </w:r>
      <w:r w:rsidR="00EB18A2">
        <w:rPr>
          <w:rFonts w:ascii="Arial" w:hAnsi="Arial" w:cs="Arial"/>
          <w:i/>
          <w:sz w:val="18"/>
          <w:szCs w:val="18"/>
        </w:rPr>
        <w:t xml:space="preserve"> bez DPH</w:t>
      </w:r>
      <w:r w:rsidR="00EB18A2" w:rsidRPr="00EB18A2">
        <w:rPr>
          <w:rFonts w:ascii="Arial" w:hAnsi="Arial" w:cs="Arial"/>
          <w:i/>
          <w:sz w:val="18"/>
          <w:szCs w:val="18"/>
        </w:rPr>
        <w:t>,</w:t>
      </w:r>
    </w:p>
    <w:p w:rsidR="00C90E6E" w:rsidRPr="00EB18A2" w:rsidRDefault="00C90E6E" w:rsidP="00C90E6E">
      <w:pPr>
        <w:pStyle w:val="Odstavecseseznamem"/>
        <w:spacing w:before="0" w:beforeAutospacing="0" w:after="0" w:afterAutospacing="0"/>
        <w:ind w:firstLine="567"/>
        <w:rPr>
          <w:rFonts w:ascii="Arial" w:hAnsi="Arial" w:cs="Arial"/>
          <w:i/>
          <w:sz w:val="18"/>
          <w:szCs w:val="18"/>
        </w:rPr>
      </w:pPr>
      <w:r w:rsidRPr="00EB18A2">
        <w:rPr>
          <w:rFonts w:ascii="Arial" w:hAnsi="Arial" w:cs="Arial"/>
          <w:i/>
          <w:sz w:val="18"/>
          <w:szCs w:val="18"/>
        </w:rPr>
        <w:t xml:space="preserve">b)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nájemné za užívání </w:t>
      </w:r>
      <w:r w:rsidRPr="00EB18A2">
        <w:rPr>
          <w:rFonts w:ascii="Arial" w:hAnsi="Arial" w:cs="Arial"/>
          <w:i/>
          <w:sz w:val="18"/>
          <w:szCs w:val="18"/>
        </w:rPr>
        <w:t xml:space="preserve">2.NP – provozní prostory 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o výměře </w:t>
      </w:r>
      <w:r w:rsidRPr="00EB18A2">
        <w:rPr>
          <w:rFonts w:ascii="Arial" w:hAnsi="Arial" w:cs="Arial"/>
          <w:i/>
          <w:sz w:val="18"/>
          <w:szCs w:val="18"/>
        </w:rPr>
        <w:t>164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 xml:space="preserve">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činí </w:t>
      </w:r>
      <w:r w:rsidRPr="00EB18A2">
        <w:rPr>
          <w:rFonts w:ascii="Arial" w:hAnsi="Arial" w:cs="Arial"/>
          <w:i/>
          <w:sz w:val="18"/>
          <w:szCs w:val="18"/>
        </w:rPr>
        <w:t>3</w:t>
      </w:r>
      <w:r w:rsidR="00EB18A2" w:rsidRPr="00EB18A2">
        <w:rPr>
          <w:rFonts w:ascii="Arial" w:hAnsi="Arial" w:cs="Arial"/>
          <w:i/>
          <w:sz w:val="18"/>
          <w:szCs w:val="18"/>
        </w:rPr>
        <w:t>.</w:t>
      </w:r>
      <w:r w:rsidRPr="00EB18A2">
        <w:rPr>
          <w:rFonts w:ascii="Arial" w:hAnsi="Arial" w:cs="Arial"/>
          <w:i/>
          <w:sz w:val="18"/>
          <w:szCs w:val="18"/>
        </w:rPr>
        <w:t>000</w:t>
      </w:r>
      <w:r w:rsidR="00EB18A2" w:rsidRPr="00EB18A2">
        <w:rPr>
          <w:rFonts w:ascii="Arial" w:hAnsi="Arial" w:cs="Arial"/>
          <w:i/>
          <w:sz w:val="18"/>
          <w:szCs w:val="18"/>
        </w:rPr>
        <w:t>,-</w:t>
      </w:r>
      <w:r w:rsidRPr="00EB18A2">
        <w:rPr>
          <w:rFonts w:ascii="Arial" w:hAnsi="Arial" w:cs="Arial"/>
          <w:i/>
          <w:sz w:val="18"/>
          <w:szCs w:val="18"/>
        </w:rPr>
        <w:t xml:space="preserve"> Kč/m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>/rok</w:t>
      </w:r>
      <w:r w:rsidR="00EB18A2">
        <w:rPr>
          <w:rFonts w:ascii="Arial" w:hAnsi="Arial" w:cs="Arial"/>
          <w:i/>
          <w:sz w:val="18"/>
          <w:szCs w:val="18"/>
        </w:rPr>
        <w:t xml:space="preserve"> bez DPH</w:t>
      </w:r>
      <w:r w:rsidR="00EB18A2" w:rsidRPr="00EB18A2">
        <w:rPr>
          <w:rFonts w:ascii="Arial" w:hAnsi="Arial" w:cs="Arial"/>
          <w:i/>
          <w:sz w:val="18"/>
          <w:szCs w:val="18"/>
        </w:rPr>
        <w:t>,</w:t>
      </w:r>
    </w:p>
    <w:p w:rsidR="00C90E6E" w:rsidRPr="00EB18A2" w:rsidRDefault="00C90E6E" w:rsidP="00C90E6E">
      <w:pPr>
        <w:pStyle w:val="Odstavecseseznamem"/>
        <w:spacing w:before="0" w:beforeAutospacing="0" w:after="0" w:afterAutospacing="0"/>
        <w:ind w:firstLine="567"/>
        <w:rPr>
          <w:rFonts w:ascii="Arial" w:hAnsi="Arial" w:cs="Arial"/>
          <w:i/>
          <w:sz w:val="18"/>
          <w:szCs w:val="18"/>
        </w:rPr>
      </w:pPr>
      <w:r w:rsidRPr="00EB18A2">
        <w:rPr>
          <w:rFonts w:ascii="Arial" w:hAnsi="Arial" w:cs="Arial"/>
          <w:i/>
          <w:sz w:val="18"/>
          <w:szCs w:val="18"/>
        </w:rPr>
        <w:t xml:space="preserve">c) </w:t>
      </w:r>
      <w:r w:rsidR="00EB18A2" w:rsidRPr="00EB18A2">
        <w:rPr>
          <w:rFonts w:ascii="Arial" w:hAnsi="Arial" w:cs="Arial"/>
          <w:i/>
          <w:sz w:val="18"/>
          <w:szCs w:val="18"/>
        </w:rPr>
        <w:t>nájemné za užívání v</w:t>
      </w:r>
      <w:r w:rsidRPr="00EB18A2">
        <w:rPr>
          <w:rFonts w:ascii="Arial" w:hAnsi="Arial" w:cs="Arial"/>
          <w:i/>
          <w:sz w:val="18"/>
          <w:szCs w:val="18"/>
        </w:rPr>
        <w:t xml:space="preserve">edlejší plochy v 1. a 2.NP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o výměře </w:t>
      </w:r>
      <w:r w:rsidRPr="00EB18A2">
        <w:rPr>
          <w:rFonts w:ascii="Arial" w:hAnsi="Arial" w:cs="Arial"/>
          <w:i/>
          <w:sz w:val="18"/>
          <w:szCs w:val="18"/>
        </w:rPr>
        <w:t>46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 xml:space="preserve">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činí </w:t>
      </w:r>
      <w:r w:rsidRPr="00EB18A2">
        <w:rPr>
          <w:rFonts w:ascii="Arial" w:hAnsi="Arial" w:cs="Arial"/>
          <w:i/>
          <w:sz w:val="18"/>
          <w:szCs w:val="18"/>
        </w:rPr>
        <w:t>800</w:t>
      </w:r>
      <w:r w:rsidR="00EB18A2" w:rsidRPr="00EB18A2">
        <w:rPr>
          <w:rFonts w:ascii="Arial" w:hAnsi="Arial" w:cs="Arial"/>
          <w:i/>
          <w:sz w:val="18"/>
          <w:szCs w:val="18"/>
        </w:rPr>
        <w:t>,-</w:t>
      </w:r>
      <w:r w:rsidRPr="00EB18A2">
        <w:rPr>
          <w:rFonts w:ascii="Arial" w:hAnsi="Arial" w:cs="Arial"/>
          <w:i/>
          <w:sz w:val="18"/>
          <w:szCs w:val="18"/>
        </w:rPr>
        <w:t xml:space="preserve"> Kč/m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>/rok</w:t>
      </w:r>
      <w:r w:rsidR="00EB18A2">
        <w:rPr>
          <w:rFonts w:ascii="Arial" w:hAnsi="Arial" w:cs="Arial"/>
          <w:i/>
          <w:sz w:val="18"/>
          <w:szCs w:val="18"/>
        </w:rPr>
        <w:t xml:space="preserve"> bez DPH</w:t>
      </w:r>
      <w:r w:rsidR="00EB18A2" w:rsidRPr="00EB18A2">
        <w:rPr>
          <w:rFonts w:ascii="Arial" w:hAnsi="Arial" w:cs="Arial"/>
          <w:i/>
          <w:sz w:val="18"/>
          <w:szCs w:val="18"/>
        </w:rPr>
        <w:t>,</w:t>
      </w:r>
    </w:p>
    <w:p w:rsidR="00C90E6E" w:rsidRDefault="00C90E6E" w:rsidP="00C90E6E">
      <w:pPr>
        <w:pStyle w:val="Odstavecseseznamem"/>
        <w:spacing w:before="0" w:beforeAutospacing="0" w:after="0" w:afterAutospacing="0"/>
        <w:ind w:firstLine="567"/>
        <w:rPr>
          <w:rFonts w:ascii="Arial" w:hAnsi="Arial" w:cs="Arial"/>
          <w:i/>
          <w:sz w:val="18"/>
          <w:szCs w:val="18"/>
        </w:rPr>
      </w:pPr>
      <w:r w:rsidRPr="00EB18A2">
        <w:rPr>
          <w:rFonts w:ascii="Arial" w:hAnsi="Arial" w:cs="Arial"/>
          <w:i/>
          <w:sz w:val="18"/>
          <w:szCs w:val="18"/>
        </w:rPr>
        <w:t xml:space="preserve">d) </w:t>
      </w:r>
      <w:r w:rsidR="00EB18A2" w:rsidRPr="00EB18A2">
        <w:rPr>
          <w:rFonts w:ascii="Arial" w:hAnsi="Arial" w:cs="Arial"/>
          <w:i/>
          <w:sz w:val="18"/>
          <w:szCs w:val="18"/>
        </w:rPr>
        <w:t>nájemné za užívání s</w:t>
      </w:r>
      <w:r w:rsidRPr="00EB18A2">
        <w:rPr>
          <w:rFonts w:ascii="Arial" w:hAnsi="Arial" w:cs="Arial"/>
          <w:i/>
          <w:sz w:val="18"/>
          <w:szCs w:val="18"/>
        </w:rPr>
        <w:t>trojovn</w:t>
      </w:r>
      <w:r w:rsidR="00EB18A2" w:rsidRPr="00EB18A2">
        <w:rPr>
          <w:rFonts w:ascii="Arial" w:hAnsi="Arial" w:cs="Arial"/>
          <w:i/>
          <w:sz w:val="18"/>
          <w:szCs w:val="18"/>
        </w:rPr>
        <w:t>y</w:t>
      </w:r>
      <w:r w:rsidRPr="00EB18A2">
        <w:rPr>
          <w:rFonts w:ascii="Arial" w:hAnsi="Arial" w:cs="Arial"/>
          <w:i/>
          <w:sz w:val="18"/>
          <w:szCs w:val="18"/>
        </w:rPr>
        <w:t xml:space="preserve"> vzduchotechniky ve 2.PP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 o výměře </w:t>
      </w:r>
      <w:r w:rsidRPr="00EB18A2">
        <w:rPr>
          <w:rFonts w:ascii="Arial" w:hAnsi="Arial" w:cs="Arial"/>
          <w:i/>
          <w:sz w:val="18"/>
          <w:szCs w:val="18"/>
        </w:rPr>
        <w:t>37 m</w:t>
      </w:r>
      <w:r w:rsidRPr="00EB18A2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EB18A2">
        <w:rPr>
          <w:rFonts w:ascii="Arial" w:hAnsi="Arial" w:cs="Arial"/>
          <w:i/>
          <w:sz w:val="18"/>
          <w:szCs w:val="18"/>
        </w:rPr>
        <w:t xml:space="preserve"> </w:t>
      </w:r>
      <w:r w:rsidR="00EB18A2" w:rsidRPr="00EB18A2">
        <w:rPr>
          <w:rFonts w:ascii="Arial" w:hAnsi="Arial" w:cs="Arial"/>
          <w:i/>
          <w:sz w:val="18"/>
          <w:szCs w:val="18"/>
        </w:rPr>
        <w:t xml:space="preserve">činí </w:t>
      </w:r>
      <w:r w:rsidRPr="00EB18A2">
        <w:rPr>
          <w:rFonts w:ascii="Arial" w:hAnsi="Arial" w:cs="Arial"/>
          <w:i/>
          <w:sz w:val="18"/>
          <w:szCs w:val="18"/>
        </w:rPr>
        <w:t>500</w:t>
      </w:r>
      <w:r w:rsidR="00EB18A2" w:rsidRPr="00EB18A2">
        <w:rPr>
          <w:rFonts w:ascii="Arial" w:hAnsi="Arial" w:cs="Arial"/>
          <w:i/>
          <w:sz w:val="18"/>
          <w:szCs w:val="18"/>
        </w:rPr>
        <w:t>,-</w:t>
      </w:r>
      <w:r w:rsidRPr="00EB18A2">
        <w:rPr>
          <w:rFonts w:ascii="Arial" w:hAnsi="Arial" w:cs="Arial"/>
          <w:i/>
          <w:sz w:val="18"/>
          <w:szCs w:val="18"/>
        </w:rPr>
        <w:t xml:space="preserve"> Kč/m2/rok</w:t>
      </w:r>
      <w:r w:rsidR="00EB18A2">
        <w:rPr>
          <w:rFonts w:ascii="Arial" w:hAnsi="Arial" w:cs="Arial"/>
          <w:i/>
          <w:sz w:val="18"/>
          <w:szCs w:val="18"/>
        </w:rPr>
        <w:t xml:space="preserve"> bez DPH</w:t>
      </w:r>
      <w:r w:rsidR="00EB18A2" w:rsidRPr="00EB18A2">
        <w:rPr>
          <w:rFonts w:ascii="Arial" w:hAnsi="Arial" w:cs="Arial"/>
          <w:i/>
          <w:sz w:val="18"/>
          <w:szCs w:val="18"/>
        </w:rPr>
        <w:t>.</w:t>
      </w:r>
    </w:p>
    <w:p w:rsidR="00EB18A2" w:rsidRDefault="00EB18A2" w:rsidP="00EB18A2">
      <w:pPr>
        <w:pStyle w:val="Odstavecseseznamem"/>
        <w:spacing w:before="0" w:beforeAutospacing="0" w:after="0" w:afterAutospacing="0"/>
        <w:ind w:left="567"/>
        <w:rPr>
          <w:rFonts w:ascii="Arial" w:hAnsi="Arial" w:cs="Arial"/>
          <w:i/>
          <w:sz w:val="18"/>
          <w:szCs w:val="18"/>
        </w:rPr>
      </w:pPr>
    </w:p>
    <w:p w:rsidR="00EB18A2" w:rsidRPr="00EB18A2" w:rsidRDefault="00EB18A2" w:rsidP="00EB18A2">
      <w:pPr>
        <w:pStyle w:val="Odstavecseseznamem"/>
        <w:spacing w:before="0" w:beforeAutospacing="0" w:after="0" w:afterAutospacing="0"/>
        <w:ind w:left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3.2 Úhrada za nájem Nebytových prostor byla na základě skutečností uvedených v bodě 3.1 stanovena celkovou částkou 1,345.900,- Kč/rok bez DPH (slovy: jedenmiliontřistačtyřicetpěttisícdevětset korun českých) za celý Předmět nájmu.“ </w:t>
      </w:r>
    </w:p>
    <w:p w:rsidR="00564ACF" w:rsidRPr="00C90E6E" w:rsidRDefault="00C90E6E" w:rsidP="00C90E6E">
      <w:pPr>
        <w:overflowPunct/>
        <w:ind w:left="567"/>
        <w:textAlignment w:val="auto"/>
      </w:pPr>
      <w:r w:rsidRPr="00C90E6E">
        <w:t xml:space="preserve"> </w:t>
      </w:r>
      <w:r w:rsidR="00564ACF" w:rsidRPr="00C90E6E">
        <w:t xml:space="preserve"> </w:t>
      </w:r>
    </w:p>
    <w:p w:rsidR="00564ACF" w:rsidRPr="00C90E6E" w:rsidRDefault="00564ACF" w:rsidP="00981BC4">
      <w:pPr>
        <w:overflowPunct/>
        <w:ind w:left="567" w:hanging="567"/>
        <w:textAlignment w:val="auto"/>
      </w:pPr>
    </w:p>
    <w:p w:rsidR="009F135A" w:rsidRDefault="00564ACF" w:rsidP="00981BC4">
      <w:pPr>
        <w:overflowPunct/>
        <w:ind w:left="567" w:hanging="567"/>
        <w:textAlignment w:val="auto"/>
      </w:pPr>
      <w:r>
        <w:rPr>
          <w:rStyle w:val="StylTun"/>
          <w:b w:val="0"/>
        </w:rPr>
        <w:t>2.2</w:t>
      </w:r>
      <w:r>
        <w:rPr>
          <w:rStyle w:val="StylTun"/>
          <w:b w:val="0"/>
        </w:rPr>
        <w:tab/>
      </w:r>
      <w:r w:rsidR="009F135A">
        <w:rPr>
          <w:rStyle w:val="StylTun"/>
          <w:b w:val="0"/>
        </w:rPr>
        <w:t>Tímto Dodatkem se ust. čl.</w:t>
      </w:r>
      <w:r w:rsidR="00A100D7">
        <w:rPr>
          <w:rStyle w:val="StylTun"/>
          <w:b w:val="0"/>
        </w:rPr>
        <w:t>4</w:t>
      </w:r>
      <w:r w:rsidR="009F135A">
        <w:rPr>
          <w:rStyle w:val="StylTun"/>
          <w:b w:val="0"/>
        </w:rPr>
        <w:t xml:space="preserve">., odst. </w:t>
      </w:r>
      <w:r w:rsidR="00A100D7">
        <w:rPr>
          <w:rStyle w:val="StylTun"/>
          <w:b w:val="0"/>
        </w:rPr>
        <w:t>4</w:t>
      </w:r>
      <w:r w:rsidR="009F135A">
        <w:rPr>
          <w:rStyle w:val="StylTun"/>
          <w:b w:val="0"/>
        </w:rPr>
        <w:t>.1. Smlouvy nahrazuje tímto novým zněním:</w:t>
      </w:r>
    </w:p>
    <w:p w:rsidR="00981BC4" w:rsidRDefault="009F135A" w:rsidP="00981BC4">
      <w:pPr>
        <w:overflowPunct/>
        <w:ind w:left="567"/>
        <w:textAlignment w:val="auto"/>
        <w:rPr>
          <w:i/>
        </w:rPr>
      </w:pPr>
      <w:r w:rsidRPr="006079B0">
        <w:rPr>
          <w:i/>
        </w:rPr>
        <w:t xml:space="preserve"> </w:t>
      </w:r>
      <w:r w:rsidR="00981BC4" w:rsidRPr="006079B0">
        <w:rPr>
          <w:i/>
        </w:rPr>
        <w:t>„</w:t>
      </w:r>
      <w:r w:rsidR="00A100D7">
        <w:rPr>
          <w:i/>
        </w:rPr>
        <w:t>4</w:t>
      </w:r>
      <w:r w:rsidR="00981BC4" w:rsidRPr="006079B0">
        <w:rPr>
          <w:i/>
        </w:rPr>
        <w:t xml:space="preserve">.1 Tato Smlouva se uzavírá na dobu </w:t>
      </w:r>
      <w:r w:rsidR="00981BC4" w:rsidRPr="006079B0">
        <w:rPr>
          <w:i/>
          <w:u w:val="single"/>
        </w:rPr>
        <w:t>určitou</w:t>
      </w:r>
      <w:r w:rsidR="00981BC4" w:rsidRPr="006079B0">
        <w:rPr>
          <w:i/>
        </w:rPr>
        <w:t xml:space="preserve"> do 3</w:t>
      </w:r>
      <w:r w:rsidR="008846D2" w:rsidRPr="006079B0">
        <w:rPr>
          <w:i/>
        </w:rPr>
        <w:t>0</w:t>
      </w:r>
      <w:r w:rsidR="00981BC4" w:rsidRPr="006079B0">
        <w:rPr>
          <w:i/>
        </w:rPr>
        <w:t>.</w:t>
      </w:r>
      <w:r>
        <w:rPr>
          <w:i/>
        </w:rPr>
        <w:t>6</w:t>
      </w:r>
      <w:r w:rsidR="00981BC4" w:rsidRPr="006079B0">
        <w:rPr>
          <w:i/>
        </w:rPr>
        <w:t>.202</w:t>
      </w:r>
      <w:r>
        <w:rPr>
          <w:i/>
        </w:rPr>
        <w:t>2</w:t>
      </w:r>
      <w:r w:rsidR="00EB18A2">
        <w:rPr>
          <w:i/>
        </w:rPr>
        <w:t>.</w:t>
      </w:r>
      <w:r w:rsidR="00981BC4" w:rsidRPr="006079B0">
        <w:rPr>
          <w:i/>
        </w:rPr>
        <w:t>“</w:t>
      </w:r>
    </w:p>
    <w:p w:rsidR="00EB18A2" w:rsidRDefault="00EB18A2" w:rsidP="00981BC4">
      <w:pPr>
        <w:overflowPunct/>
        <w:ind w:left="567"/>
        <w:textAlignment w:val="auto"/>
        <w:rPr>
          <w:i/>
        </w:rPr>
      </w:pPr>
    </w:p>
    <w:p w:rsidR="00B22D5C" w:rsidRDefault="00B22D5C" w:rsidP="00B22D5C">
      <w:pPr>
        <w:overflowPunct/>
        <w:ind w:left="567" w:hanging="567"/>
        <w:textAlignment w:val="auto"/>
      </w:pPr>
      <w:r>
        <w:t>2.</w:t>
      </w:r>
      <w:r w:rsidR="00564ACF">
        <w:t>3</w:t>
      </w:r>
      <w:r w:rsidR="00BC7E6C">
        <w:t xml:space="preserve"> </w:t>
      </w:r>
      <w:r>
        <w:tab/>
      </w:r>
      <w:r>
        <w:rPr>
          <w:rStyle w:val="StylTun"/>
          <w:b w:val="0"/>
        </w:rPr>
        <w:t>Tímto Dodatkem se ust. čl.4., odst. 4.2. Smlouvy nahrazuje tímto novým zněním:</w:t>
      </w:r>
    </w:p>
    <w:p w:rsidR="00D54A4A" w:rsidRPr="00B22D5C" w:rsidRDefault="00B22D5C" w:rsidP="00B22D5C">
      <w:pPr>
        <w:overflowPunct/>
        <w:ind w:left="567"/>
        <w:textAlignment w:val="auto"/>
        <w:rPr>
          <w:i/>
          <w:highlight w:val="yellow"/>
        </w:rPr>
      </w:pPr>
      <w:r w:rsidRPr="00B22D5C">
        <w:t xml:space="preserve"> </w:t>
      </w:r>
      <w:r w:rsidRPr="00B22D5C">
        <w:rPr>
          <w:i/>
        </w:rPr>
        <w:t xml:space="preserve">„4.2 </w:t>
      </w:r>
      <w:r w:rsidR="00D54A4A" w:rsidRPr="00B22D5C">
        <w:rPr>
          <w:i/>
        </w:rPr>
        <w:t xml:space="preserve">Smluvní strany sjednávají, že v případě, kdy bude Nájemce dodržovat veškeré povinnosti, které pro něj vyplývají z této Smlouvy a obecně závazných právních předpisů, má Nájemce právo na prodloužení této Smlouvy nejméně o 6 měsíců a nejvíce o 5 let, a to za stejných podmínek sjednaných v této Smlouvě. Právo na prodloužení této Smlouvy musí Nájemce uplatnit tak, že Pronajímateli nejpozději 6 měsíců před skončením doby nájmu oznámí písemně doporučeným dopisem, že využívá tohoto svého práva, s uvedením doby, o kterou se Smlouva má prodloužit. Doručením tohoto oznámení se nájem podle této Smlouvy prodlužuje o dobu, kterou Nájemce v písemném oznámení (v souladu s první větou druhé části tohoto odst. </w:t>
      </w:r>
      <w:r>
        <w:rPr>
          <w:i/>
        </w:rPr>
        <w:t>4</w:t>
      </w:r>
      <w:r w:rsidR="00D54A4A" w:rsidRPr="00B22D5C">
        <w:rPr>
          <w:i/>
        </w:rPr>
        <w:t>.</w:t>
      </w:r>
      <w:r>
        <w:rPr>
          <w:i/>
        </w:rPr>
        <w:t>2</w:t>
      </w:r>
      <w:r w:rsidR="00D54A4A" w:rsidRPr="00B22D5C">
        <w:rPr>
          <w:i/>
        </w:rPr>
        <w:t xml:space="preserve"> Smlouvy) uvede. Nájemce má právo na prodloužení této Smlouvy i opakovaně, avšak maximálně </w:t>
      </w:r>
      <w:r w:rsidRPr="00B22D5C">
        <w:rPr>
          <w:i/>
        </w:rPr>
        <w:t>do 30.06.2027.“</w:t>
      </w:r>
      <w:r w:rsidR="00D54A4A" w:rsidRPr="00B22D5C">
        <w:rPr>
          <w:i/>
        </w:rPr>
        <w:t xml:space="preserve"> </w:t>
      </w:r>
    </w:p>
    <w:p w:rsidR="00D54A4A" w:rsidRPr="001A4627" w:rsidRDefault="00D54A4A" w:rsidP="00D54A4A">
      <w:pPr>
        <w:ind w:left="567"/>
        <w:rPr>
          <w:b/>
          <w:bCs/>
          <w:i/>
          <w:iCs/>
          <w:color w:val="0000FF"/>
          <w:sz w:val="16"/>
          <w:szCs w:val="16"/>
        </w:rPr>
      </w:pPr>
    </w:p>
    <w:p w:rsidR="00DE560A" w:rsidRPr="002F00F8" w:rsidRDefault="00DE560A">
      <w:pPr>
        <w:rPr>
          <w:b/>
          <w:bCs/>
          <w:sz w:val="20"/>
          <w:szCs w:val="20"/>
        </w:rPr>
      </w:pPr>
    </w:p>
    <w:p w:rsidR="001D1DEB" w:rsidRPr="002F00F8" w:rsidRDefault="00F70C3A">
      <w:pPr>
        <w:rPr>
          <w:b/>
          <w:bCs/>
        </w:rPr>
      </w:pPr>
      <w:r w:rsidRPr="002F00F8">
        <w:rPr>
          <w:b/>
          <w:bCs/>
        </w:rPr>
        <w:t>3</w:t>
      </w:r>
      <w:r w:rsidR="001D1DEB" w:rsidRPr="002F00F8">
        <w:rPr>
          <w:b/>
          <w:bCs/>
        </w:rPr>
        <w:t xml:space="preserve">. </w:t>
      </w:r>
      <w:r w:rsidRPr="002F00F8">
        <w:rPr>
          <w:b/>
          <w:bCs/>
        </w:rPr>
        <w:tab/>
      </w:r>
      <w:r w:rsidR="001D1DEB" w:rsidRPr="002F00F8">
        <w:rPr>
          <w:b/>
          <w:bCs/>
        </w:rPr>
        <w:t>Závěrečná ustanovení</w:t>
      </w:r>
    </w:p>
    <w:p w:rsidR="001D1DEB" w:rsidRPr="002F00F8" w:rsidRDefault="001D1DEB">
      <w:pPr>
        <w:rPr>
          <w:b/>
          <w:bCs/>
          <w:i/>
          <w:iCs/>
        </w:rPr>
      </w:pPr>
    </w:p>
    <w:p w:rsidR="0019632E" w:rsidRPr="002F00F8" w:rsidRDefault="00F70C3A">
      <w:r w:rsidRPr="002F00F8">
        <w:t>3</w:t>
      </w:r>
      <w:r w:rsidR="0019632E" w:rsidRPr="002F00F8">
        <w:t>.1</w:t>
      </w:r>
      <w:r w:rsidR="0019632E" w:rsidRPr="002F00F8">
        <w:tab/>
        <w:t>Ostatní ustanovení Smlouvy zůstávají tímto Dodatkem nedotčena.</w:t>
      </w:r>
    </w:p>
    <w:p w:rsidR="007F78E4" w:rsidRDefault="001C09D2" w:rsidP="007F78E4">
      <w:pPr>
        <w:widowControl w:val="0"/>
        <w:ind w:left="567" w:hanging="567"/>
      </w:pPr>
      <w:r w:rsidRPr="002F00F8">
        <w:t xml:space="preserve">  </w:t>
      </w:r>
      <w:r w:rsidRPr="002F00F8">
        <w:tab/>
      </w:r>
    </w:p>
    <w:p w:rsidR="007F78E4" w:rsidRDefault="007F78E4" w:rsidP="007F78E4">
      <w:pPr>
        <w:widowControl w:val="0"/>
        <w:ind w:left="567"/>
      </w:pPr>
      <w:r w:rsidRPr="007F78E4">
        <w:t xml:space="preserve">Nájemce bere na vědomí, že </w:t>
      </w:r>
      <w:r>
        <w:t>P</w:t>
      </w:r>
      <w:r w:rsidRPr="007F78E4">
        <w:t xml:space="preserve">ronajímatel je povinnou osobou dle zákona č. 340/2015 Sb., o registru smluv, ve znění pozdějších předpisů, a souhlasí s tím, že text </w:t>
      </w:r>
      <w:r>
        <w:t>tohoto</w:t>
      </w:r>
      <w:r w:rsidRPr="007F78E4">
        <w:t xml:space="preserve"> </w:t>
      </w:r>
      <w:r>
        <w:t>Dodatku</w:t>
      </w:r>
      <w:r w:rsidRPr="007F78E4">
        <w:t xml:space="preserve"> bude zveřejněn prostřednictvím </w:t>
      </w:r>
      <w:r>
        <w:t>P</w:t>
      </w:r>
      <w:r w:rsidRPr="007F78E4">
        <w:t xml:space="preserve">ronajímatele v registru smluv. </w:t>
      </w:r>
    </w:p>
    <w:p w:rsidR="007F78E4" w:rsidRDefault="007F78E4" w:rsidP="007F78E4">
      <w:pPr>
        <w:pStyle w:val="strukturalnku"/>
        <w:ind w:firstLine="0"/>
      </w:pPr>
    </w:p>
    <w:p w:rsidR="001C09D2" w:rsidRPr="002F00F8" w:rsidRDefault="001C09D2" w:rsidP="007F78E4">
      <w:pPr>
        <w:pStyle w:val="strukturalnku"/>
        <w:ind w:firstLine="0"/>
      </w:pPr>
      <w:r w:rsidRPr="002F00F8">
        <w:t xml:space="preserve">Tento Dodatek nabývá </w:t>
      </w:r>
      <w:r w:rsidR="00EB18A2">
        <w:t xml:space="preserve">platnosti dnem jeho uzavření a </w:t>
      </w:r>
      <w:r w:rsidRPr="002F00F8">
        <w:t>účinnosti dnem</w:t>
      </w:r>
      <w:r w:rsidR="00392D46">
        <w:t xml:space="preserve"> </w:t>
      </w:r>
      <w:r w:rsidR="00EB18A2">
        <w:t>jeho uveřejnění v registru smluv.</w:t>
      </w:r>
    </w:p>
    <w:p w:rsidR="00D00B7C" w:rsidRPr="002F00F8" w:rsidRDefault="00D00B7C"/>
    <w:p w:rsidR="007F78E4" w:rsidRPr="002F00F8" w:rsidRDefault="00F70C3A" w:rsidP="007F78E4">
      <w:pPr>
        <w:ind w:left="567" w:hanging="567"/>
      </w:pPr>
      <w:r w:rsidRPr="002F00F8">
        <w:t>3</w:t>
      </w:r>
      <w:r w:rsidR="00D00B7C" w:rsidRPr="002F00F8">
        <w:t>.2</w:t>
      </w:r>
      <w:r w:rsidR="00D00B7C" w:rsidRPr="002F00F8">
        <w:tab/>
        <w:t>Pokud tento Dodatek obsahuje pojmy se začátečními velkými písmeny, jejichž obsah není definován v</w:t>
      </w:r>
      <w:r w:rsidR="00120A6F" w:rsidRPr="002F00F8">
        <w:t> </w:t>
      </w:r>
      <w:r w:rsidR="00D00B7C" w:rsidRPr="002F00F8">
        <w:t>tomto Dodatku, budou pro definici těchto pojmů použity definice použité ve Smlouvě.</w:t>
      </w:r>
    </w:p>
    <w:p w:rsidR="007F78E4" w:rsidRPr="002F00F8" w:rsidRDefault="007F78E4" w:rsidP="007F78E4">
      <w:pPr>
        <w:rPr>
          <w:b/>
          <w:bCs/>
          <w:i/>
          <w:iCs/>
        </w:rPr>
      </w:pPr>
    </w:p>
    <w:p w:rsidR="00EC2587" w:rsidRDefault="00F70C3A" w:rsidP="00FD5223">
      <w:pPr>
        <w:ind w:left="567" w:hanging="567"/>
      </w:pPr>
      <w:r w:rsidRPr="002F00F8">
        <w:t>3</w:t>
      </w:r>
      <w:r w:rsidR="001D1DEB" w:rsidRPr="002F00F8">
        <w:t>.</w:t>
      </w:r>
      <w:r w:rsidR="001C09D2" w:rsidRPr="002F00F8">
        <w:t>3</w:t>
      </w:r>
      <w:r w:rsidR="001D1DEB" w:rsidRPr="002F00F8">
        <w:t xml:space="preserve"> </w:t>
      </w:r>
      <w:r w:rsidR="0019632E" w:rsidRPr="002F00F8">
        <w:tab/>
      </w:r>
      <w:r w:rsidR="00EC2587" w:rsidRPr="002F00F8">
        <w:t xml:space="preserve">Tento Dodatek je sepsán ve </w:t>
      </w:r>
      <w:r w:rsidR="00981BC4">
        <w:t>dvou</w:t>
      </w:r>
      <w:r w:rsidR="00EC2587" w:rsidRPr="002F00F8">
        <w:t xml:space="preserve"> stejnopisech s platností originálu, přičemž každá Smluvní strana obdrží po </w:t>
      </w:r>
      <w:r w:rsidR="00981BC4">
        <w:t>jednom stejnopise</w:t>
      </w:r>
      <w:r w:rsidR="00EC2587" w:rsidRPr="002F00F8">
        <w:t xml:space="preserve">. </w:t>
      </w:r>
    </w:p>
    <w:p w:rsidR="007F78E4" w:rsidRDefault="007F78E4" w:rsidP="006575F8">
      <w:pPr>
        <w:widowControl w:val="0"/>
        <w:ind w:left="567" w:hanging="567"/>
      </w:pPr>
    </w:p>
    <w:p w:rsidR="006575F8" w:rsidRDefault="006575F8" w:rsidP="006575F8">
      <w:pPr>
        <w:widowControl w:val="0"/>
        <w:ind w:left="567" w:hanging="567"/>
      </w:pPr>
      <w:r>
        <w:t xml:space="preserve">3.4    </w:t>
      </w:r>
      <w:r w:rsidR="00F84144">
        <w:t xml:space="preserve"> </w:t>
      </w:r>
      <w:r>
        <w:t>Smluvní strany prohlašují, že si t</w:t>
      </w:r>
      <w:r w:rsidR="003D3EB0">
        <w:t>en</w:t>
      </w:r>
      <w:r>
        <w:t xml:space="preserve">to </w:t>
      </w:r>
      <w:r w:rsidR="003D3EB0">
        <w:t>Dodatek</w:t>
      </w:r>
      <w:r>
        <w:t xml:space="preserve"> před je</w:t>
      </w:r>
      <w:r w:rsidR="003D3EB0">
        <w:t>ho</w:t>
      </w:r>
      <w:r>
        <w:t xml:space="preserve"> podpisem přečetly a že </w:t>
      </w:r>
      <w:r w:rsidR="003D3EB0">
        <w:t xml:space="preserve">Dodatek </w:t>
      </w:r>
      <w:r>
        <w:t>uzavřely po vzájemném projednání podle jejich svobodné a pravé vůle, určitě, vážně a srozumitelně.</w:t>
      </w:r>
    </w:p>
    <w:p w:rsidR="00EB18A2" w:rsidRDefault="00EB18A2" w:rsidP="006575F8">
      <w:pPr>
        <w:widowControl w:val="0"/>
        <w:ind w:left="567" w:hanging="567"/>
      </w:pPr>
    </w:p>
    <w:p w:rsidR="00EB18A2" w:rsidRPr="00204766" w:rsidRDefault="00EB18A2" w:rsidP="006575F8">
      <w:pPr>
        <w:widowControl w:val="0"/>
        <w:ind w:left="567" w:hanging="567"/>
      </w:pPr>
      <w:r w:rsidRPr="00204766">
        <w:t>3.5</w:t>
      </w:r>
      <w:r w:rsidRPr="00204766">
        <w:tab/>
        <w:t>Uzavření tohoto Dodatku bylo schváleno rozhodnutí</w:t>
      </w:r>
      <w:r w:rsidR="00F84144" w:rsidRPr="00204766">
        <w:t>m</w:t>
      </w:r>
      <w:r w:rsidRPr="00204766">
        <w:t xml:space="preserve"> </w:t>
      </w:r>
      <w:r w:rsidR="003D3EB0" w:rsidRPr="00204766">
        <w:t>Pronajímatele (</w:t>
      </w:r>
      <w:r w:rsidRPr="00204766">
        <w:t>R</w:t>
      </w:r>
      <w:r w:rsidR="003D3EB0" w:rsidRPr="00204766">
        <w:t xml:space="preserve">ada </w:t>
      </w:r>
      <w:r w:rsidRPr="00204766">
        <w:t>M</w:t>
      </w:r>
      <w:r w:rsidR="003D3EB0" w:rsidRPr="00204766">
        <w:t>ěstskéh</w:t>
      </w:r>
      <w:r w:rsidR="001843D4" w:rsidRPr="00204766">
        <w:t>o</w:t>
      </w:r>
      <w:r w:rsidR="003D3EB0" w:rsidRPr="00204766">
        <w:t xml:space="preserve"> </w:t>
      </w:r>
      <w:r w:rsidRPr="00204766">
        <w:t>O</w:t>
      </w:r>
      <w:r w:rsidR="003D3EB0" w:rsidRPr="00204766">
        <w:t>bvodu</w:t>
      </w:r>
      <w:r w:rsidRPr="00204766">
        <w:t xml:space="preserve"> Plzeň 2 – Slovany</w:t>
      </w:r>
      <w:r w:rsidR="0033780E" w:rsidRPr="00204766">
        <w:t>)</w:t>
      </w:r>
      <w:r w:rsidRPr="00204766">
        <w:t xml:space="preserve"> č. ............. ze dne </w:t>
      </w:r>
      <w:r w:rsidR="00204766" w:rsidRPr="00204766">
        <w:t>17. 12. 2018</w:t>
      </w:r>
      <w:r w:rsidRPr="00204766">
        <w:t xml:space="preserve">. </w:t>
      </w:r>
    </w:p>
    <w:p w:rsidR="007F78E4" w:rsidRPr="00204766" w:rsidRDefault="007F78E4" w:rsidP="006575F8">
      <w:pPr>
        <w:widowControl w:val="0"/>
        <w:ind w:left="567" w:hanging="567"/>
      </w:pPr>
    </w:p>
    <w:p w:rsidR="00F84144" w:rsidRDefault="00F84144" w:rsidP="006575F8">
      <w:pPr>
        <w:widowControl w:val="0"/>
        <w:ind w:left="567" w:hanging="567"/>
      </w:pPr>
      <w:r w:rsidRPr="00204766">
        <w:t>3.6</w:t>
      </w:r>
      <w:r w:rsidR="00FD5223" w:rsidRPr="00204766">
        <w:tab/>
      </w:r>
      <w:r w:rsidRPr="00204766">
        <w:t xml:space="preserve">Uveřejnění </w:t>
      </w:r>
      <w:r w:rsidR="003D3EB0" w:rsidRPr="00204766">
        <w:t xml:space="preserve">tohoto </w:t>
      </w:r>
      <w:r w:rsidR="007F78E4" w:rsidRPr="00204766">
        <w:t>Dodatku</w:t>
      </w:r>
      <w:r w:rsidR="007F78E4" w:rsidRPr="00F84144">
        <w:t xml:space="preserve"> </w:t>
      </w:r>
      <w:r w:rsidRPr="00F84144">
        <w:t xml:space="preserve">v registru smluv zajistí </w:t>
      </w:r>
      <w:r w:rsidR="007F78E4">
        <w:t>P</w:t>
      </w:r>
      <w:r w:rsidRPr="00F84144">
        <w:t>ronajímatel</w:t>
      </w:r>
      <w:r>
        <w:t>.</w:t>
      </w:r>
    </w:p>
    <w:p w:rsidR="006575F8" w:rsidRPr="002F00F8" w:rsidRDefault="006575F8" w:rsidP="00FD1E7D">
      <w:pPr>
        <w:spacing w:before="120"/>
        <w:ind w:left="567" w:hanging="567"/>
      </w:pPr>
    </w:p>
    <w:p w:rsidR="0019632E" w:rsidRPr="002F00F8" w:rsidRDefault="00981BC4" w:rsidP="00981BC4">
      <w:r w:rsidRPr="002F00F8">
        <w:t xml:space="preserve"> </w:t>
      </w:r>
    </w:p>
    <w:p w:rsidR="0019632E" w:rsidRPr="002F00F8" w:rsidRDefault="0019632E">
      <w:pPr>
        <w:tabs>
          <w:tab w:val="left" w:pos="5103"/>
        </w:tabs>
      </w:pPr>
    </w:p>
    <w:p w:rsidR="0019632E" w:rsidRPr="002F00F8" w:rsidRDefault="0019632E">
      <w:pPr>
        <w:tabs>
          <w:tab w:val="left" w:pos="5103"/>
        </w:tabs>
      </w:pPr>
    </w:p>
    <w:p w:rsidR="001D1DEB" w:rsidRPr="002F00F8" w:rsidRDefault="001D1DEB">
      <w:pPr>
        <w:tabs>
          <w:tab w:val="left" w:pos="5103"/>
        </w:tabs>
      </w:pPr>
      <w:r w:rsidRPr="002F00F8">
        <w:t xml:space="preserve">V </w:t>
      </w:r>
      <w:r w:rsidR="00981BC4">
        <w:t>Praze</w:t>
      </w:r>
      <w:r w:rsidRPr="002F00F8">
        <w:t xml:space="preserve"> dne </w:t>
      </w:r>
      <w:r w:rsidR="00C96184" w:rsidRPr="002F00F8"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1C09D2" w:rsidRPr="002F00F8">
        <w:instrText xml:space="preserve"> FORMTEXT </w:instrText>
      </w:r>
      <w:r w:rsidR="00C96184" w:rsidRPr="002F00F8">
        <w:fldChar w:fldCharType="separate"/>
      </w:r>
      <w:r w:rsidR="001C09D2" w:rsidRPr="002F00F8">
        <w:t>_____________</w:t>
      </w:r>
      <w:r w:rsidR="00C96184" w:rsidRPr="002F00F8">
        <w:fldChar w:fldCharType="end"/>
      </w:r>
      <w:r w:rsidRPr="002F00F8">
        <w:tab/>
        <w:t xml:space="preserve">V </w:t>
      </w:r>
      <w:r w:rsidR="009F135A">
        <w:t>Plzni</w:t>
      </w:r>
      <w:r w:rsidRPr="002F00F8">
        <w:t xml:space="preserve"> dne </w:t>
      </w:r>
      <w:r w:rsidR="00C96184" w:rsidRPr="002F00F8"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1C09D2" w:rsidRPr="002F00F8">
        <w:instrText xml:space="preserve"> FORMTEXT </w:instrText>
      </w:r>
      <w:r w:rsidR="00C96184" w:rsidRPr="002F00F8">
        <w:fldChar w:fldCharType="separate"/>
      </w:r>
      <w:r w:rsidR="001C09D2" w:rsidRPr="002F00F8">
        <w:t>_____________</w:t>
      </w:r>
      <w:r w:rsidR="00C96184" w:rsidRPr="002F00F8">
        <w:fldChar w:fldCharType="end"/>
      </w:r>
    </w:p>
    <w:p w:rsidR="001D1DEB" w:rsidRPr="002F00F8" w:rsidRDefault="001D1DEB">
      <w:pPr>
        <w:tabs>
          <w:tab w:val="left" w:pos="5103"/>
        </w:tabs>
        <w:rPr>
          <w:iCs/>
        </w:rPr>
      </w:pPr>
    </w:p>
    <w:p w:rsidR="001D1DEB" w:rsidRPr="002F00F8" w:rsidRDefault="001D1DEB">
      <w:pPr>
        <w:tabs>
          <w:tab w:val="left" w:pos="5103"/>
        </w:tabs>
        <w:rPr>
          <w:iCs/>
        </w:rPr>
      </w:pPr>
    </w:p>
    <w:p w:rsidR="009F135A" w:rsidRPr="009F135A" w:rsidRDefault="009C05AB" w:rsidP="009F135A">
      <w:pPr>
        <w:rPr>
          <w:b/>
        </w:rPr>
      </w:pPr>
      <w:r w:rsidRPr="002F00F8">
        <w:rPr>
          <w:b/>
        </w:rPr>
        <w:t>Komerční banka, a.s.</w:t>
      </w:r>
      <w:r w:rsidR="001D1DEB" w:rsidRPr="002F00F8">
        <w:rPr>
          <w:b/>
        </w:rPr>
        <w:tab/>
      </w:r>
      <w:r w:rsidR="009F135A">
        <w:rPr>
          <w:b/>
        </w:rPr>
        <w:t xml:space="preserve">                                                         </w:t>
      </w:r>
      <w:r w:rsidR="009F135A" w:rsidRPr="009F135A">
        <w:rPr>
          <w:b/>
        </w:rPr>
        <w:t>Městský obvod Plzeň 2 - Slovany</w:t>
      </w:r>
    </w:p>
    <w:p w:rsidR="001D1DEB" w:rsidRPr="002F00F8" w:rsidRDefault="001D1DEB">
      <w:pPr>
        <w:tabs>
          <w:tab w:val="left" w:pos="5103"/>
        </w:tabs>
        <w:rPr>
          <w:b/>
        </w:rPr>
      </w:pPr>
    </w:p>
    <w:p w:rsidR="001D1DEB" w:rsidRPr="002F00F8" w:rsidRDefault="001D1DEB">
      <w:pPr>
        <w:tabs>
          <w:tab w:val="left" w:pos="4820"/>
        </w:tabs>
      </w:pPr>
    </w:p>
    <w:p w:rsidR="001D1DEB" w:rsidRPr="002F00F8" w:rsidRDefault="001D1DEB">
      <w:pPr>
        <w:tabs>
          <w:tab w:val="left" w:pos="4820"/>
        </w:tabs>
      </w:pPr>
    </w:p>
    <w:p w:rsidR="001D1DEB" w:rsidRPr="002F00F8" w:rsidRDefault="001D1DEB">
      <w:pPr>
        <w:tabs>
          <w:tab w:val="left" w:pos="4536"/>
          <w:tab w:val="left" w:pos="5103"/>
          <w:tab w:val="left" w:pos="9639"/>
        </w:tabs>
      </w:pPr>
      <w:r w:rsidRPr="002F00F8">
        <w:tab/>
      </w:r>
    </w:p>
    <w:p w:rsidR="001D1DEB" w:rsidRPr="002F00F8" w:rsidRDefault="001D1DEB">
      <w:pPr>
        <w:tabs>
          <w:tab w:val="left" w:leader="underscore" w:pos="4536"/>
          <w:tab w:val="left" w:pos="5103"/>
          <w:tab w:val="left" w:leader="underscore" w:pos="9639"/>
        </w:tabs>
        <w:rPr>
          <w:position w:val="12"/>
        </w:rPr>
      </w:pPr>
      <w:r w:rsidRPr="002F00F8">
        <w:rPr>
          <w:position w:val="12"/>
        </w:rPr>
        <w:tab/>
      </w:r>
      <w:r w:rsidRPr="002F00F8">
        <w:rPr>
          <w:position w:val="12"/>
        </w:rPr>
        <w:tab/>
      </w:r>
      <w:r w:rsidRPr="002F00F8">
        <w:rPr>
          <w:position w:val="12"/>
        </w:rPr>
        <w:tab/>
      </w:r>
    </w:p>
    <w:p w:rsidR="001D1DEB" w:rsidRPr="002F00F8" w:rsidRDefault="00981BC4">
      <w:pPr>
        <w:tabs>
          <w:tab w:val="left" w:pos="5103"/>
          <w:tab w:val="left" w:pos="9639"/>
        </w:tabs>
      </w:pPr>
      <w:r>
        <w:t>Mgr. Martin Ščambora</w:t>
      </w:r>
      <w:r w:rsidR="001D1DEB" w:rsidRPr="002F00F8">
        <w:tab/>
      </w:r>
      <w:r w:rsidR="00A074DC" w:rsidRPr="00A074DC">
        <w:t>Ing. Lumír Aschenbrenner</w:t>
      </w:r>
    </w:p>
    <w:p w:rsidR="001D1DEB" w:rsidRPr="002F00F8" w:rsidRDefault="00981BC4">
      <w:pPr>
        <w:tabs>
          <w:tab w:val="left" w:pos="5103"/>
          <w:tab w:val="left" w:pos="9639"/>
        </w:tabs>
        <w:rPr>
          <w:shd w:val="clear" w:color="auto" w:fill="C0C0C0"/>
        </w:rPr>
      </w:pPr>
      <w:r>
        <w:t>Ved. týmu pro podpůrné služby</w:t>
      </w:r>
      <w:r w:rsidR="001D1DEB" w:rsidRPr="002F00F8">
        <w:tab/>
      </w:r>
      <w:r w:rsidR="00A074DC">
        <w:t>starosta</w:t>
      </w:r>
    </w:p>
    <w:p w:rsidR="009C05AB" w:rsidRPr="002F00F8" w:rsidRDefault="009C05AB">
      <w:pPr>
        <w:tabs>
          <w:tab w:val="left" w:pos="5103"/>
          <w:tab w:val="left" w:pos="9639"/>
        </w:tabs>
        <w:rPr>
          <w:shd w:val="clear" w:color="auto" w:fill="C0C0C0"/>
        </w:rPr>
      </w:pPr>
    </w:p>
    <w:p w:rsidR="009C05AB" w:rsidRPr="002F00F8" w:rsidRDefault="009C05AB">
      <w:pPr>
        <w:tabs>
          <w:tab w:val="left" w:pos="5103"/>
          <w:tab w:val="left" w:pos="9639"/>
        </w:tabs>
        <w:rPr>
          <w:shd w:val="clear" w:color="auto" w:fill="C0C0C0"/>
        </w:rPr>
      </w:pPr>
    </w:p>
    <w:p w:rsidR="009C05AB" w:rsidRPr="002F00F8" w:rsidRDefault="009C05AB">
      <w:pPr>
        <w:tabs>
          <w:tab w:val="left" w:pos="5103"/>
          <w:tab w:val="left" w:pos="9639"/>
        </w:tabs>
        <w:rPr>
          <w:shd w:val="clear" w:color="auto" w:fill="C0C0C0"/>
        </w:rPr>
      </w:pPr>
    </w:p>
    <w:p w:rsidR="00D27BF7" w:rsidRDefault="00D27BF7" w:rsidP="008129A7">
      <w:pPr>
        <w:tabs>
          <w:tab w:val="left" w:leader="underscore" w:pos="4536"/>
          <w:tab w:val="left" w:pos="5103"/>
          <w:tab w:val="left" w:leader="underscore" w:pos="9639"/>
        </w:tabs>
        <w:rPr>
          <w:position w:val="12"/>
        </w:rPr>
      </w:pPr>
    </w:p>
    <w:p w:rsidR="008129A7" w:rsidRPr="002F00F8" w:rsidRDefault="009C05AB" w:rsidP="008129A7">
      <w:pPr>
        <w:tabs>
          <w:tab w:val="left" w:leader="underscore" w:pos="4536"/>
          <w:tab w:val="left" w:pos="5103"/>
          <w:tab w:val="left" w:leader="underscore" w:pos="9639"/>
        </w:tabs>
        <w:rPr>
          <w:position w:val="12"/>
        </w:rPr>
      </w:pPr>
      <w:r w:rsidRPr="002F00F8">
        <w:rPr>
          <w:position w:val="12"/>
        </w:rPr>
        <w:tab/>
      </w:r>
      <w:r w:rsidR="008129A7">
        <w:rPr>
          <w:position w:val="12"/>
        </w:rPr>
        <w:t xml:space="preserve">             </w:t>
      </w:r>
    </w:p>
    <w:p w:rsidR="00981BC4" w:rsidRPr="002B43A9" w:rsidRDefault="00981BC4" w:rsidP="00981BC4">
      <w:pPr>
        <w:tabs>
          <w:tab w:val="left" w:pos="5103"/>
          <w:tab w:val="left" w:pos="9639"/>
        </w:tabs>
      </w:pPr>
      <w:r>
        <w:t>Radana Viceníková</w:t>
      </w:r>
      <w:r w:rsidR="008129A7">
        <w:t xml:space="preserve">                                         </w:t>
      </w:r>
      <w:r w:rsidR="0082396A">
        <w:t xml:space="preserve">                              </w:t>
      </w:r>
      <w:r w:rsidR="008129A7">
        <w:t xml:space="preserve">                             </w:t>
      </w:r>
    </w:p>
    <w:p w:rsidR="00981BC4" w:rsidRPr="002B43A9" w:rsidRDefault="00981BC4" w:rsidP="00981BC4">
      <w:pPr>
        <w:tabs>
          <w:tab w:val="left" w:pos="5103"/>
          <w:tab w:val="left" w:pos="9639"/>
        </w:tabs>
      </w:pPr>
      <w:r>
        <w:t>Koordinátor pro podpůrné služby</w:t>
      </w:r>
      <w:r w:rsidR="008129A7">
        <w:t xml:space="preserve">                                     </w:t>
      </w:r>
      <w:r w:rsidR="0082396A">
        <w:t xml:space="preserve">              </w:t>
      </w:r>
    </w:p>
    <w:p w:rsidR="00981BC4" w:rsidRPr="002B43A9" w:rsidRDefault="00981BC4" w:rsidP="00981BC4">
      <w:pPr>
        <w:tabs>
          <w:tab w:val="left" w:pos="5103"/>
          <w:tab w:val="left" w:pos="9639"/>
        </w:tabs>
      </w:pPr>
    </w:p>
    <w:p w:rsidR="009C05AB" w:rsidRPr="002B43A9" w:rsidRDefault="009C05AB">
      <w:pPr>
        <w:tabs>
          <w:tab w:val="left" w:pos="5103"/>
          <w:tab w:val="left" w:pos="9639"/>
        </w:tabs>
      </w:pPr>
    </w:p>
    <w:sectPr w:rsidR="009C05AB" w:rsidRPr="002B43A9" w:rsidSect="00C96184">
      <w:headerReference w:type="default" r:id="rId8"/>
      <w:footerReference w:type="default" r:id="rId9"/>
      <w:pgSz w:w="11907" w:h="16840" w:code="9"/>
      <w:pgMar w:top="1843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14" w:rsidRDefault="00A06114">
      <w:r>
        <w:separator/>
      </w:r>
    </w:p>
  </w:endnote>
  <w:endnote w:type="continuationSeparator" w:id="0">
    <w:p w:rsidR="00A06114" w:rsidRDefault="00A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D76EA3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D76EA3" w:rsidRDefault="00D76EA3">
          <w:pPr>
            <w:pStyle w:val="kbFixedtext"/>
            <w:spacing w:before="100"/>
          </w:pPr>
          <w:r>
            <w:t xml:space="preserve">Komerční banka, a. s., se sídlem: </w:t>
          </w:r>
        </w:p>
        <w:p w:rsidR="00D76EA3" w:rsidRDefault="00D76EA3">
          <w:pPr>
            <w:pStyle w:val="kbFixedtext"/>
          </w:pPr>
          <w:r>
            <w:t>Praha 1, Na Příkopě 33 čp. 969, PSČ 114 07, IČO: 45317054</w:t>
          </w:r>
        </w:p>
        <w:p w:rsidR="00D76EA3" w:rsidRDefault="00D76EA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D76EA3" w:rsidRDefault="00C96184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D76EA3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662A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D76EA3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D76EA3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662A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D76EA3" w:rsidRDefault="00D76EA3">
          <w:pPr>
            <w:pStyle w:val="Registration"/>
            <w:jc w:val="right"/>
          </w:pPr>
        </w:p>
      </w:tc>
    </w:tr>
  </w:tbl>
  <w:p w:rsidR="00D76EA3" w:rsidRDefault="00D76EA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14" w:rsidRDefault="00A06114">
      <w:r>
        <w:separator/>
      </w:r>
    </w:p>
  </w:footnote>
  <w:footnote w:type="continuationSeparator" w:id="0">
    <w:p w:rsidR="00A06114" w:rsidRDefault="00A06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6945"/>
    </w:tblGrid>
    <w:tr w:rsidR="00D76EA3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:rsidR="00D76EA3" w:rsidRPr="00222C41" w:rsidRDefault="00431493">
          <w:r>
            <w:rPr>
              <w:b/>
              <w:noProof/>
            </w:rPr>
            <w:drawing>
              <wp:inline distT="0" distB="0" distL="0" distR="0" wp14:anchorId="7A7FEED0" wp14:editId="18F990D5">
                <wp:extent cx="1323975" cy="4667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nil"/>
            <w:left w:val="nil"/>
            <w:bottom w:val="nil"/>
            <w:right w:val="nil"/>
          </w:tcBorders>
        </w:tcPr>
        <w:p w:rsidR="00D76EA3" w:rsidRPr="00222C41" w:rsidRDefault="00D76EA3">
          <w:pPr>
            <w:pStyle w:val="Nadpis1"/>
            <w:rPr>
              <w:b w:val="0"/>
              <w:bCs w:val="0"/>
              <w:i/>
              <w:iCs/>
              <w:sz w:val="22"/>
              <w:szCs w:val="22"/>
            </w:rPr>
          </w:pPr>
        </w:p>
        <w:p w:rsidR="00D76EA3" w:rsidRPr="00222C41" w:rsidRDefault="00D76EA3">
          <w:pPr>
            <w:rPr>
              <w:i/>
              <w:iCs/>
              <w:sz w:val="22"/>
              <w:szCs w:val="22"/>
            </w:rPr>
          </w:pPr>
        </w:p>
        <w:p w:rsidR="00D76EA3" w:rsidRDefault="00222C41" w:rsidP="007416E0">
          <w:pPr>
            <w:pStyle w:val="kbDocumentnameextrenal"/>
            <w:tabs>
              <w:tab w:val="clear" w:pos="6167"/>
              <w:tab w:val="right" w:pos="5741"/>
            </w:tabs>
            <w:spacing w:before="0"/>
          </w:pPr>
          <w:r>
            <w:t xml:space="preserve">Dodatek č. </w:t>
          </w:r>
          <w:r w:rsidR="007416E0">
            <w:t>6</w:t>
          </w:r>
          <w:r w:rsidRPr="00222C41">
            <w:t xml:space="preserve"> k</w:t>
          </w:r>
          <w:r w:rsidR="00120E32">
            <w:t xml:space="preserve">e Smlouvě o </w:t>
          </w:r>
          <w:r w:rsidR="00204766">
            <w:t xml:space="preserve">nájmu </w:t>
          </w:r>
          <w:r w:rsidR="00120E32">
            <w:t>nebytových prostor</w:t>
          </w:r>
        </w:p>
      </w:tc>
    </w:tr>
  </w:tbl>
  <w:p w:rsidR="00D76EA3" w:rsidRDefault="00D76E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763"/>
    <w:multiLevelType w:val="multilevel"/>
    <w:tmpl w:val="D26C347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8860AC4"/>
    <w:multiLevelType w:val="multilevel"/>
    <w:tmpl w:val="687E3C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60178D8"/>
    <w:multiLevelType w:val="hybridMultilevel"/>
    <w:tmpl w:val="45CCF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A3E6F"/>
    <w:multiLevelType w:val="hybridMultilevel"/>
    <w:tmpl w:val="EBDE3164"/>
    <w:lvl w:ilvl="0" w:tplc="44A86B4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na David JUDr.">
    <w15:presenceInfo w15:providerId="AD" w15:userId="S-1-5-21-844619873-1901332987-2282505110-94634"/>
  </w15:person>
  <w15:person w15:author="Vicenikova Radana">
    <w15:presenceInfo w15:providerId="AD" w15:userId="S-1-5-21-844619873-1901332987-2282505110-234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39"/>
    <w:rsid w:val="000175A3"/>
    <w:rsid w:val="00042C21"/>
    <w:rsid w:val="000509AD"/>
    <w:rsid w:val="000921C2"/>
    <w:rsid w:val="000B51A4"/>
    <w:rsid w:val="000C136D"/>
    <w:rsid w:val="000C48EB"/>
    <w:rsid w:val="001151CA"/>
    <w:rsid w:val="00115312"/>
    <w:rsid w:val="00120A6F"/>
    <w:rsid w:val="00120E32"/>
    <w:rsid w:val="00126EE8"/>
    <w:rsid w:val="00134967"/>
    <w:rsid w:val="00163868"/>
    <w:rsid w:val="00173AE7"/>
    <w:rsid w:val="001768F6"/>
    <w:rsid w:val="001843D4"/>
    <w:rsid w:val="001914C3"/>
    <w:rsid w:val="0019632E"/>
    <w:rsid w:val="00196BC0"/>
    <w:rsid w:val="001B0117"/>
    <w:rsid w:val="001C09D2"/>
    <w:rsid w:val="001D1DEB"/>
    <w:rsid w:val="001D72EE"/>
    <w:rsid w:val="001E35A9"/>
    <w:rsid w:val="00203F4E"/>
    <w:rsid w:val="00204766"/>
    <w:rsid w:val="00215278"/>
    <w:rsid w:val="00221A3F"/>
    <w:rsid w:val="00222C41"/>
    <w:rsid w:val="00225C09"/>
    <w:rsid w:val="00232F56"/>
    <w:rsid w:val="00244D39"/>
    <w:rsid w:val="0027341D"/>
    <w:rsid w:val="0027618A"/>
    <w:rsid w:val="00290BC5"/>
    <w:rsid w:val="0029354F"/>
    <w:rsid w:val="002B43A9"/>
    <w:rsid w:val="002B78AF"/>
    <w:rsid w:val="002C4AFB"/>
    <w:rsid w:val="002F00F8"/>
    <w:rsid w:val="002F1694"/>
    <w:rsid w:val="002F25B1"/>
    <w:rsid w:val="0031294B"/>
    <w:rsid w:val="00320317"/>
    <w:rsid w:val="0033780E"/>
    <w:rsid w:val="0033794D"/>
    <w:rsid w:val="00340947"/>
    <w:rsid w:val="0037054F"/>
    <w:rsid w:val="003710B0"/>
    <w:rsid w:val="00372977"/>
    <w:rsid w:val="0037592D"/>
    <w:rsid w:val="00377663"/>
    <w:rsid w:val="00385C92"/>
    <w:rsid w:val="003874FE"/>
    <w:rsid w:val="00392D46"/>
    <w:rsid w:val="0039736B"/>
    <w:rsid w:val="003D00A0"/>
    <w:rsid w:val="003D3EB0"/>
    <w:rsid w:val="00405206"/>
    <w:rsid w:val="00407CCE"/>
    <w:rsid w:val="00426121"/>
    <w:rsid w:val="00431493"/>
    <w:rsid w:val="004349BC"/>
    <w:rsid w:val="004429EB"/>
    <w:rsid w:val="00446E7A"/>
    <w:rsid w:val="00450E2B"/>
    <w:rsid w:val="0045579C"/>
    <w:rsid w:val="004723F6"/>
    <w:rsid w:val="0049438E"/>
    <w:rsid w:val="004A0CCE"/>
    <w:rsid w:val="004A6178"/>
    <w:rsid w:val="004C2AD6"/>
    <w:rsid w:val="004C58F6"/>
    <w:rsid w:val="004E543B"/>
    <w:rsid w:val="004F43FA"/>
    <w:rsid w:val="004F5CBC"/>
    <w:rsid w:val="004F695D"/>
    <w:rsid w:val="00502801"/>
    <w:rsid w:val="005466C7"/>
    <w:rsid w:val="005476DB"/>
    <w:rsid w:val="00560AD3"/>
    <w:rsid w:val="00564042"/>
    <w:rsid w:val="00564ACF"/>
    <w:rsid w:val="005662A7"/>
    <w:rsid w:val="00570FEA"/>
    <w:rsid w:val="00595D3C"/>
    <w:rsid w:val="005A58FE"/>
    <w:rsid w:val="005A61DD"/>
    <w:rsid w:val="005B537E"/>
    <w:rsid w:val="005C2B45"/>
    <w:rsid w:val="005C487B"/>
    <w:rsid w:val="005E69D2"/>
    <w:rsid w:val="005F2186"/>
    <w:rsid w:val="005F5A3C"/>
    <w:rsid w:val="006079B0"/>
    <w:rsid w:val="006168CD"/>
    <w:rsid w:val="0063270F"/>
    <w:rsid w:val="00637D9B"/>
    <w:rsid w:val="00640C88"/>
    <w:rsid w:val="00651280"/>
    <w:rsid w:val="006575F8"/>
    <w:rsid w:val="00663C92"/>
    <w:rsid w:val="006646D1"/>
    <w:rsid w:val="006658B1"/>
    <w:rsid w:val="00670CF3"/>
    <w:rsid w:val="00697A25"/>
    <w:rsid w:val="006A061A"/>
    <w:rsid w:val="006A229C"/>
    <w:rsid w:val="006B0927"/>
    <w:rsid w:val="006D324C"/>
    <w:rsid w:val="006D7917"/>
    <w:rsid w:val="006F1099"/>
    <w:rsid w:val="006F3AB1"/>
    <w:rsid w:val="0070157E"/>
    <w:rsid w:val="0071674B"/>
    <w:rsid w:val="00724468"/>
    <w:rsid w:val="007416E0"/>
    <w:rsid w:val="00786F41"/>
    <w:rsid w:val="007B4A89"/>
    <w:rsid w:val="007B69F1"/>
    <w:rsid w:val="007D040D"/>
    <w:rsid w:val="007D06EC"/>
    <w:rsid w:val="007E609B"/>
    <w:rsid w:val="007F0925"/>
    <w:rsid w:val="007F78E4"/>
    <w:rsid w:val="0080535E"/>
    <w:rsid w:val="0081195A"/>
    <w:rsid w:val="008129A7"/>
    <w:rsid w:val="0081483C"/>
    <w:rsid w:val="008222B8"/>
    <w:rsid w:val="0082396A"/>
    <w:rsid w:val="00832C56"/>
    <w:rsid w:val="0084554F"/>
    <w:rsid w:val="00851A54"/>
    <w:rsid w:val="00857A99"/>
    <w:rsid w:val="008846D2"/>
    <w:rsid w:val="008A57B3"/>
    <w:rsid w:val="008B3B5C"/>
    <w:rsid w:val="008D54C8"/>
    <w:rsid w:val="008E7EC7"/>
    <w:rsid w:val="008F2942"/>
    <w:rsid w:val="00911119"/>
    <w:rsid w:val="00923F03"/>
    <w:rsid w:val="009404C4"/>
    <w:rsid w:val="009559BA"/>
    <w:rsid w:val="00967C49"/>
    <w:rsid w:val="009753CB"/>
    <w:rsid w:val="00981BC4"/>
    <w:rsid w:val="0098421B"/>
    <w:rsid w:val="00990672"/>
    <w:rsid w:val="009A44CA"/>
    <w:rsid w:val="009B16F9"/>
    <w:rsid w:val="009C05AB"/>
    <w:rsid w:val="009F135A"/>
    <w:rsid w:val="00A0312C"/>
    <w:rsid w:val="00A06114"/>
    <w:rsid w:val="00A074DC"/>
    <w:rsid w:val="00A07E86"/>
    <w:rsid w:val="00A100D7"/>
    <w:rsid w:val="00A15053"/>
    <w:rsid w:val="00A42C54"/>
    <w:rsid w:val="00A5312D"/>
    <w:rsid w:val="00A54BA7"/>
    <w:rsid w:val="00A622E4"/>
    <w:rsid w:val="00A646C9"/>
    <w:rsid w:val="00A71CBE"/>
    <w:rsid w:val="00A75FC8"/>
    <w:rsid w:val="00A81116"/>
    <w:rsid w:val="00A91603"/>
    <w:rsid w:val="00AA37EC"/>
    <w:rsid w:val="00AD3436"/>
    <w:rsid w:val="00AF354E"/>
    <w:rsid w:val="00AF668D"/>
    <w:rsid w:val="00B22D5C"/>
    <w:rsid w:val="00B246EF"/>
    <w:rsid w:val="00B260C3"/>
    <w:rsid w:val="00B34D58"/>
    <w:rsid w:val="00B62A4C"/>
    <w:rsid w:val="00B76724"/>
    <w:rsid w:val="00B83FC4"/>
    <w:rsid w:val="00B876B3"/>
    <w:rsid w:val="00B903D8"/>
    <w:rsid w:val="00B933FB"/>
    <w:rsid w:val="00B95FE2"/>
    <w:rsid w:val="00BA20E5"/>
    <w:rsid w:val="00BC7E6C"/>
    <w:rsid w:val="00BD2ACD"/>
    <w:rsid w:val="00BF0B7E"/>
    <w:rsid w:val="00BF7947"/>
    <w:rsid w:val="00C27DC5"/>
    <w:rsid w:val="00C52688"/>
    <w:rsid w:val="00C64404"/>
    <w:rsid w:val="00C90E6E"/>
    <w:rsid w:val="00C95B82"/>
    <w:rsid w:val="00C96184"/>
    <w:rsid w:val="00CB4A44"/>
    <w:rsid w:val="00CC2FB3"/>
    <w:rsid w:val="00CC36C9"/>
    <w:rsid w:val="00CC61C4"/>
    <w:rsid w:val="00CD1EA4"/>
    <w:rsid w:val="00CD3506"/>
    <w:rsid w:val="00CD425A"/>
    <w:rsid w:val="00CE791C"/>
    <w:rsid w:val="00D00B7C"/>
    <w:rsid w:val="00D05FD0"/>
    <w:rsid w:val="00D22EBE"/>
    <w:rsid w:val="00D27235"/>
    <w:rsid w:val="00D27BF7"/>
    <w:rsid w:val="00D30AB2"/>
    <w:rsid w:val="00D3430A"/>
    <w:rsid w:val="00D4328D"/>
    <w:rsid w:val="00D54A4A"/>
    <w:rsid w:val="00D7501B"/>
    <w:rsid w:val="00D76EA3"/>
    <w:rsid w:val="00D81162"/>
    <w:rsid w:val="00DB556C"/>
    <w:rsid w:val="00DC4837"/>
    <w:rsid w:val="00DC5521"/>
    <w:rsid w:val="00DD414F"/>
    <w:rsid w:val="00DD6A0E"/>
    <w:rsid w:val="00DE4077"/>
    <w:rsid w:val="00DE560A"/>
    <w:rsid w:val="00DE677B"/>
    <w:rsid w:val="00DF0BF6"/>
    <w:rsid w:val="00E4099E"/>
    <w:rsid w:val="00E56178"/>
    <w:rsid w:val="00E62D72"/>
    <w:rsid w:val="00E97D68"/>
    <w:rsid w:val="00EB18A2"/>
    <w:rsid w:val="00EB4816"/>
    <w:rsid w:val="00EC2587"/>
    <w:rsid w:val="00ED6447"/>
    <w:rsid w:val="00EE2331"/>
    <w:rsid w:val="00EE781A"/>
    <w:rsid w:val="00EF76BE"/>
    <w:rsid w:val="00EF7EA2"/>
    <w:rsid w:val="00F04838"/>
    <w:rsid w:val="00F412FF"/>
    <w:rsid w:val="00F4567F"/>
    <w:rsid w:val="00F55D57"/>
    <w:rsid w:val="00F70C3A"/>
    <w:rsid w:val="00F84144"/>
    <w:rsid w:val="00F96BB1"/>
    <w:rsid w:val="00FD1E7D"/>
    <w:rsid w:val="00FD5223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8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qFormat/>
    <w:rsid w:val="00C96184"/>
    <w:pPr>
      <w:spacing w:before="120"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C96184"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96184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96184"/>
    <w:pPr>
      <w:ind w:left="708"/>
    </w:pPr>
  </w:style>
  <w:style w:type="character" w:styleId="Znakapoznpodarou">
    <w:name w:val="footnote reference"/>
    <w:semiHidden/>
    <w:rsid w:val="00C96184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C96184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C96184"/>
    <w:pPr>
      <w:jc w:val="left"/>
    </w:pPr>
    <w:rPr>
      <w:sz w:val="16"/>
      <w:szCs w:val="16"/>
    </w:rPr>
  </w:style>
  <w:style w:type="paragraph" w:styleId="Zhlav">
    <w:name w:val="header"/>
    <w:basedOn w:val="Normln"/>
    <w:rsid w:val="00C96184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C96184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C96184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C96184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C96184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C96184"/>
    <w:rPr>
      <w:i/>
      <w:iCs/>
      <w:color w:val="808080"/>
      <w:lang w:val="en-GB"/>
    </w:rPr>
  </w:style>
  <w:style w:type="paragraph" w:styleId="Podtitul">
    <w:name w:val="Subtitle"/>
    <w:basedOn w:val="Normln"/>
    <w:qFormat/>
    <w:rsid w:val="00C96184"/>
    <w:pPr>
      <w:widowControl w:val="0"/>
      <w:spacing w:after="60"/>
      <w:jc w:val="center"/>
    </w:pPr>
    <w:rPr>
      <w:sz w:val="24"/>
      <w:szCs w:val="24"/>
    </w:rPr>
  </w:style>
  <w:style w:type="character" w:customStyle="1" w:styleId="StylTun">
    <w:name w:val="Styl Tučné"/>
    <w:rsid w:val="00C96184"/>
    <w:rPr>
      <w:rFonts w:ascii="Arial" w:hAnsi="Arial" w:cs="Arial"/>
      <w:b/>
      <w:bCs/>
      <w:sz w:val="18"/>
      <w:szCs w:val="18"/>
    </w:rPr>
  </w:style>
  <w:style w:type="paragraph" w:customStyle="1" w:styleId="strukturalnku">
    <w:name w:val="struktura článku"/>
    <w:basedOn w:val="Normln"/>
    <w:rsid w:val="00C96184"/>
    <w:pPr>
      <w:ind w:left="567" w:hanging="567"/>
    </w:pPr>
  </w:style>
  <w:style w:type="character" w:customStyle="1" w:styleId="strukturalnkuChar">
    <w:name w:val="struktura článku Char"/>
    <w:rsid w:val="00C96184"/>
    <w:rPr>
      <w:rFonts w:ascii="Arial" w:hAnsi="Arial" w:cs="Arial"/>
      <w:sz w:val="18"/>
      <w:szCs w:val="18"/>
      <w:lang w:val="cs-CZ" w:eastAsia="cs-CZ"/>
    </w:rPr>
  </w:style>
  <w:style w:type="paragraph" w:customStyle="1" w:styleId="ABLOCKPARA">
    <w:name w:val="A BLOCK PARA"/>
    <w:basedOn w:val="Normln"/>
    <w:rsid w:val="00C96184"/>
    <w:pPr>
      <w:jc w:val="left"/>
    </w:pPr>
    <w:rPr>
      <w:rFonts w:ascii="Book Antiqua" w:hAnsi="Book Antiqua" w:cs="Times New Roman"/>
      <w:sz w:val="22"/>
      <w:szCs w:val="22"/>
    </w:rPr>
  </w:style>
  <w:style w:type="paragraph" w:styleId="Zpat">
    <w:name w:val="footer"/>
    <w:basedOn w:val="Normln"/>
    <w:rsid w:val="00C9618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96184"/>
    <w:pPr>
      <w:widowControl w:val="0"/>
    </w:pPr>
    <w:rPr>
      <w:b/>
      <w:bCs/>
      <w:i/>
      <w:iCs/>
      <w:sz w:val="24"/>
      <w:szCs w:val="24"/>
    </w:rPr>
  </w:style>
  <w:style w:type="paragraph" w:styleId="Zkladntext3">
    <w:name w:val="Body Text 3"/>
    <w:basedOn w:val="Normln"/>
    <w:rsid w:val="00C96184"/>
    <w:pPr>
      <w:widowControl w:val="0"/>
    </w:pPr>
    <w:rPr>
      <w:sz w:val="22"/>
      <w:szCs w:val="22"/>
    </w:rPr>
  </w:style>
  <w:style w:type="paragraph" w:customStyle="1" w:styleId="Textbubliny1">
    <w:name w:val="Text bubliny1"/>
    <w:basedOn w:val="Normln"/>
    <w:rsid w:val="00C961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6184"/>
    <w:pPr>
      <w:widowControl w:val="0"/>
      <w:ind w:left="426" w:hanging="426"/>
    </w:pPr>
    <w:rPr>
      <w:sz w:val="20"/>
      <w:szCs w:val="20"/>
    </w:rPr>
  </w:style>
  <w:style w:type="paragraph" w:styleId="Textbubliny">
    <w:name w:val="Balloon Text"/>
    <w:basedOn w:val="Normln"/>
    <w:semiHidden/>
    <w:rsid w:val="0081483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D72EE"/>
    <w:rPr>
      <w:sz w:val="16"/>
      <w:szCs w:val="16"/>
    </w:rPr>
  </w:style>
  <w:style w:type="paragraph" w:styleId="Textkomente">
    <w:name w:val="annotation text"/>
    <w:basedOn w:val="Normln"/>
    <w:semiHidden/>
    <w:rsid w:val="001D72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D72EE"/>
    <w:rPr>
      <w:b/>
      <w:bCs/>
    </w:rPr>
  </w:style>
  <w:style w:type="character" w:customStyle="1" w:styleId="nowrap">
    <w:name w:val="nowrap"/>
    <w:rsid w:val="006F1099"/>
  </w:style>
  <w:style w:type="paragraph" w:styleId="Odstavecseseznamem">
    <w:name w:val="List Paragraph"/>
    <w:basedOn w:val="Normln"/>
    <w:uiPriority w:val="34"/>
    <w:qFormat/>
    <w:rsid w:val="00C90E6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8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qFormat/>
    <w:rsid w:val="00C96184"/>
    <w:pPr>
      <w:spacing w:before="120"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C96184"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96184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96184"/>
    <w:pPr>
      <w:ind w:left="708"/>
    </w:pPr>
  </w:style>
  <w:style w:type="character" w:styleId="Znakapoznpodarou">
    <w:name w:val="footnote reference"/>
    <w:semiHidden/>
    <w:rsid w:val="00C96184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C96184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C96184"/>
    <w:pPr>
      <w:jc w:val="left"/>
    </w:pPr>
    <w:rPr>
      <w:sz w:val="16"/>
      <w:szCs w:val="16"/>
    </w:rPr>
  </w:style>
  <w:style w:type="paragraph" w:styleId="Zhlav">
    <w:name w:val="header"/>
    <w:basedOn w:val="Normln"/>
    <w:rsid w:val="00C96184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C96184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C96184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C96184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C96184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C96184"/>
    <w:rPr>
      <w:i/>
      <w:iCs/>
      <w:color w:val="808080"/>
      <w:lang w:val="en-GB"/>
    </w:rPr>
  </w:style>
  <w:style w:type="paragraph" w:styleId="Podtitul">
    <w:name w:val="Subtitle"/>
    <w:basedOn w:val="Normln"/>
    <w:qFormat/>
    <w:rsid w:val="00C96184"/>
    <w:pPr>
      <w:widowControl w:val="0"/>
      <w:spacing w:after="60"/>
      <w:jc w:val="center"/>
    </w:pPr>
    <w:rPr>
      <w:sz w:val="24"/>
      <w:szCs w:val="24"/>
    </w:rPr>
  </w:style>
  <w:style w:type="character" w:customStyle="1" w:styleId="StylTun">
    <w:name w:val="Styl Tučné"/>
    <w:rsid w:val="00C96184"/>
    <w:rPr>
      <w:rFonts w:ascii="Arial" w:hAnsi="Arial" w:cs="Arial"/>
      <w:b/>
      <w:bCs/>
      <w:sz w:val="18"/>
      <w:szCs w:val="18"/>
    </w:rPr>
  </w:style>
  <w:style w:type="paragraph" w:customStyle="1" w:styleId="strukturalnku">
    <w:name w:val="struktura článku"/>
    <w:basedOn w:val="Normln"/>
    <w:rsid w:val="00C96184"/>
    <w:pPr>
      <w:ind w:left="567" w:hanging="567"/>
    </w:pPr>
  </w:style>
  <w:style w:type="character" w:customStyle="1" w:styleId="strukturalnkuChar">
    <w:name w:val="struktura článku Char"/>
    <w:rsid w:val="00C96184"/>
    <w:rPr>
      <w:rFonts w:ascii="Arial" w:hAnsi="Arial" w:cs="Arial"/>
      <w:sz w:val="18"/>
      <w:szCs w:val="18"/>
      <w:lang w:val="cs-CZ" w:eastAsia="cs-CZ"/>
    </w:rPr>
  </w:style>
  <w:style w:type="paragraph" w:customStyle="1" w:styleId="ABLOCKPARA">
    <w:name w:val="A BLOCK PARA"/>
    <w:basedOn w:val="Normln"/>
    <w:rsid w:val="00C96184"/>
    <w:pPr>
      <w:jc w:val="left"/>
    </w:pPr>
    <w:rPr>
      <w:rFonts w:ascii="Book Antiqua" w:hAnsi="Book Antiqua" w:cs="Times New Roman"/>
      <w:sz w:val="22"/>
      <w:szCs w:val="22"/>
    </w:rPr>
  </w:style>
  <w:style w:type="paragraph" w:styleId="Zpat">
    <w:name w:val="footer"/>
    <w:basedOn w:val="Normln"/>
    <w:rsid w:val="00C9618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96184"/>
    <w:pPr>
      <w:widowControl w:val="0"/>
    </w:pPr>
    <w:rPr>
      <w:b/>
      <w:bCs/>
      <w:i/>
      <w:iCs/>
      <w:sz w:val="24"/>
      <w:szCs w:val="24"/>
    </w:rPr>
  </w:style>
  <w:style w:type="paragraph" w:styleId="Zkladntext3">
    <w:name w:val="Body Text 3"/>
    <w:basedOn w:val="Normln"/>
    <w:rsid w:val="00C96184"/>
    <w:pPr>
      <w:widowControl w:val="0"/>
    </w:pPr>
    <w:rPr>
      <w:sz w:val="22"/>
      <w:szCs w:val="22"/>
    </w:rPr>
  </w:style>
  <w:style w:type="paragraph" w:customStyle="1" w:styleId="Textbubliny1">
    <w:name w:val="Text bubliny1"/>
    <w:basedOn w:val="Normln"/>
    <w:rsid w:val="00C961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6184"/>
    <w:pPr>
      <w:widowControl w:val="0"/>
      <w:ind w:left="426" w:hanging="426"/>
    </w:pPr>
    <w:rPr>
      <w:sz w:val="20"/>
      <w:szCs w:val="20"/>
    </w:rPr>
  </w:style>
  <w:style w:type="paragraph" w:styleId="Textbubliny">
    <w:name w:val="Balloon Text"/>
    <w:basedOn w:val="Normln"/>
    <w:semiHidden/>
    <w:rsid w:val="0081483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D72EE"/>
    <w:rPr>
      <w:sz w:val="16"/>
      <w:szCs w:val="16"/>
    </w:rPr>
  </w:style>
  <w:style w:type="paragraph" w:styleId="Textkomente">
    <w:name w:val="annotation text"/>
    <w:basedOn w:val="Normln"/>
    <w:semiHidden/>
    <w:rsid w:val="001D72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D72EE"/>
    <w:rPr>
      <w:b/>
      <w:bCs/>
    </w:rPr>
  </w:style>
  <w:style w:type="character" w:customStyle="1" w:styleId="nowrap">
    <w:name w:val="nowrap"/>
    <w:rsid w:val="006F1099"/>
  </w:style>
  <w:style w:type="paragraph" w:styleId="Odstavecseseznamem">
    <w:name w:val="List Paragraph"/>
    <w:basedOn w:val="Normln"/>
    <w:uiPriority w:val="34"/>
    <w:qFormat/>
    <w:rsid w:val="00C90E6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Komerční banka, a</vt:lpstr>
    </vt:vector>
  </TitlesOfParts>
  <Company>Komerční banka, a. s.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Komerční banka, a</dc:title>
  <dc:creator>Eva Scheinherrová</dc:creator>
  <cp:lastModifiedBy>ZEMANOVÁ Pavla</cp:lastModifiedBy>
  <cp:revision>2</cp:revision>
  <cp:lastPrinted>2018-12-04T08:50:00Z</cp:lastPrinted>
  <dcterms:created xsi:type="dcterms:W3CDTF">2019-01-30T11:00:00Z</dcterms:created>
  <dcterms:modified xsi:type="dcterms:W3CDTF">2019-01-30T11:00:00Z</dcterms:modified>
</cp:coreProperties>
</file>