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63" w:rsidRDefault="007352C6">
      <w:pPr>
        <w:spacing w:after="39" w:line="259" w:lineRule="auto"/>
        <w:ind w:left="43" w:right="72"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5760720</wp:posOffset>
            </wp:positionH>
            <wp:positionV relativeFrom="paragraph">
              <wp:posOffset>54872</wp:posOffset>
            </wp:positionV>
            <wp:extent cx="822960" cy="393248"/>
            <wp:effectExtent l="0" t="0" r="0" b="0"/>
            <wp:wrapSquare wrapText="bothSides"/>
            <wp:docPr id="6945" name="Picture 6945"/>
            <wp:cNvGraphicFramePr/>
            <a:graphic xmlns:a="http://schemas.openxmlformats.org/drawingml/2006/main">
              <a:graphicData uri="http://schemas.openxmlformats.org/drawingml/2006/picture">
                <pic:pic xmlns:pic="http://schemas.openxmlformats.org/drawingml/2006/picture">
                  <pic:nvPicPr>
                    <pic:cNvPr id="6945" name="Picture 6945"/>
                    <pic:cNvPicPr/>
                  </pic:nvPicPr>
                  <pic:blipFill>
                    <a:blip r:embed="rId5"/>
                    <a:stretch>
                      <a:fillRect/>
                    </a:stretch>
                  </pic:blipFill>
                  <pic:spPr>
                    <a:xfrm>
                      <a:off x="0" y="0"/>
                      <a:ext cx="822960" cy="3932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27432</wp:posOffset>
            </wp:positionH>
            <wp:positionV relativeFrom="paragraph">
              <wp:posOffset>94501</wp:posOffset>
            </wp:positionV>
            <wp:extent cx="451104" cy="451168"/>
            <wp:effectExtent l="0" t="0" r="0" b="0"/>
            <wp:wrapSquare wrapText="bothSides"/>
            <wp:docPr id="6949" name="Picture 6949"/>
            <wp:cNvGraphicFramePr/>
            <a:graphic xmlns:a="http://schemas.openxmlformats.org/drawingml/2006/main">
              <a:graphicData uri="http://schemas.openxmlformats.org/drawingml/2006/picture">
                <pic:pic xmlns:pic="http://schemas.openxmlformats.org/drawingml/2006/picture">
                  <pic:nvPicPr>
                    <pic:cNvPr id="6949" name="Picture 6949"/>
                    <pic:cNvPicPr/>
                  </pic:nvPicPr>
                  <pic:blipFill>
                    <a:blip r:embed="rId6"/>
                    <a:stretch>
                      <a:fillRect/>
                    </a:stretch>
                  </pic:blipFill>
                  <pic:spPr>
                    <a:xfrm>
                      <a:off x="0" y="0"/>
                      <a:ext cx="451104" cy="451168"/>
                    </a:xfrm>
                    <a:prstGeom prst="rect">
                      <a:avLst/>
                    </a:prstGeom>
                  </pic:spPr>
                </pic:pic>
              </a:graphicData>
            </a:graphic>
          </wp:anchor>
        </w:drawing>
      </w:r>
    </w:p>
    <w:p w:rsidR="002D6B63" w:rsidRDefault="007352C6">
      <w:pPr>
        <w:tabs>
          <w:tab w:val="center" w:pos="1927"/>
          <w:tab w:val="center" w:pos="9715"/>
        </w:tabs>
        <w:spacing w:after="199" w:line="265" w:lineRule="auto"/>
        <w:ind w:right="0" w:firstLine="0"/>
        <w:jc w:val="left"/>
      </w:pPr>
      <w:r>
        <w:rPr>
          <w:sz w:val="38"/>
        </w:rPr>
        <w:tab/>
      </w:r>
      <w:proofErr w:type="spellStart"/>
      <w:r>
        <w:rPr>
          <w:sz w:val="38"/>
        </w:rPr>
        <w:t>Wood</w:t>
      </w:r>
      <w:proofErr w:type="spellEnd"/>
      <w:r>
        <w:rPr>
          <w:sz w:val="38"/>
        </w:rPr>
        <w:t xml:space="preserve"> &amp; Poper</w:t>
      </w:r>
      <w:r>
        <w:rPr>
          <w:sz w:val="38"/>
        </w:rPr>
        <w:tab/>
      </w:r>
    </w:p>
    <w:p w:rsidR="002D6B63" w:rsidRDefault="007352C6">
      <w:pPr>
        <w:tabs>
          <w:tab w:val="center" w:pos="7205"/>
        </w:tabs>
        <w:spacing w:after="0" w:line="259" w:lineRule="auto"/>
        <w:ind w:right="0" w:firstLine="0"/>
        <w:jc w:val="left"/>
      </w:pPr>
      <w:r>
        <w:rPr>
          <w:sz w:val="20"/>
          <w:u w:val="single" w:color="000000"/>
        </w:rPr>
        <w:t>Kupní smlouva č. PVJ2019/1/583</w:t>
      </w:r>
      <w:r>
        <w:rPr>
          <w:sz w:val="20"/>
          <w:u w:val="single" w:color="000000"/>
        </w:rPr>
        <w:tab/>
        <w:t>$ 2079 a násl. zákona č. 89/2012 Sb. občanského zákoníku. v účinném znění</w:t>
      </w:r>
    </w:p>
    <w:tbl>
      <w:tblPr>
        <w:tblStyle w:val="TableGrid"/>
        <w:tblW w:w="9110" w:type="dxa"/>
        <w:tblInd w:w="19" w:type="dxa"/>
        <w:tblLook w:val="04A0" w:firstRow="1" w:lastRow="0" w:firstColumn="1" w:lastColumn="0" w:noHBand="0" w:noVBand="1"/>
      </w:tblPr>
      <w:tblGrid>
        <w:gridCol w:w="1291"/>
        <w:gridCol w:w="3753"/>
        <w:gridCol w:w="1440"/>
        <w:gridCol w:w="2626"/>
      </w:tblGrid>
      <w:tr w:rsidR="002D6B63">
        <w:trPr>
          <w:trHeight w:val="216"/>
        </w:trPr>
        <w:tc>
          <w:tcPr>
            <w:tcW w:w="1291" w:type="dxa"/>
            <w:tcBorders>
              <w:top w:val="nil"/>
              <w:left w:val="nil"/>
              <w:bottom w:val="nil"/>
              <w:right w:val="nil"/>
            </w:tcBorders>
          </w:tcPr>
          <w:p w:rsidR="002D6B63" w:rsidRDefault="007352C6">
            <w:pPr>
              <w:spacing w:after="0" w:line="259" w:lineRule="auto"/>
              <w:ind w:left="10" w:right="0" w:firstLine="0"/>
              <w:jc w:val="left"/>
            </w:pPr>
            <w:r>
              <w:rPr>
                <w:sz w:val="20"/>
                <w:u w:val="single" w:color="000000"/>
              </w:rPr>
              <w:t>Kupující</w:t>
            </w:r>
            <w:r>
              <w:rPr>
                <w:sz w:val="20"/>
              </w:rPr>
              <w:t>:</w:t>
            </w:r>
          </w:p>
        </w:tc>
        <w:tc>
          <w:tcPr>
            <w:tcW w:w="3754" w:type="dxa"/>
            <w:tcBorders>
              <w:top w:val="nil"/>
              <w:left w:val="nil"/>
              <w:bottom w:val="nil"/>
              <w:right w:val="nil"/>
            </w:tcBorders>
          </w:tcPr>
          <w:p w:rsidR="002D6B63" w:rsidRDefault="007352C6">
            <w:pPr>
              <w:spacing w:after="0" w:line="259" w:lineRule="auto"/>
              <w:ind w:left="5" w:right="0" w:firstLine="0"/>
              <w:jc w:val="left"/>
            </w:pPr>
            <w:r>
              <w:rPr>
                <w:sz w:val="22"/>
              </w:rPr>
              <w:t>WOOD &amp; PAPER a.s.</w:t>
            </w:r>
          </w:p>
        </w:tc>
        <w:tc>
          <w:tcPr>
            <w:tcW w:w="1440" w:type="dxa"/>
            <w:tcBorders>
              <w:top w:val="nil"/>
              <w:left w:val="nil"/>
              <w:bottom w:val="nil"/>
              <w:right w:val="nil"/>
            </w:tcBorders>
          </w:tcPr>
          <w:p w:rsidR="002D6B63" w:rsidRDefault="007352C6">
            <w:pPr>
              <w:spacing w:after="0" w:line="259" w:lineRule="auto"/>
              <w:ind w:left="120" w:right="0" w:firstLine="0"/>
              <w:jc w:val="left"/>
            </w:pPr>
            <w:r>
              <w:rPr>
                <w:sz w:val="20"/>
                <w:u w:val="single" w:color="000000"/>
              </w:rPr>
              <w:t>Prodávající</w:t>
            </w:r>
            <w:r>
              <w:rPr>
                <w:sz w:val="20"/>
              </w:rPr>
              <w:t>:</w:t>
            </w:r>
          </w:p>
        </w:tc>
        <w:tc>
          <w:tcPr>
            <w:tcW w:w="2626" w:type="dxa"/>
            <w:tcBorders>
              <w:top w:val="nil"/>
              <w:left w:val="nil"/>
              <w:bottom w:val="nil"/>
              <w:right w:val="nil"/>
            </w:tcBorders>
          </w:tcPr>
          <w:p w:rsidR="002D6B63" w:rsidRDefault="007352C6">
            <w:pPr>
              <w:spacing w:after="0" w:line="259" w:lineRule="auto"/>
              <w:ind w:left="10" w:right="0" w:firstLine="0"/>
            </w:pPr>
            <w:r>
              <w:rPr>
                <w:sz w:val="20"/>
              </w:rPr>
              <w:t>Česká lesnická akademie Trutnov</w:t>
            </w:r>
          </w:p>
        </w:tc>
      </w:tr>
      <w:tr w:rsidR="002D6B63">
        <w:trPr>
          <w:trHeight w:val="223"/>
        </w:trPr>
        <w:tc>
          <w:tcPr>
            <w:tcW w:w="1291" w:type="dxa"/>
            <w:tcBorders>
              <w:top w:val="nil"/>
              <w:left w:val="nil"/>
              <w:bottom w:val="nil"/>
              <w:right w:val="nil"/>
            </w:tcBorders>
          </w:tcPr>
          <w:p w:rsidR="002D6B63" w:rsidRDefault="007352C6">
            <w:pPr>
              <w:spacing w:after="0" w:line="259" w:lineRule="auto"/>
              <w:ind w:right="0" w:firstLine="0"/>
              <w:jc w:val="left"/>
            </w:pPr>
            <w:r>
              <w:rPr>
                <w:sz w:val="20"/>
              </w:rPr>
              <w:t>Zastoupený:</w:t>
            </w:r>
          </w:p>
        </w:tc>
        <w:tc>
          <w:tcPr>
            <w:tcW w:w="3754" w:type="dxa"/>
            <w:tcBorders>
              <w:top w:val="nil"/>
              <w:left w:val="nil"/>
              <w:bottom w:val="nil"/>
              <w:right w:val="nil"/>
            </w:tcBorders>
          </w:tcPr>
          <w:p w:rsidR="002D6B63" w:rsidRDefault="007352C6">
            <w:pPr>
              <w:spacing w:after="0" w:line="259" w:lineRule="auto"/>
              <w:ind w:left="19" w:right="0" w:firstLine="0"/>
              <w:jc w:val="left"/>
            </w:pPr>
            <w:r>
              <w:rPr>
                <w:sz w:val="20"/>
              </w:rPr>
              <w:t>Ing. Tomáš Pařík</w:t>
            </w:r>
          </w:p>
        </w:tc>
        <w:tc>
          <w:tcPr>
            <w:tcW w:w="1440" w:type="dxa"/>
            <w:tcBorders>
              <w:top w:val="nil"/>
              <w:left w:val="nil"/>
              <w:bottom w:val="nil"/>
              <w:right w:val="nil"/>
            </w:tcBorders>
          </w:tcPr>
          <w:p w:rsidR="002D6B63" w:rsidRDefault="007352C6">
            <w:pPr>
              <w:spacing w:after="0" w:line="259" w:lineRule="auto"/>
              <w:ind w:left="115" w:right="0" w:firstLine="0"/>
              <w:jc w:val="left"/>
            </w:pPr>
            <w:r>
              <w:rPr>
                <w:sz w:val="20"/>
              </w:rPr>
              <w:t>Zastoupený:</w:t>
            </w:r>
          </w:p>
        </w:tc>
        <w:tc>
          <w:tcPr>
            <w:tcW w:w="2626" w:type="dxa"/>
            <w:tcBorders>
              <w:top w:val="nil"/>
              <w:left w:val="nil"/>
              <w:bottom w:val="nil"/>
              <w:right w:val="nil"/>
            </w:tcBorders>
          </w:tcPr>
          <w:p w:rsidR="002D6B63" w:rsidRDefault="007352C6">
            <w:pPr>
              <w:spacing w:after="0" w:line="259" w:lineRule="auto"/>
              <w:ind w:left="14" w:right="0" w:firstLine="0"/>
              <w:jc w:val="left"/>
            </w:pPr>
            <w:r>
              <w:rPr>
                <w:sz w:val="18"/>
              </w:rPr>
              <w:t>Mgr. Jan Korbelář</w:t>
            </w:r>
          </w:p>
        </w:tc>
      </w:tr>
      <w:tr w:rsidR="002D6B63">
        <w:trPr>
          <w:trHeight w:val="215"/>
        </w:trPr>
        <w:tc>
          <w:tcPr>
            <w:tcW w:w="1291" w:type="dxa"/>
            <w:tcBorders>
              <w:top w:val="nil"/>
              <w:left w:val="nil"/>
              <w:bottom w:val="nil"/>
              <w:right w:val="nil"/>
            </w:tcBorders>
          </w:tcPr>
          <w:p w:rsidR="002D6B63" w:rsidRDefault="007352C6" w:rsidP="00CD32EC">
            <w:pPr>
              <w:spacing w:after="0" w:line="259" w:lineRule="auto"/>
              <w:ind w:left="10" w:right="0" w:firstLine="0"/>
              <w:jc w:val="left"/>
            </w:pPr>
            <w:r>
              <w:rPr>
                <w:sz w:val="20"/>
              </w:rPr>
              <w:t>Bank.</w:t>
            </w:r>
            <w:r w:rsidR="00CD32EC">
              <w:rPr>
                <w:sz w:val="20"/>
              </w:rPr>
              <w:t xml:space="preserve"> </w:t>
            </w:r>
            <w:proofErr w:type="gramStart"/>
            <w:r w:rsidR="00CD32EC">
              <w:rPr>
                <w:sz w:val="20"/>
              </w:rPr>
              <w:t>s</w:t>
            </w:r>
            <w:r>
              <w:rPr>
                <w:sz w:val="20"/>
              </w:rPr>
              <w:t>pojení</w:t>
            </w:r>
            <w:proofErr w:type="gramEnd"/>
            <w:r w:rsidR="00CD32EC">
              <w:rPr>
                <w:sz w:val="20"/>
              </w:rPr>
              <w:t>:</w:t>
            </w:r>
          </w:p>
        </w:tc>
        <w:tc>
          <w:tcPr>
            <w:tcW w:w="3754" w:type="dxa"/>
            <w:tcBorders>
              <w:top w:val="nil"/>
              <w:left w:val="nil"/>
              <w:bottom w:val="nil"/>
              <w:right w:val="nil"/>
            </w:tcBorders>
          </w:tcPr>
          <w:p w:rsidR="002D6B63" w:rsidRDefault="007352C6">
            <w:pPr>
              <w:spacing w:after="0" w:line="259" w:lineRule="auto"/>
              <w:ind w:left="19" w:right="0" w:firstLine="0"/>
              <w:jc w:val="left"/>
            </w:pPr>
            <w:proofErr w:type="spellStart"/>
            <w:r>
              <w:rPr>
                <w:sz w:val="18"/>
              </w:rPr>
              <w:t>Raiffeisenbank</w:t>
            </w:r>
            <w:proofErr w:type="spellEnd"/>
            <w:r>
              <w:rPr>
                <w:sz w:val="18"/>
              </w:rPr>
              <w:t xml:space="preserve">, a. s., </w:t>
            </w:r>
            <w:proofErr w:type="spellStart"/>
            <w:proofErr w:type="gramStart"/>
            <w:r>
              <w:rPr>
                <w:sz w:val="18"/>
              </w:rPr>
              <w:t>č.ú</w:t>
            </w:r>
            <w:proofErr w:type="spellEnd"/>
            <w:r>
              <w:rPr>
                <w:sz w:val="18"/>
              </w:rPr>
              <w:t>.</w:t>
            </w:r>
            <w:proofErr w:type="gramEnd"/>
            <w:r>
              <w:rPr>
                <w:sz w:val="18"/>
              </w:rPr>
              <w:t xml:space="preserve"> 101 1010196/5500</w:t>
            </w:r>
          </w:p>
        </w:tc>
        <w:tc>
          <w:tcPr>
            <w:tcW w:w="1440" w:type="dxa"/>
            <w:tcBorders>
              <w:top w:val="nil"/>
              <w:left w:val="nil"/>
              <w:bottom w:val="nil"/>
              <w:right w:val="nil"/>
            </w:tcBorders>
          </w:tcPr>
          <w:p w:rsidR="002D6B63" w:rsidRDefault="007352C6" w:rsidP="00CD32EC">
            <w:pPr>
              <w:spacing w:after="0" w:line="259" w:lineRule="auto"/>
              <w:ind w:left="120" w:right="0" w:firstLine="0"/>
              <w:jc w:val="left"/>
            </w:pPr>
            <w:r>
              <w:rPr>
                <w:sz w:val="20"/>
              </w:rPr>
              <w:t xml:space="preserve">Bank. </w:t>
            </w:r>
            <w:proofErr w:type="gramStart"/>
            <w:r>
              <w:rPr>
                <w:sz w:val="20"/>
              </w:rPr>
              <w:t>spojení</w:t>
            </w:r>
            <w:proofErr w:type="gramEnd"/>
            <w:r w:rsidR="00CD32EC">
              <w:rPr>
                <w:sz w:val="20"/>
              </w:rPr>
              <w:t>:</w:t>
            </w:r>
          </w:p>
        </w:tc>
        <w:tc>
          <w:tcPr>
            <w:tcW w:w="2626" w:type="dxa"/>
            <w:tcBorders>
              <w:top w:val="nil"/>
              <w:left w:val="nil"/>
              <w:bottom w:val="nil"/>
              <w:right w:val="nil"/>
            </w:tcBorders>
          </w:tcPr>
          <w:p w:rsidR="002D6B63" w:rsidRDefault="007352C6">
            <w:pPr>
              <w:spacing w:after="0" w:line="259" w:lineRule="auto"/>
              <w:ind w:left="10" w:right="0" w:firstLine="0"/>
              <w:jc w:val="left"/>
            </w:pPr>
            <w:r>
              <w:rPr>
                <w:rFonts w:ascii="Calibri" w:eastAsia="Calibri" w:hAnsi="Calibri" w:cs="Calibri"/>
                <w:sz w:val="14"/>
              </w:rPr>
              <w:t xml:space="preserve">ČSOB a.s., </w:t>
            </w:r>
            <w:proofErr w:type="spellStart"/>
            <w:proofErr w:type="gramStart"/>
            <w:r>
              <w:rPr>
                <w:rFonts w:ascii="Calibri" w:eastAsia="Calibri" w:hAnsi="Calibri" w:cs="Calibri"/>
                <w:sz w:val="14"/>
              </w:rPr>
              <w:t>č.ú</w:t>
            </w:r>
            <w:proofErr w:type="spellEnd"/>
            <w:r>
              <w:rPr>
                <w:rFonts w:ascii="Calibri" w:eastAsia="Calibri" w:hAnsi="Calibri" w:cs="Calibri"/>
                <w:sz w:val="14"/>
              </w:rPr>
              <w:t>.</w:t>
            </w:r>
            <w:proofErr w:type="gramEnd"/>
            <w:r>
              <w:rPr>
                <w:rFonts w:ascii="Calibri" w:eastAsia="Calibri" w:hAnsi="Calibri" w:cs="Calibri"/>
                <w:sz w:val="14"/>
              </w:rPr>
              <w:t xml:space="preserve"> </w:t>
            </w:r>
            <w:r w:rsidR="00CD32EC">
              <w:rPr>
                <w:rFonts w:ascii="Calibri" w:eastAsia="Calibri" w:hAnsi="Calibri" w:cs="Calibri"/>
                <w:sz w:val="14"/>
              </w:rPr>
              <w:t xml:space="preserve"> </w:t>
            </w:r>
            <w:r>
              <w:rPr>
                <w:rFonts w:ascii="Calibri" w:eastAsia="Calibri" w:hAnsi="Calibri" w:cs="Calibri"/>
                <w:sz w:val="14"/>
              </w:rPr>
              <w:t>218391577</w:t>
            </w:r>
            <w:r w:rsidR="00CD32EC">
              <w:rPr>
                <w:rFonts w:ascii="Calibri" w:eastAsia="Calibri" w:hAnsi="Calibri" w:cs="Calibri"/>
                <w:sz w:val="14"/>
              </w:rPr>
              <w:t xml:space="preserve"> </w:t>
            </w:r>
            <w:r>
              <w:rPr>
                <w:rFonts w:ascii="Calibri" w:eastAsia="Calibri" w:hAnsi="Calibri" w:cs="Calibri"/>
                <w:sz w:val="14"/>
              </w:rPr>
              <w:t>/0300</w:t>
            </w:r>
          </w:p>
        </w:tc>
      </w:tr>
      <w:tr w:rsidR="002D6B63">
        <w:trPr>
          <w:trHeight w:val="226"/>
        </w:trPr>
        <w:tc>
          <w:tcPr>
            <w:tcW w:w="1291" w:type="dxa"/>
            <w:tcBorders>
              <w:top w:val="nil"/>
              <w:left w:val="nil"/>
              <w:bottom w:val="nil"/>
              <w:right w:val="nil"/>
            </w:tcBorders>
          </w:tcPr>
          <w:p w:rsidR="002D6B63" w:rsidRDefault="007352C6">
            <w:pPr>
              <w:spacing w:after="0" w:line="259" w:lineRule="auto"/>
              <w:ind w:left="5" w:right="0" w:firstLine="0"/>
              <w:jc w:val="left"/>
            </w:pPr>
            <w:r>
              <w:rPr>
                <w:sz w:val="20"/>
              </w:rPr>
              <w:t>IČO/DIČ:</w:t>
            </w:r>
          </w:p>
        </w:tc>
        <w:tc>
          <w:tcPr>
            <w:tcW w:w="3754" w:type="dxa"/>
            <w:tcBorders>
              <w:top w:val="nil"/>
              <w:left w:val="nil"/>
              <w:bottom w:val="nil"/>
              <w:right w:val="nil"/>
            </w:tcBorders>
          </w:tcPr>
          <w:p w:rsidR="002D6B63" w:rsidRDefault="007352C6">
            <w:pPr>
              <w:spacing w:after="0" w:line="259" w:lineRule="auto"/>
              <w:ind w:left="10" w:right="0" w:firstLine="0"/>
              <w:jc w:val="left"/>
            </w:pPr>
            <w:r>
              <w:rPr>
                <w:sz w:val="18"/>
              </w:rPr>
              <w:t>26229854/ CZ26229854</w:t>
            </w:r>
          </w:p>
        </w:tc>
        <w:tc>
          <w:tcPr>
            <w:tcW w:w="1440" w:type="dxa"/>
            <w:tcBorders>
              <w:top w:val="nil"/>
              <w:left w:val="nil"/>
              <w:bottom w:val="nil"/>
              <w:right w:val="nil"/>
            </w:tcBorders>
          </w:tcPr>
          <w:p w:rsidR="002D6B63" w:rsidRDefault="007352C6">
            <w:pPr>
              <w:spacing w:after="0" w:line="259" w:lineRule="auto"/>
              <w:ind w:left="115" w:right="0" w:firstLine="0"/>
              <w:jc w:val="left"/>
            </w:pPr>
            <w:r>
              <w:rPr>
                <w:sz w:val="20"/>
              </w:rPr>
              <w:t>IČO/DIČ:</w:t>
            </w:r>
          </w:p>
        </w:tc>
        <w:tc>
          <w:tcPr>
            <w:tcW w:w="2626" w:type="dxa"/>
            <w:tcBorders>
              <w:top w:val="nil"/>
              <w:left w:val="nil"/>
              <w:bottom w:val="nil"/>
              <w:right w:val="nil"/>
            </w:tcBorders>
          </w:tcPr>
          <w:p w:rsidR="002D6B63" w:rsidRDefault="007352C6">
            <w:pPr>
              <w:spacing w:after="0" w:line="259" w:lineRule="auto"/>
              <w:ind w:left="10" w:right="0" w:firstLine="0"/>
              <w:jc w:val="left"/>
            </w:pPr>
            <w:r>
              <w:rPr>
                <w:sz w:val="18"/>
              </w:rPr>
              <w:t>60153296 / CZ60153296</w:t>
            </w:r>
          </w:p>
        </w:tc>
      </w:tr>
      <w:tr w:rsidR="002D6B63">
        <w:trPr>
          <w:trHeight w:val="253"/>
        </w:trPr>
        <w:tc>
          <w:tcPr>
            <w:tcW w:w="1291" w:type="dxa"/>
            <w:tcBorders>
              <w:top w:val="nil"/>
              <w:left w:val="nil"/>
              <w:bottom w:val="nil"/>
              <w:right w:val="nil"/>
            </w:tcBorders>
          </w:tcPr>
          <w:p w:rsidR="002D6B63" w:rsidRDefault="007352C6">
            <w:pPr>
              <w:spacing w:after="0" w:line="259" w:lineRule="auto"/>
              <w:ind w:left="5" w:right="0" w:firstLine="0"/>
              <w:jc w:val="left"/>
            </w:pPr>
            <w:r>
              <w:rPr>
                <w:sz w:val="20"/>
              </w:rPr>
              <w:t>Zápis v OR:</w:t>
            </w:r>
          </w:p>
        </w:tc>
        <w:tc>
          <w:tcPr>
            <w:tcW w:w="3754" w:type="dxa"/>
            <w:tcBorders>
              <w:top w:val="nil"/>
              <w:left w:val="nil"/>
              <w:bottom w:val="nil"/>
              <w:right w:val="nil"/>
            </w:tcBorders>
          </w:tcPr>
          <w:p w:rsidR="002D6B63" w:rsidRDefault="007352C6" w:rsidP="00CD32EC">
            <w:pPr>
              <w:spacing w:after="0" w:line="259" w:lineRule="auto"/>
              <w:ind w:left="14" w:right="0" w:firstLine="0"/>
              <w:jc w:val="left"/>
            </w:pPr>
            <w:r>
              <w:rPr>
                <w:sz w:val="18"/>
              </w:rPr>
              <w:t>KS v Brně, odd. B, vložka 3439, 24.</w:t>
            </w:r>
            <w:r w:rsidR="00CD32EC">
              <w:rPr>
                <w:sz w:val="18"/>
              </w:rPr>
              <w:t xml:space="preserve"> </w:t>
            </w:r>
            <w:r>
              <w:rPr>
                <w:sz w:val="18"/>
              </w:rPr>
              <w:t>11.</w:t>
            </w:r>
            <w:r w:rsidR="00CD32EC">
              <w:rPr>
                <w:sz w:val="18"/>
              </w:rPr>
              <w:t xml:space="preserve"> </w:t>
            </w:r>
            <w:r>
              <w:rPr>
                <w:sz w:val="18"/>
              </w:rPr>
              <w:t>2000</w:t>
            </w:r>
          </w:p>
        </w:tc>
        <w:tc>
          <w:tcPr>
            <w:tcW w:w="1440" w:type="dxa"/>
            <w:tcBorders>
              <w:top w:val="nil"/>
              <w:left w:val="nil"/>
              <w:bottom w:val="nil"/>
              <w:right w:val="nil"/>
            </w:tcBorders>
          </w:tcPr>
          <w:p w:rsidR="002D6B63" w:rsidRDefault="007352C6">
            <w:pPr>
              <w:spacing w:after="0" w:line="259" w:lineRule="auto"/>
              <w:ind w:left="115" w:right="0" w:firstLine="0"/>
              <w:jc w:val="left"/>
            </w:pPr>
            <w:r>
              <w:rPr>
                <w:sz w:val="22"/>
              </w:rPr>
              <w:t>Zápis v OR:</w:t>
            </w:r>
          </w:p>
        </w:tc>
        <w:tc>
          <w:tcPr>
            <w:tcW w:w="2626" w:type="dxa"/>
            <w:tcBorders>
              <w:top w:val="nil"/>
              <w:left w:val="nil"/>
              <w:bottom w:val="nil"/>
              <w:right w:val="nil"/>
            </w:tcBorders>
          </w:tcPr>
          <w:p w:rsidR="002D6B63" w:rsidRDefault="002D6B63">
            <w:pPr>
              <w:spacing w:after="160" w:line="259" w:lineRule="auto"/>
              <w:ind w:right="0" w:firstLine="0"/>
              <w:jc w:val="left"/>
            </w:pPr>
          </w:p>
        </w:tc>
      </w:tr>
      <w:tr w:rsidR="002D6B63">
        <w:trPr>
          <w:trHeight w:val="254"/>
        </w:trPr>
        <w:tc>
          <w:tcPr>
            <w:tcW w:w="1291" w:type="dxa"/>
            <w:tcBorders>
              <w:top w:val="nil"/>
              <w:left w:val="nil"/>
              <w:bottom w:val="nil"/>
              <w:right w:val="nil"/>
            </w:tcBorders>
          </w:tcPr>
          <w:p w:rsidR="002D6B63" w:rsidRDefault="007352C6">
            <w:pPr>
              <w:spacing w:after="0" w:line="259" w:lineRule="auto"/>
              <w:ind w:right="0" w:firstLine="0"/>
              <w:jc w:val="left"/>
            </w:pPr>
            <w:r>
              <w:rPr>
                <w:sz w:val="20"/>
              </w:rPr>
              <w:t>Telefon/Fax:</w:t>
            </w:r>
          </w:p>
        </w:tc>
        <w:tc>
          <w:tcPr>
            <w:tcW w:w="3754" w:type="dxa"/>
            <w:tcBorders>
              <w:top w:val="nil"/>
              <w:left w:val="nil"/>
              <w:bottom w:val="nil"/>
              <w:right w:val="nil"/>
            </w:tcBorders>
          </w:tcPr>
          <w:p w:rsidR="002D6B63" w:rsidRDefault="007352C6">
            <w:pPr>
              <w:spacing w:after="0" w:line="259" w:lineRule="auto"/>
              <w:ind w:left="10" w:right="0" w:firstLine="0"/>
              <w:jc w:val="left"/>
            </w:pPr>
            <w:r>
              <w:rPr>
                <w:rFonts w:ascii="Calibri" w:eastAsia="Calibri" w:hAnsi="Calibri" w:cs="Calibri"/>
                <w:sz w:val="18"/>
              </w:rPr>
              <w:t>+420-546 418 211/+420-546 418 214</w:t>
            </w:r>
          </w:p>
        </w:tc>
        <w:tc>
          <w:tcPr>
            <w:tcW w:w="1440" w:type="dxa"/>
            <w:tcBorders>
              <w:top w:val="nil"/>
              <w:left w:val="nil"/>
              <w:bottom w:val="nil"/>
              <w:right w:val="nil"/>
            </w:tcBorders>
          </w:tcPr>
          <w:p w:rsidR="002D6B63" w:rsidRDefault="007352C6">
            <w:pPr>
              <w:spacing w:after="0" w:line="259" w:lineRule="auto"/>
              <w:ind w:left="110" w:right="0" w:firstLine="0"/>
              <w:jc w:val="left"/>
            </w:pPr>
            <w:r>
              <w:rPr>
                <w:sz w:val="20"/>
              </w:rPr>
              <w:t>Telefon/Fax:</w:t>
            </w:r>
          </w:p>
        </w:tc>
        <w:tc>
          <w:tcPr>
            <w:tcW w:w="2626" w:type="dxa"/>
            <w:tcBorders>
              <w:top w:val="nil"/>
              <w:left w:val="nil"/>
              <w:bottom w:val="nil"/>
              <w:right w:val="nil"/>
            </w:tcBorders>
            <w:vAlign w:val="bottom"/>
          </w:tcPr>
          <w:p w:rsidR="002D6B63" w:rsidRDefault="002D6B63">
            <w:pPr>
              <w:spacing w:after="160" w:line="259" w:lineRule="auto"/>
              <w:ind w:right="0" w:firstLine="0"/>
              <w:jc w:val="left"/>
            </w:pPr>
          </w:p>
        </w:tc>
      </w:tr>
      <w:tr w:rsidR="002D6B63">
        <w:trPr>
          <w:trHeight w:val="435"/>
        </w:trPr>
        <w:tc>
          <w:tcPr>
            <w:tcW w:w="1291" w:type="dxa"/>
            <w:tcBorders>
              <w:top w:val="nil"/>
              <w:left w:val="nil"/>
              <w:bottom w:val="nil"/>
              <w:right w:val="nil"/>
            </w:tcBorders>
          </w:tcPr>
          <w:p w:rsidR="002D6B63" w:rsidRDefault="007352C6">
            <w:pPr>
              <w:spacing w:after="0" w:line="259" w:lineRule="auto"/>
              <w:ind w:left="14" w:right="0" w:firstLine="0"/>
              <w:jc w:val="left"/>
            </w:pPr>
            <w:proofErr w:type="gramStart"/>
            <w:r>
              <w:rPr>
                <w:sz w:val="20"/>
              </w:rPr>
              <w:t>E— mail</w:t>
            </w:r>
            <w:proofErr w:type="gramEnd"/>
            <w:r>
              <w:rPr>
                <w:sz w:val="20"/>
              </w:rPr>
              <w:t>:</w:t>
            </w:r>
          </w:p>
        </w:tc>
        <w:tc>
          <w:tcPr>
            <w:tcW w:w="3754" w:type="dxa"/>
            <w:tcBorders>
              <w:top w:val="nil"/>
              <w:left w:val="nil"/>
              <w:bottom w:val="nil"/>
              <w:right w:val="nil"/>
            </w:tcBorders>
          </w:tcPr>
          <w:p w:rsidR="002D6B63" w:rsidRDefault="007352C6">
            <w:pPr>
              <w:spacing w:after="0" w:line="259" w:lineRule="auto"/>
              <w:ind w:right="0" w:firstLine="0"/>
              <w:jc w:val="left"/>
            </w:pPr>
            <w:r>
              <w:rPr>
                <w:sz w:val="18"/>
              </w:rPr>
              <w:t>jan.holesovsky@wood-paper.cz</w:t>
            </w:r>
          </w:p>
        </w:tc>
        <w:tc>
          <w:tcPr>
            <w:tcW w:w="1440" w:type="dxa"/>
            <w:tcBorders>
              <w:top w:val="nil"/>
              <w:left w:val="nil"/>
              <w:bottom w:val="nil"/>
              <w:right w:val="nil"/>
            </w:tcBorders>
          </w:tcPr>
          <w:p w:rsidR="002D6B63" w:rsidRDefault="007352C6">
            <w:pPr>
              <w:spacing w:after="0" w:line="259" w:lineRule="auto"/>
              <w:ind w:left="120" w:right="0" w:firstLine="0"/>
              <w:jc w:val="left"/>
            </w:pPr>
            <w:r>
              <w:rPr>
                <w:sz w:val="20"/>
              </w:rPr>
              <w:t>E — mail:</w:t>
            </w:r>
          </w:p>
        </w:tc>
        <w:tc>
          <w:tcPr>
            <w:tcW w:w="2626" w:type="dxa"/>
            <w:tcBorders>
              <w:top w:val="nil"/>
              <w:left w:val="nil"/>
              <w:bottom w:val="nil"/>
              <w:right w:val="nil"/>
            </w:tcBorders>
          </w:tcPr>
          <w:p w:rsidR="002D6B63" w:rsidRDefault="007352C6">
            <w:pPr>
              <w:spacing w:after="0" w:line="259" w:lineRule="auto"/>
              <w:ind w:left="10" w:right="0" w:firstLine="0"/>
              <w:jc w:val="left"/>
            </w:pPr>
            <w:r>
              <w:rPr>
                <w:sz w:val="18"/>
              </w:rPr>
              <w:t>kachlik@clatrutnov.cz</w:t>
            </w:r>
          </w:p>
          <w:p w:rsidR="002D6B63" w:rsidRDefault="007352C6">
            <w:pPr>
              <w:spacing w:after="0" w:line="259" w:lineRule="auto"/>
              <w:ind w:left="14" w:right="0" w:firstLine="0"/>
              <w:jc w:val="left"/>
            </w:pPr>
            <w:r>
              <w:rPr>
                <w:sz w:val="20"/>
              </w:rPr>
              <w:t>Lesnická 9, 541 1 1 Trutnov, CZ</w:t>
            </w:r>
          </w:p>
        </w:tc>
      </w:tr>
      <w:tr w:rsidR="002D6B63">
        <w:trPr>
          <w:trHeight w:val="166"/>
        </w:trPr>
        <w:tc>
          <w:tcPr>
            <w:tcW w:w="1291" w:type="dxa"/>
            <w:tcBorders>
              <w:top w:val="nil"/>
              <w:left w:val="nil"/>
              <w:bottom w:val="nil"/>
              <w:right w:val="nil"/>
            </w:tcBorders>
          </w:tcPr>
          <w:p w:rsidR="002D6B63" w:rsidRDefault="007352C6">
            <w:pPr>
              <w:spacing w:after="0" w:line="259" w:lineRule="auto"/>
              <w:ind w:left="10" w:right="0" w:firstLine="0"/>
              <w:jc w:val="left"/>
            </w:pPr>
            <w:r>
              <w:rPr>
                <w:sz w:val="20"/>
              </w:rPr>
              <w:t>Adresa:</w:t>
            </w:r>
          </w:p>
        </w:tc>
        <w:tc>
          <w:tcPr>
            <w:tcW w:w="3754" w:type="dxa"/>
            <w:tcBorders>
              <w:top w:val="nil"/>
              <w:left w:val="nil"/>
              <w:bottom w:val="nil"/>
              <w:right w:val="nil"/>
            </w:tcBorders>
          </w:tcPr>
          <w:p w:rsidR="002D6B63" w:rsidRDefault="007352C6">
            <w:pPr>
              <w:spacing w:after="0" w:line="259" w:lineRule="auto"/>
              <w:ind w:left="14" w:right="0" w:firstLine="0"/>
              <w:jc w:val="left"/>
            </w:pPr>
            <w:r>
              <w:rPr>
                <w:sz w:val="20"/>
              </w:rPr>
              <w:t>Hlína 18 čp. 57, 664 91 Ivančice</w:t>
            </w:r>
          </w:p>
        </w:tc>
        <w:tc>
          <w:tcPr>
            <w:tcW w:w="1440" w:type="dxa"/>
            <w:tcBorders>
              <w:top w:val="nil"/>
              <w:left w:val="nil"/>
              <w:bottom w:val="nil"/>
              <w:right w:val="nil"/>
            </w:tcBorders>
          </w:tcPr>
          <w:p w:rsidR="002D6B63" w:rsidRDefault="007352C6">
            <w:pPr>
              <w:spacing w:after="0" w:line="259" w:lineRule="auto"/>
              <w:ind w:left="115" w:right="0" w:firstLine="0"/>
              <w:jc w:val="left"/>
            </w:pPr>
            <w:r>
              <w:rPr>
                <w:sz w:val="20"/>
              </w:rPr>
              <w:t>Adresa:</w:t>
            </w:r>
          </w:p>
        </w:tc>
        <w:tc>
          <w:tcPr>
            <w:tcW w:w="2626" w:type="dxa"/>
            <w:tcBorders>
              <w:top w:val="nil"/>
              <w:left w:val="nil"/>
              <w:bottom w:val="nil"/>
              <w:right w:val="nil"/>
            </w:tcBorders>
          </w:tcPr>
          <w:p w:rsidR="002D6B63" w:rsidRDefault="002D6B63">
            <w:pPr>
              <w:spacing w:after="160" w:line="259" w:lineRule="auto"/>
              <w:ind w:right="0" w:firstLine="0"/>
              <w:jc w:val="left"/>
            </w:pPr>
          </w:p>
        </w:tc>
      </w:tr>
    </w:tbl>
    <w:p w:rsidR="002D6B63" w:rsidRDefault="007352C6">
      <w:pPr>
        <w:numPr>
          <w:ilvl w:val="0"/>
          <w:numId w:val="1"/>
        </w:numPr>
        <w:spacing w:after="0" w:line="259" w:lineRule="auto"/>
        <w:ind w:right="0" w:hanging="278"/>
        <w:jc w:val="left"/>
      </w:pPr>
      <w:r>
        <w:rPr>
          <w:noProof/>
        </w:rPr>
        <w:drawing>
          <wp:anchor distT="0" distB="0" distL="114300" distR="114300" simplePos="0" relativeHeight="251660288" behindDoc="0" locked="0" layoutInCell="1" allowOverlap="0">
            <wp:simplePos x="0" y="0"/>
            <wp:positionH relativeFrom="page">
              <wp:posOffset>460248</wp:posOffset>
            </wp:positionH>
            <wp:positionV relativeFrom="page">
              <wp:posOffset>207294</wp:posOffset>
            </wp:positionV>
            <wp:extent cx="454152" cy="42678"/>
            <wp:effectExtent l="0" t="0" r="0" b="0"/>
            <wp:wrapTopAndBottom/>
            <wp:docPr id="6948" name="Picture 6948"/>
            <wp:cNvGraphicFramePr/>
            <a:graphic xmlns:a="http://schemas.openxmlformats.org/drawingml/2006/main">
              <a:graphicData uri="http://schemas.openxmlformats.org/drawingml/2006/picture">
                <pic:pic xmlns:pic="http://schemas.openxmlformats.org/drawingml/2006/picture">
                  <pic:nvPicPr>
                    <pic:cNvPr id="6948" name="Picture 6948"/>
                    <pic:cNvPicPr/>
                  </pic:nvPicPr>
                  <pic:blipFill>
                    <a:blip r:embed="rId7"/>
                    <a:stretch>
                      <a:fillRect/>
                    </a:stretch>
                  </pic:blipFill>
                  <pic:spPr>
                    <a:xfrm>
                      <a:off x="0" y="0"/>
                      <a:ext cx="454152" cy="42678"/>
                    </a:xfrm>
                    <a:prstGeom prst="rect">
                      <a:avLst/>
                    </a:prstGeom>
                  </pic:spPr>
                </pic:pic>
              </a:graphicData>
            </a:graphic>
          </wp:anchor>
        </w:drawing>
      </w:r>
      <w:r>
        <w:rPr>
          <w:sz w:val="22"/>
        </w:rPr>
        <w:t xml:space="preserve">Předmět smlouvy: dodávky sortimentu jehličnatých kulatin </w:t>
      </w:r>
      <w:r w:rsidR="00CD32EC">
        <w:rPr>
          <w:sz w:val="22"/>
        </w:rPr>
        <w:t>III</w:t>
      </w:r>
      <w:r>
        <w:rPr>
          <w:sz w:val="22"/>
        </w:rPr>
        <w:t xml:space="preserve">. </w:t>
      </w:r>
      <w:proofErr w:type="gramStart"/>
      <w:r>
        <w:rPr>
          <w:sz w:val="22"/>
        </w:rPr>
        <w:t>tř</w:t>
      </w:r>
      <w:r w:rsidR="00CD32EC">
        <w:rPr>
          <w:sz w:val="22"/>
        </w:rPr>
        <w:t>.</w:t>
      </w:r>
      <w:r>
        <w:rPr>
          <w:sz w:val="22"/>
        </w:rPr>
        <w:t xml:space="preserve"> z OM</w:t>
      </w:r>
      <w:proofErr w:type="gramEnd"/>
      <w:r>
        <w:rPr>
          <w:sz w:val="22"/>
        </w:rPr>
        <w:t xml:space="preserve"> do HI </w:t>
      </w:r>
      <w:proofErr w:type="spellStart"/>
      <w:r>
        <w:rPr>
          <w:sz w:val="22"/>
        </w:rPr>
        <w:t>Maresch</w:t>
      </w:r>
      <w:proofErr w:type="spellEnd"/>
      <w:r>
        <w:rPr>
          <w:sz w:val="22"/>
        </w:rPr>
        <w:t xml:space="preserve"> </w:t>
      </w:r>
      <w:proofErr w:type="spellStart"/>
      <w:r>
        <w:rPr>
          <w:sz w:val="22"/>
        </w:rPr>
        <w:t>GmbH</w:t>
      </w:r>
      <w:proofErr w:type="spellEnd"/>
      <w:r>
        <w:rPr>
          <w:sz w:val="22"/>
        </w:rPr>
        <w:t xml:space="preserve">, </w:t>
      </w:r>
      <w:proofErr w:type="spellStart"/>
      <w:r>
        <w:rPr>
          <w:sz w:val="22"/>
        </w:rPr>
        <w:t>Breiten</w:t>
      </w:r>
      <w:proofErr w:type="spellEnd"/>
      <w:r>
        <w:rPr>
          <w:sz w:val="22"/>
        </w:rPr>
        <w:t xml:space="preserve"> 1, 2070 </w:t>
      </w:r>
      <w:proofErr w:type="spellStart"/>
      <w:r>
        <w:rPr>
          <w:sz w:val="22"/>
        </w:rPr>
        <w:t>Retz</w:t>
      </w:r>
      <w:proofErr w:type="spellEnd"/>
      <w:r>
        <w:rPr>
          <w:sz w:val="22"/>
        </w:rPr>
        <w:t>, Rakousko (dále též jen „konečný příjemce”):</w:t>
      </w:r>
    </w:p>
    <w:tbl>
      <w:tblPr>
        <w:tblStyle w:val="TableGrid"/>
        <w:tblW w:w="8657" w:type="dxa"/>
        <w:tblInd w:w="484" w:type="dxa"/>
        <w:tblLayout w:type="fixed"/>
        <w:tblCellMar>
          <w:top w:w="42" w:type="dxa"/>
          <w:left w:w="29" w:type="dxa"/>
        </w:tblCellMar>
        <w:tblLook w:val="04A0" w:firstRow="1" w:lastRow="0" w:firstColumn="1" w:lastColumn="0" w:noHBand="0" w:noVBand="1"/>
      </w:tblPr>
      <w:tblGrid>
        <w:gridCol w:w="3767"/>
        <w:gridCol w:w="1085"/>
        <w:gridCol w:w="818"/>
        <w:gridCol w:w="356"/>
        <w:gridCol w:w="717"/>
        <w:gridCol w:w="746"/>
        <w:gridCol w:w="482"/>
        <w:gridCol w:w="292"/>
        <w:gridCol w:w="394"/>
      </w:tblGrid>
      <w:tr w:rsidR="002D6B63" w:rsidTr="00CD32EC">
        <w:trPr>
          <w:trHeight w:val="253"/>
        </w:trPr>
        <w:tc>
          <w:tcPr>
            <w:tcW w:w="3767" w:type="dxa"/>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pPr>
              <w:spacing w:after="0" w:line="259" w:lineRule="auto"/>
              <w:ind w:right="82" w:firstLine="0"/>
              <w:jc w:val="center"/>
            </w:pPr>
            <w:r>
              <w:rPr>
                <w:rFonts w:ascii="Calibri" w:eastAsia="Calibri" w:hAnsi="Calibri" w:cs="Calibri"/>
                <w:sz w:val="20"/>
              </w:rPr>
              <w:t>PVJ</w:t>
            </w:r>
          </w:p>
        </w:tc>
        <w:tc>
          <w:tcPr>
            <w:tcW w:w="1085" w:type="dxa"/>
            <w:vMerge w:val="restart"/>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52" w:right="-10" w:hanging="43"/>
            </w:pPr>
            <w:r>
              <w:rPr>
                <w:sz w:val="24"/>
              </w:rPr>
              <w:t xml:space="preserve">objem (m3) </w:t>
            </w:r>
            <w:proofErr w:type="gramStart"/>
            <w:r>
              <w:rPr>
                <w:sz w:val="24"/>
              </w:rPr>
              <w:t>celkem I.</w:t>
            </w:r>
            <w:r w:rsidR="00CD32EC">
              <w:rPr>
                <w:sz w:val="24"/>
              </w:rPr>
              <w:t>Q.</w:t>
            </w:r>
            <w:proofErr w:type="gramEnd"/>
          </w:p>
        </w:tc>
        <w:tc>
          <w:tcPr>
            <w:tcW w:w="1891" w:type="dxa"/>
            <w:gridSpan w:val="3"/>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pPr>
              <w:spacing w:after="0" w:line="259" w:lineRule="auto"/>
              <w:ind w:left="14" w:right="0" w:firstLine="0"/>
              <w:jc w:val="center"/>
            </w:pPr>
            <w:r>
              <w:rPr>
                <w:sz w:val="24"/>
              </w:rPr>
              <w:t>Délky výřezů</w:t>
            </w:r>
          </w:p>
        </w:tc>
        <w:tc>
          <w:tcPr>
            <w:tcW w:w="1520" w:type="dxa"/>
            <w:gridSpan w:val="3"/>
            <w:tcBorders>
              <w:top w:val="single" w:sz="2" w:space="0" w:color="000000"/>
              <w:left w:val="single" w:sz="2" w:space="0" w:color="000000"/>
              <w:bottom w:val="single" w:sz="2" w:space="0" w:color="000000"/>
              <w:right w:val="nil"/>
            </w:tcBorders>
          </w:tcPr>
          <w:p w:rsidR="002D6B63" w:rsidRDefault="007352C6">
            <w:pPr>
              <w:spacing w:after="0" w:line="259" w:lineRule="auto"/>
              <w:ind w:left="383" w:right="0" w:firstLine="0"/>
              <w:jc w:val="left"/>
            </w:pPr>
            <w:r>
              <w:rPr>
                <w:sz w:val="26"/>
              </w:rPr>
              <w:t xml:space="preserve">Z </w:t>
            </w:r>
            <w:proofErr w:type="spellStart"/>
            <w:r>
              <w:rPr>
                <w:sz w:val="26"/>
              </w:rPr>
              <w:t>ůsobdo</w:t>
            </w:r>
            <w:proofErr w:type="spellEnd"/>
            <w:r>
              <w:rPr>
                <w:sz w:val="26"/>
              </w:rPr>
              <w:t xml:space="preserve"> </w:t>
            </w:r>
            <w:proofErr w:type="spellStart"/>
            <w:r>
              <w:rPr>
                <w:sz w:val="26"/>
              </w:rPr>
              <w:t>ra</w:t>
            </w:r>
            <w:proofErr w:type="spellEnd"/>
          </w:p>
        </w:tc>
        <w:tc>
          <w:tcPr>
            <w:tcW w:w="394" w:type="dxa"/>
            <w:tcBorders>
              <w:top w:val="single" w:sz="2" w:space="0" w:color="000000"/>
              <w:left w:val="nil"/>
              <w:bottom w:val="single" w:sz="2" w:space="0" w:color="000000"/>
              <w:right w:val="single" w:sz="2" w:space="0" w:color="000000"/>
            </w:tcBorders>
          </w:tcPr>
          <w:p w:rsidR="002D6B63" w:rsidRDefault="002D6B63">
            <w:pPr>
              <w:spacing w:after="160" w:line="259" w:lineRule="auto"/>
              <w:ind w:right="0" w:firstLine="0"/>
              <w:jc w:val="left"/>
            </w:pPr>
          </w:p>
        </w:tc>
      </w:tr>
      <w:tr w:rsidR="002D6B63" w:rsidTr="00CD32EC">
        <w:trPr>
          <w:trHeight w:val="281"/>
        </w:trPr>
        <w:tc>
          <w:tcPr>
            <w:tcW w:w="3767" w:type="dxa"/>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c>
          <w:tcPr>
            <w:tcW w:w="1085" w:type="dxa"/>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c>
          <w:tcPr>
            <w:tcW w:w="1891" w:type="dxa"/>
            <w:gridSpan w:val="3"/>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c>
          <w:tcPr>
            <w:tcW w:w="746"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124" w:right="0" w:firstLine="0"/>
              <w:jc w:val="left"/>
            </w:pPr>
            <w:r>
              <w:rPr>
                <w:sz w:val="24"/>
              </w:rPr>
              <w:t xml:space="preserve">LKW % </w:t>
            </w:r>
          </w:p>
        </w:tc>
        <w:tc>
          <w:tcPr>
            <w:tcW w:w="482" w:type="dxa"/>
            <w:tcBorders>
              <w:top w:val="single" w:sz="2" w:space="0" w:color="000000"/>
              <w:left w:val="single" w:sz="2" w:space="0" w:color="000000"/>
              <w:bottom w:val="single" w:sz="2" w:space="0" w:color="000000"/>
              <w:right w:val="nil"/>
            </w:tcBorders>
          </w:tcPr>
          <w:p w:rsidR="002D6B63" w:rsidRDefault="007352C6">
            <w:pPr>
              <w:spacing w:after="0" w:line="259" w:lineRule="auto"/>
              <w:ind w:left="65" w:right="0" w:firstLine="0"/>
            </w:pPr>
            <w:r>
              <w:rPr>
                <w:sz w:val="26"/>
              </w:rPr>
              <w:t xml:space="preserve">W </w:t>
            </w:r>
          </w:p>
        </w:tc>
        <w:tc>
          <w:tcPr>
            <w:tcW w:w="686" w:type="dxa"/>
            <w:gridSpan w:val="2"/>
            <w:tcBorders>
              <w:top w:val="single" w:sz="2" w:space="0" w:color="000000"/>
              <w:left w:val="nil"/>
              <w:bottom w:val="single" w:sz="2" w:space="0" w:color="000000"/>
              <w:right w:val="single" w:sz="2" w:space="0" w:color="000000"/>
            </w:tcBorders>
          </w:tcPr>
          <w:p w:rsidR="002D6B63" w:rsidRDefault="007352C6">
            <w:pPr>
              <w:spacing w:after="0" w:line="259" w:lineRule="auto"/>
              <w:ind w:left="25" w:right="0" w:firstLine="0"/>
            </w:pPr>
            <w:proofErr w:type="spellStart"/>
            <w:r>
              <w:rPr>
                <w:sz w:val="24"/>
              </w:rPr>
              <w:t>max</w:t>
            </w:r>
            <w:proofErr w:type="spellEnd"/>
            <w:r>
              <w:rPr>
                <w:sz w:val="24"/>
              </w:rPr>
              <w:t>%</w:t>
            </w:r>
          </w:p>
        </w:tc>
      </w:tr>
      <w:tr w:rsidR="002D6B63" w:rsidTr="00CD32EC">
        <w:trPr>
          <w:trHeight w:val="429"/>
        </w:trPr>
        <w:tc>
          <w:tcPr>
            <w:tcW w:w="3767" w:type="dxa"/>
            <w:tcBorders>
              <w:top w:val="single" w:sz="2" w:space="0" w:color="000000"/>
              <w:left w:val="single" w:sz="2" w:space="0" w:color="000000"/>
              <w:bottom w:val="single" w:sz="2" w:space="0" w:color="000000"/>
              <w:right w:val="single" w:sz="2" w:space="0" w:color="000000"/>
            </w:tcBorders>
            <w:vAlign w:val="bottom"/>
          </w:tcPr>
          <w:p w:rsidR="002D6B63" w:rsidRPr="00CD32EC" w:rsidRDefault="007352C6">
            <w:pPr>
              <w:spacing w:after="0" w:line="259" w:lineRule="auto"/>
              <w:ind w:right="0" w:firstLine="0"/>
              <w:jc w:val="left"/>
              <w:rPr>
                <w:rFonts w:asciiTheme="minorHAnsi" w:hAnsiTheme="minorHAnsi" w:cstheme="minorHAnsi"/>
                <w:sz w:val="18"/>
                <w:szCs w:val="18"/>
              </w:rPr>
            </w:pPr>
            <w:r w:rsidRPr="00CD32EC">
              <w:rPr>
                <w:rFonts w:asciiTheme="minorHAnsi" w:hAnsiTheme="minorHAnsi" w:cstheme="minorHAnsi"/>
                <w:sz w:val="18"/>
                <w:szCs w:val="18"/>
              </w:rPr>
              <w:t>průmyslové výřezy jehličnaté SMRK</w:t>
            </w:r>
          </w:p>
        </w:tc>
        <w:tc>
          <w:tcPr>
            <w:tcW w:w="1085" w:type="dxa"/>
            <w:tcBorders>
              <w:top w:val="single" w:sz="2" w:space="0" w:color="000000"/>
              <w:left w:val="single" w:sz="2" w:space="0" w:color="000000"/>
              <w:bottom w:val="single" w:sz="2" w:space="0" w:color="000000"/>
              <w:right w:val="single" w:sz="2" w:space="0" w:color="000000"/>
            </w:tcBorders>
            <w:vAlign w:val="bottom"/>
          </w:tcPr>
          <w:p w:rsidR="002D6B63" w:rsidRPr="00CD32EC" w:rsidRDefault="007352C6">
            <w:pPr>
              <w:spacing w:after="0" w:line="259" w:lineRule="auto"/>
              <w:ind w:left="23" w:right="0" w:firstLine="0"/>
              <w:jc w:val="center"/>
              <w:rPr>
                <w:rFonts w:asciiTheme="minorHAnsi" w:hAnsiTheme="minorHAnsi" w:cstheme="minorHAnsi"/>
                <w:sz w:val="18"/>
                <w:szCs w:val="18"/>
              </w:rPr>
            </w:pPr>
            <w:r w:rsidRPr="00CD32EC">
              <w:rPr>
                <w:rFonts w:asciiTheme="minorHAnsi" w:eastAsia="Calibri" w:hAnsiTheme="minorHAnsi" w:cstheme="minorHAnsi"/>
                <w:sz w:val="18"/>
                <w:szCs w:val="18"/>
              </w:rPr>
              <w:t>145</w:t>
            </w:r>
          </w:p>
        </w:tc>
        <w:tc>
          <w:tcPr>
            <w:tcW w:w="1891" w:type="dxa"/>
            <w:gridSpan w:val="3"/>
            <w:tcBorders>
              <w:top w:val="single" w:sz="2" w:space="0" w:color="000000"/>
              <w:left w:val="single" w:sz="2" w:space="0" w:color="000000"/>
              <w:bottom w:val="single" w:sz="2" w:space="0" w:color="000000"/>
              <w:right w:val="single" w:sz="2" w:space="0" w:color="000000"/>
            </w:tcBorders>
          </w:tcPr>
          <w:p w:rsidR="002D6B63" w:rsidRPr="00CD32EC" w:rsidRDefault="007352C6" w:rsidP="00CD32EC">
            <w:pPr>
              <w:spacing w:after="0" w:line="259" w:lineRule="auto"/>
              <w:ind w:left="124" w:right="0" w:firstLine="0"/>
              <w:jc w:val="left"/>
              <w:rPr>
                <w:rFonts w:asciiTheme="minorHAnsi" w:hAnsiTheme="minorHAnsi" w:cstheme="minorHAnsi"/>
                <w:sz w:val="18"/>
                <w:szCs w:val="18"/>
              </w:rPr>
            </w:pPr>
            <w:r w:rsidRPr="00CD32EC">
              <w:rPr>
                <w:rFonts w:asciiTheme="minorHAnsi" w:hAnsiTheme="minorHAnsi" w:cstheme="minorHAnsi"/>
                <w:sz w:val="18"/>
                <w:szCs w:val="18"/>
              </w:rPr>
              <w:t>AB/c -5m</w:t>
            </w:r>
            <w:r w:rsidR="00CD32EC" w:rsidRPr="00CD32EC">
              <w:rPr>
                <w:rFonts w:asciiTheme="minorHAnsi" w:hAnsiTheme="minorHAnsi" w:cstheme="minorHAnsi"/>
                <w:sz w:val="18"/>
                <w:szCs w:val="18"/>
              </w:rPr>
              <w:t xml:space="preserve"> </w:t>
            </w:r>
            <w:r w:rsidRPr="00CD32EC">
              <w:rPr>
                <w:rFonts w:asciiTheme="minorHAnsi" w:hAnsiTheme="minorHAnsi" w:cstheme="minorHAnsi"/>
                <w:sz w:val="18"/>
                <w:szCs w:val="18"/>
              </w:rPr>
              <w:t>30%,</w:t>
            </w:r>
            <w:r w:rsidR="00CD32EC" w:rsidRPr="00CD32EC">
              <w:rPr>
                <w:rFonts w:asciiTheme="minorHAnsi" w:hAnsiTheme="minorHAnsi" w:cstheme="minorHAnsi"/>
                <w:sz w:val="18"/>
                <w:szCs w:val="18"/>
              </w:rPr>
              <w:t xml:space="preserve"> 4m 70%</w:t>
            </w:r>
          </w:p>
        </w:tc>
        <w:tc>
          <w:tcPr>
            <w:tcW w:w="746" w:type="dxa"/>
            <w:tcBorders>
              <w:top w:val="single" w:sz="2" w:space="0" w:color="000000"/>
              <w:left w:val="single" w:sz="2" w:space="0" w:color="000000"/>
              <w:bottom w:val="single" w:sz="2" w:space="0" w:color="000000"/>
              <w:right w:val="single" w:sz="2" w:space="0" w:color="000000"/>
            </w:tcBorders>
          </w:tcPr>
          <w:p w:rsidR="002D6B63" w:rsidRPr="00CD32EC" w:rsidRDefault="00CD32EC">
            <w:pPr>
              <w:spacing w:after="160" w:line="259" w:lineRule="auto"/>
              <w:ind w:right="0" w:firstLine="0"/>
              <w:jc w:val="left"/>
              <w:rPr>
                <w:rFonts w:asciiTheme="minorHAnsi" w:hAnsiTheme="minorHAnsi" w:cstheme="minorHAnsi"/>
                <w:sz w:val="18"/>
                <w:szCs w:val="18"/>
              </w:rPr>
            </w:pPr>
            <w:r>
              <w:rPr>
                <w:rFonts w:asciiTheme="minorHAnsi" w:hAnsiTheme="minorHAnsi" w:cstheme="minorHAnsi"/>
                <w:sz w:val="18"/>
                <w:szCs w:val="18"/>
              </w:rPr>
              <w:t>0</w:t>
            </w:r>
          </w:p>
        </w:tc>
        <w:tc>
          <w:tcPr>
            <w:tcW w:w="1168" w:type="dxa"/>
            <w:gridSpan w:val="3"/>
            <w:tcBorders>
              <w:top w:val="single" w:sz="2" w:space="0" w:color="000000"/>
              <w:left w:val="single" w:sz="2" w:space="0" w:color="000000"/>
              <w:bottom w:val="single" w:sz="2" w:space="0" w:color="000000"/>
              <w:right w:val="single" w:sz="2" w:space="0" w:color="000000"/>
            </w:tcBorders>
          </w:tcPr>
          <w:p w:rsidR="002D6B63" w:rsidRPr="00CD32EC" w:rsidRDefault="007352C6">
            <w:pPr>
              <w:spacing w:after="0" w:line="259" w:lineRule="auto"/>
              <w:ind w:left="20" w:right="0" w:firstLine="0"/>
              <w:jc w:val="center"/>
              <w:rPr>
                <w:rFonts w:asciiTheme="minorHAnsi" w:hAnsiTheme="minorHAnsi" w:cstheme="minorHAnsi"/>
                <w:sz w:val="18"/>
                <w:szCs w:val="18"/>
              </w:rPr>
            </w:pPr>
            <w:r w:rsidRPr="00CD32EC">
              <w:rPr>
                <w:rFonts w:asciiTheme="minorHAnsi" w:eastAsia="Calibri" w:hAnsiTheme="minorHAnsi" w:cstheme="minorHAnsi"/>
                <w:sz w:val="18"/>
                <w:szCs w:val="18"/>
              </w:rPr>
              <w:t>100</w:t>
            </w:r>
          </w:p>
        </w:tc>
      </w:tr>
      <w:tr w:rsidR="002D6B63" w:rsidTr="00CD32EC">
        <w:trPr>
          <w:trHeight w:val="334"/>
        </w:trPr>
        <w:tc>
          <w:tcPr>
            <w:tcW w:w="3767" w:type="dxa"/>
            <w:tcBorders>
              <w:top w:val="single" w:sz="2" w:space="0" w:color="000000"/>
              <w:left w:val="single" w:sz="2" w:space="0" w:color="000000"/>
              <w:bottom w:val="single" w:sz="2" w:space="0" w:color="000000"/>
              <w:right w:val="single" w:sz="2" w:space="0" w:color="000000"/>
            </w:tcBorders>
            <w:vAlign w:val="bottom"/>
          </w:tcPr>
          <w:p w:rsidR="002D6B63" w:rsidRPr="00CD32EC" w:rsidRDefault="00CD32EC" w:rsidP="00CD32EC">
            <w:pPr>
              <w:spacing w:after="0" w:line="259" w:lineRule="auto"/>
              <w:ind w:right="0"/>
              <w:jc w:val="left"/>
              <w:rPr>
                <w:rFonts w:asciiTheme="minorHAnsi" w:hAnsiTheme="minorHAnsi" w:cstheme="minorHAnsi"/>
                <w:sz w:val="18"/>
                <w:szCs w:val="18"/>
              </w:rPr>
            </w:pPr>
            <w:r>
              <w:rPr>
                <w:rFonts w:asciiTheme="minorHAnsi" w:hAnsiTheme="minorHAnsi" w:cstheme="minorHAnsi"/>
                <w:sz w:val="18"/>
                <w:szCs w:val="18"/>
              </w:rPr>
              <w:t>průmyslové výřezy jehličnaté BOROVICE</w:t>
            </w:r>
          </w:p>
        </w:tc>
        <w:tc>
          <w:tcPr>
            <w:tcW w:w="1085" w:type="dxa"/>
            <w:tcBorders>
              <w:top w:val="single" w:sz="2" w:space="0" w:color="000000"/>
              <w:left w:val="single" w:sz="2" w:space="0" w:color="000000"/>
              <w:bottom w:val="single" w:sz="2" w:space="0" w:color="000000"/>
              <w:right w:val="single" w:sz="2" w:space="0" w:color="000000"/>
            </w:tcBorders>
            <w:vAlign w:val="bottom"/>
          </w:tcPr>
          <w:p w:rsidR="002D6B63" w:rsidRPr="00CD32EC" w:rsidRDefault="007352C6">
            <w:pPr>
              <w:spacing w:after="0" w:line="259" w:lineRule="auto"/>
              <w:ind w:left="52" w:right="0" w:firstLine="0"/>
              <w:jc w:val="center"/>
              <w:rPr>
                <w:rFonts w:asciiTheme="minorHAnsi" w:hAnsiTheme="minorHAnsi" w:cstheme="minorHAnsi"/>
                <w:sz w:val="18"/>
                <w:szCs w:val="18"/>
              </w:rPr>
            </w:pPr>
            <w:r w:rsidRPr="00CD32EC">
              <w:rPr>
                <w:rFonts w:asciiTheme="minorHAnsi" w:eastAsia="Calibri" w:hAnsiTheme="minorHAnsi" w:cstheme="minorHAnsi"/>
                <w:sz w:val="18"/>
                <w:szCs w:val="18"/>
              </w:rPr>
              <w:t>1</w:t>
            </w:r>
          </w:p>
        </w:tc>
        <w:tc>
          <w:tcPr>
            <w:tcW w:w="1891" w:type="dxa"/>
            <w:gridSpan w:val="3"/>
            <w:tcBorders>
              <w:top w:val="single" w:sz="2" w:space="0" w:color="000000"/>
              <w:left w:val="single" w:sz="2" w:space="0" w:color="000000"/>
              <w:bottom w:val="single" w:sz="2" w:space="0" w:color="000000"/>
              <w:right w:val="single" w:sz="2" w:space="0" w:color="000000"/>
            </w:tcBorders>
            <w:vAlign w:val="bottom"/>
          </w:tcPr>
          <w:p w:rsidR="002D6B63" w:rsidRPr="00CD32EC" w:rsidRDefault="007352C6">
            <w:pPr>
              <w:spacing w:after="0" w:line="259" w:lineRule="auto"/>
              <w:ind w:left="23" w:right="0" w:firstLine="0"/>
              <w:jc w:val="center"/>
              <w:rPr>
                <w:rFonts w:asciiTheme="minorHAnsi" w:hAnsiTheme="minorHAnsi" w:cstheme="minorHAnsi"/>
                <w:sz w:val="18"/>
                <w:szCs w:val="18"/>
              </w:rPr>
            </w:pPr>
            <w:r w:rsidRPr="00CD32EC">
              <w:rPr>
                <w:rFonts w:asciiTheme="minorHAnsi" w:hAnsiTheme="minorHAnsi" w:cstheme="minorHAnsi"/>
                <w:sz w:val="18"/>
                <w:szCs w:val="18"/>
              </w:rPr>
              <w:t>4m 100%</w:t>
            </w:r>
          </w:p>
        </w:tc>
        <w:tc>
          <w:tcPr>
            <w:tcW w:w="746" w:type="dxa"/>
            <w:tcBorders>
              <w:top w:val="single" w:sz="2" w:space="0" w:color="000000"/>
              <w:left w:val="single" w:sz="2" w:space="0" w:color="000000"/>
              <w:bottom w:val="single" w:sz="2" w:space="0" w:color="000000"/>
              <w:right w:val="single" w:sz="2" w:space="0" w:color="000000"/>
            </w:tcBorders>
          </w:tcPr>
          <w:p w:rsidR="002D6B63" w:rsidRPr="00CD32EC" w:rsidRDefault="00CD32EC">
            <w:pPr>
              <w:spacing w:after="160" w:line="259" w:lineRule="auto"/>
              <w:ind w:right="0" w:firstLine="0"/>
              <w:jc w:val="left"/>
              <w:rPr>
                <w:rFonts w:asciiTheme="minorHAnsi" w:hAnsiTheme="minorHAnsi" w:cstheme="minorHAnsi"/>
                <w:sz w:val="18"/>
                <w:szCs w:val="18"/>
              </w:rPr>
            </w:pPr>
            <w:r>
              <w:rPr>
                <w:rFonts w:asciiTheme="minorHAnsi" w:hAnsiTheme="minorHAnsi" w:cstheme="minorHAnsi"/>
                <w:sz w:val="18"/>
                <w:szCs w:val="18"/>
              </w:rPr>
              <w:t>0</w:t>
            </w:r>
          </w:p>
        </w:tc>
        <w:tc>
          <w:tcPr>
            <w:tcW w:w="1168" w:type="dxa"/>
            <w:gridSpan w:val="3"/>
            <w:tcBorders>
              <w:top w:val="single" w:sz="2" w:space="0" w:color="000000"/>
              <w:left w:val="single" w:sz="2" w:space="0" w:color="000000"/>
              <w:bottom w:val="single" w:sz="2" w:space="0" w:color="000000"/>
              <w:right w:val="single" w:sz="2" w:space="0" w:color="000000"/>
            </w:tcBorders>
          </w:tcPr>
          <w:p w:rsidR="002D6B63" w:rsidRPr="00CD32EC" w:rsidRDefault="007352C6">
            <w:pPr>
              <w:spacing w:after="0" w:line="259" w:lineRule="auto"/>
              <w:ind w:left="53" w:right="0" w:firstLine="0"/>
              <w:jc w:val="center"/>
              <w:rPr>
                <w:rFonts w:asciiTheme="minorHAnsi" w:hAnsiTheme="minorHAnsi" w:cstheme="minorHAnsi"/>
                <w:sz w:val="18"/>
                <w:szCs w:val="18"/>
              </w:rPr>
            </w:pPr>
            <w:r w:rsidRPr="00CD32EC">
              <w:rPr>
                <w:rFonts w:asciiTheme="minorHAnsi" w:eastAsia="Calibri" w:hAnsiTheme="minorHAnsi" w:cstheme="minorHAnsi"/>
                <w:sz w:val="18"/>
                <w:szCs w:val="18"/>
              </w:rPr>
              <w:t>100</w:t>
            </w:r>
          </w:p>
        </w:tc>
      </w:tr>
      <w:tr w:rsidR="002D6B63" w:rsidTr="00CD32EC">
        <w:trPr>
          <w:trHeight w:val="291"/>
        </w:trPr>
        <w:tc>
          <w:tcPr>
            <w:tcW w:w="3767" w:type="dxa"/>
            <w:tcBorders>
              <w:top w:val="single" w:sz="2" w:space="0" w:color="000000"/>
              <w:left w:val="single" w:sz="2" w:space="0" w:color="000000"/>
              <w:bottom w:val="single" w:sz="2" w:space="0" w:color="000000"/>
              <w:right w:val="single" w:sz="2" w:space="0" w:color="000000"/>
            </w:tcBorders>
          </w:tcPr>
          <w:p w:rsidR="002D6B63" w:rsidRPr="00CD32EC" w:rsidRDefault="00CD32EC" w:rsidP="00CD32EC">
            <w:pPr>
              <w:spacing w:after="0" w:line="259" w:lineRule="auto"/>
              <w:ind w:right="0"/>
              <w:jc w:val="left"/>
              <w:rPr>
                <w:rFonts w:asciiTheme="minorHAnsi" w:hAnsiTheme="minorHAnsi" w:cstheme="minorHAnsi"/>
                <w:sz w:val="18"/>
                <w:szCs w:val="18"/>
              </w:rPr>
            </w:pPr>
            <w:r>
              <w:rPr>
                <w:rFonts w:asciiTheme="minorHAnsi" w:hAnsiTheme="minorHAnsi" w:cstheme="minorHAnsi"/>
                <w:sz w:val="18"/>
                <w:szCs w:val="18"/>
              </w:rPr>
              <w:t>průmyslové výřezy jehličnaté MODŘÍN</w:t>
            </w:r>
          </w:p>
        </w:tc>
        <w:tc>
          <w:tcPr>
            <w:tcW w:w="1085" w:type="dxa"/>
            <w:tcBorders>
              <w:top w:val="single" w:sz="2" w:space="0" w:color="000000"/>
              <w:left w:val="single" w:sz="2" w:space="0" w:color="000000"/>
              <w:bottom w:val="single" w:sz="2" w:space="0" w:color="000000"/>
              <w:right w:val="single" w:sz="2" w:space="0" w:color="000000"/>
            </w:tcBorders>
          </w:tcPr>
          <w:p w:rsidR="002D6B63" w:rsidRPr="00CD32EC" w:rsidRDefault="007352C6">
            <w:pPr>
              <w:spacing w:after="0" w:line="259" w:lineRule="auto"/>
              <w:ind w:left="52" w:right="0" w:firstLine="0"/>
              <w:jc w:val="center"/>
              <w:rPr>
                <w:rFonts w:asciiTheme="minorHAnsi" w:hAnsiTheme="minorHAnsi" w:cstheme="minorHAnsi"/>
                <w:sz w:val="18"/>
                <w:szCs w:val="18"/>
              </w:rPr>
            </w:pPr>
            <w:r w:rsidRPr="00CD32EC">
              <w:rPr>
                <w:rFonts w:asciiTheme="minorHAnsi" w:eastAsia="Calibri" w:hAnsiTheme="minorHAnsi" w:cstheme="minorHAnsi"/>
                <w:sz w:val="18"/>
                <w:szCs w:val="18"/>
              </w:rPr>
              <w:t>1</w:t>
            </w:r>
          </w:p>
        </w:tc>
        <w:tc>
          <w:tcPr>
            <w:tcW w:w="818" w:type="dxa"/>
            <w:tcBorders>
              <w:top w:val="single" w:sz="2" w:space="0" w:color="000000"/>
              <w:left w:val="single" w:sz="2" w:space="0" w:color="000000"/>
              <w:bottom w:val="single" w:sz="2" w:space="0" w:color="000000"/>
              <w:right w:val="nil"/>
            </w:tcBorders>
          </w:tcPr>
          <w:p w:rsidR="002D6B63" w:rsidRPr="00CD32EC" w:rsidRDefault="00CD32EC" w:rsidP="00CD32EC">
            <w:pPr>
              <w:spacing w:after="0" w:line="259" w:lineRule="auto"/>
              <w:ind w:right="94" w:firstLine="0"/>
              <w:jc w:val="right"/>
              <w:rPr>
                <w:rFonts w:asciiTheme="minorHAnsi" w:hAnsiTheme="minorHAnsi" w:cstheme="minorHAnsi"/>
                <w:sz w:val="18"/>
                <w:szCs w:val="18"/>
              </w:rPr>
            </w:pPr>
            <w:r>
              <w:rPr>
                <w:rFonts w:asciiTheme="minorHAnsi" w:hAnsiTheme="minorHAnsi" w:cstheme="minorHAnsi"/>
                <w:sz w:val="18"/>
                <w:szCs w:val="18"/>
              </w:rPr>
              <w:t>5m</w:t>
            </w:r>
          </w:p>
        </w:tc>
        <w:tc>
          <w:tcPr>
            <w:tcW w:w="356" w:type="dxa"/>
            <w:tcBorders>
              <w:top w:val="single" w:sz="2" w:space="0" w:color="000000"/>
              <w:left w:val="nil"/>
              <w:bottom w:val="single" w:sz="2" w:space="0" w:color="000000"/>
              <w:right w:val="nil"/>
            </w:tcBorders>
          </w:tcPr>
          <w:p w:rsidR="002D6B63" w:rsidRPr="00CD32EC" w:rsidRDefault="00CD32EC">
            <w:pPr>
              <w:spacing w:after="0" w:line="259" w:lineRule="auto"/>
              <w:ind w:left="2" w:right="0" w:firstLine="0"/>
              <w:rPr>
                <w:rFonts w:asciiTheme="minorHAnsi" w:hAnsiTheme="minorHAnsi" w:cstheme="minorHAnsi"/>
                <w:sz w:val="18"/>
                <w:szCs w:val="18"/>
              </w:rPr>
            </w:pPr>
            <w:r>
              <w:rPr>
                <w:rFonts w:asciiTheme="minorHAnsi" w:hAnsiTheme="minorHAnsi" w:cstheme="minorHAnsi"/>
                <w:sz w:val="18"/>
                <w:szCs w:val="18"/>
              </w:rPr>
              <w:t>(</w:t>
            </w:r>
            <w:r w:rsidR="007352C6" w:rsidRPr="00CD32EC">
              <w:rPr>
                <w:rFonts w:asciiTheme="minorHAnsi" w:hAnsiTheme="minorHAnsi" w:cstheme="minorHAnsi"/>
                <w:sz w:val="18"/>
                <w:szCs w:val="18"/>
              </w:rPr>
              <w:t>4m</w:t>
            </w:r>
            <w:r>
              <w:rPr>
                <w:rFonts w:asciiTheme="minorHAnsi" w:hAnsiTheme="minorHAnsi" w:cstheme="minorHAnsi"/>
                <w:sz w:val="18"/>
                <w:szCs w:val="18"/>
              </w:rPr>
              <w:t>)</w:t>
            </w:r>
          </w:p>
        </w:tc>
        <w:tc>
          <w:tcPr>
            <w:tcW w:w="717" w:type="dxa"/>
            <w:tcBorders>
              <w:top w:val="single" w:sz="2" w:space="0" w:color="000000"/>
              <w:left w:val="nil"/>
              <w:bottom w:val="single" w:sz="2" w:space="0" w:color="000000"/>
              <w:right w:val="single" w:sz="2" w:space="0" w:color="000000"/>
            </w:tcBorders>
          </w:tcPr>
          <w:p w:rsidR="002D6B63" w:rsidRPr="00CD32EC" w:rsidRDefault="002D6B63">
            <w:pPr>
              <w:spacing w:after="160" w:line="259" w:lineRule="auto"/>
              <w:ind w:right="0" w:firstLine="0"/>
              <w:jc w:val="left"/>
              <w:rPr>
                <w:rFonts w:asciiTheme="minorHAnsi" w:hAnsiTheme="minorHAnsi" w:cstheme="minorHAnsi"/>
                <w:sz w:val="18"/>
                <w:szCs w:val="18"/>
              </w:rPr>
            </w:pPr>
          </w:p>
        </w:tc>
        <w:tc>
          <w:tcPr>
            <w:tcW w:w="746" w:type="dxa"/>
            <w:tcBorders>
              <w:top w:val="single" w:sz="2" w:space="0" w:color="000000"/>
              <w:left w:val="single" w:sz="2" w:space="0" w:color="000000"/>
              <w:bottom w:val="single" w:sz="2" w:space="0" w:color="000000"/>
              <w:right w:val="single" w:sz="2" w:space="0" w:color="000000"/>
            </w:tcBorders>
          </w:tcPr>
          <w:p w:rsidR="002D6B63" w:rsidRPr="00CD32EC" w:rsidRDefault="00CD32EC">
            <w:pPr>
              <w:spacing w:after="160" w:line="259" w:lineRule="auto"/>
              <w:ind w:right="0" w:firstLine="0"/>
              <w:jc w:val="left"/>
              <w:rPr>
                <w:rFonts w:asciiTheme="minorHAnsi" w:hAnsiTheme="minorHAnsi" w:cstheme="minorHAnsi"/>
                <w:sz w:val="18"/>
                <w:szCs w:val="18"/>
              </w:rPr>
            </w:pPr>
            <w:r>
              <w:rPr>
                <w:rFonts w:asciiTheme="minorHAnsi" w:hAnsiTheme="minorHAnsi" w:cstheme="minorHAnsi"/>
                <w:sz w:val="18"/>
                <w:szCs w:val="18"/>
              </w:rPr>
              <w:t>0</w:t>
            </w:r>
          </w:p>
        </w:tc>
        <w:tc>
          <w:tcPr>
            <w:tcW w:w="1168" w:type="dxa"/>
            <w:gridSpan w:val="3"/>
            <w:tcBorders>
              <w:top w:val="single" w:sz="2" w:space="0" w:color="000000"/>
              <w:left w:val="single" w:sz="2" w:space="0" w:color="000000"/>
              <w:bottom w:val="single" w:sz="2" w:space="0" w:color="000000"/>
              <w:right w:val="single" w:sz="2" w:space="0" w:color="000000"/>
            </w:tcBorders>
          </w:tcPr>
          <w:p w:rsidR="002D6B63" w:rsidRPr="00CD32EC" w:rsidRDefault="007352C6">
            <w:pPr>
              <w:spacing w:after="0" w:line="259" w:lineRule="auto"/>
              <w:ind w:left="53" w:right="0" w:firstLine="0"/>
              <w:jc w:val="center"/>
              <w:rPr>
                <w:rFonts w:asciiTheme="minorHAnsi" w:hAnsiTheme="minorHAnsi" w:cstheme="minorHAnsi"/>
                <w:sz w:val="18"/>
                <w:szCs w:val="18"/>
              </w:rPr>
            </w:pPr>
            <w:r w:rsidRPr="00CD32EC">
              <w:rPr>
                <w:rFonts w:asciiTheme="minorHAnsi" w:eastAsia="Calibri" w:hAnsiTheme="minorHAnsi" w:cstheme="minorHAnsi"/>
                <w:sz w:val="18"/>
                <w:szCs w:val="18"/>
              </w:rPr>
              <w:t>100</w:t>
            </w:r>
          </w:p>
        </w:tc>
      </w:tr>
    </w:tbl>
    <w:p w:rsidR="002D6B63" w:rsidRDefault="007352C6" w:rsidP="001752D3">
      <w:pPr>
        <w:spacing w:after="0" w:line="240" w:lineRule="auto"/>
        <w:ind w:left="91" w:right="0" w:firstLine="0"/>
        <w:contextualSpacing/>
        <w:jc w:val="center"/>
      </w:pPr>
      <w:r>
        <w:rPr>
          <w:sz w:val="20"/>
        </w:rPr>
        <w:t>Smluvní strany této smlouvy se dohodly, že smlouvu považují oboustranně za splněnou dodáním 90% smluveného objemu.</w:t>
      </w:r>
    </w:p>
    <w:p w:rsidR="002D6B63" w:rsidRDefault="007352C6" w:rsidP="001752D3">
      <w:pPr>
        <w:numPr>
          <w:ilvl w:val="0"/>
          <w:numId w:val="1"/>
        </w:numPr>
        <w:spacing w:after="230" w:line="240" w:lineRule="auto"/>
        <w:ind w:right="0" w:hanging="278"/>
        <w:contextualSpacing/>
        <w:jc w:val="left"/>
      </w:pPr>
      <w:r>
        <w:rPr>
          <w:sz w:val="20"/>
        </w:rPr>
        <w:t>Země původu: CZ Lokalita</w:t>
      </w:r>
      <w:r>
        <w:rPr>
          <w:noProof/>
        </w:rPr>
        <w:drawing>
          <wp:inline distT="0" distB="0" distL="0" distR="0">
            <wp:extent cx="365760" cy="24388"/>
            <wp:effectExtent l="0" t="0" r="0" b="0"/>
            <wp:docPr id="77001" name="Picture 77001"/>
            <wp:cNvGraphicFramePr/>
            <a:graphic xmlns:a="http://schemas.openxmlformats.org/drawingml/2006/main">
              <a:graphicData uri="http://schemas.openxmlformats.org/drawingml/2006/picture">
                <pic:pic xmlns:pic="http://schemas.openxmlformats.org/drawingml/2006/picture">
                  <pic:nvPicPr>
                    <pic:cNvPr id="77001" name="Picture 77001"/>
                    <pic:cNvPicPr/>
                  </pic:nvPicPr>
                  <pic:blipFill>
                    <a:blip r:embed="rId8"/>
                    <a:stretch>
                      <a:fillRect/>
                    </a:stretch>
                  </pic:blipFill>
                  <pic:spPr>
                    <a:xfrm>
                      <a:off x="0" y="0"/>
                      <a:ext cx="365760" cy="24388"/>
                    </a:xfrm>
                    <a:prstGeom prst="rect">
                      <a:avLst/>
                    </a:prstGeom>
                  </pic:spPr>
                </pic:pic>
              </a:graphicData>
            </a:graphic>
          </wp:inline>
        </w:drawing>
      </w:r>
    </w:p>
    <w:p w:rsidR="002D6B63" w:rsidRDefault="007352C6" w:rsidP="001752D3">
      <w:pPr>
        <w:numPr>
          <w:ilvl w:val="0"/>
          <w:numId w:val="1"/>
        </w:numPr>
        <w:spacing w:after="0" w:line="240" w:lineRule="auto"/>
        <w:ind w:right="0" w:hanging="278"/>
        <w:contextualSpacing/>
        <w:jc w:val="left"/>
      </w:pPr>
      <w:r>
        <w:rPr>
          <w:sz w:val="22"/>
        </w:rPr>
        <w:t>Platnost smlouvy/čas plnění: 1.</w:t>
      </w:r>
      <w:r w:rsidR="00CD32EC">
        <w:rPr>
          <w:sz w:val="22"/>
        </w:rPr>
        <w:t xml:space="preserve"> </w:t>
      </w:r>
      <w:r>
        <w:rPr>
          <w:sz w:val="22"/>
        </w:rPr>
        <w:t>1</w:t>
      </w:r>
      <w:r w:rsidR="00CD32EC">
        <w:rPr>
          <w:sz w:val="22"/>
        </w:rPr>
        <w:t>.</w:t>
      </w:r>
      <w:r>
        <w:rPr>
          <w:sz w:val="22"/>
        </w:rPr>
        <w:t xml:space="preserve"> 2019 - 31.</w:t>
      </w:r>
      <w:r w:rsidR="00CD32EC">
        <w:rPr>
          <w:sz w:val="22"/>
        </w:rPr>
        <w:t xml:space="preserve"> </w:t>
      </w:r>
      <w:r>
        <w:rPr>
          <w:sz w:val="22"/>
        </w:rPr>
        <w:t>3.</w:t>
      </w:r>
      <w:r w:rsidR="00CD32EC">
        <w:rPr>
          <w:sz w:val="22"/>
        </w:rPr>
        <w:t xml:space="preserve"> </w:t>
      </w:r>
      <w:r>
        <w:rPr>
          <w:sz w:val="22"/>
        </w:rPr>
        <w:t>2019 / 1.</w:t>
      </w:r>
      <w:r w:rsidR="00CD32EC">
        <w:rPr>
          <w:sz w:val="22"/>
        </w:rPr>
        <w:t xml:space="preserve"> </w:t>
      </w:r>
      <w:r>
        <w:rPr>
          <w:sz w:val="22"/>
        </w:rPr>
        <w:t>1.</w:t>
      </w:r>
      <w:r w:rsidR="00CD32EC">
        <w:rPr>
          <w:sz w:val="22"/>
        </w:rPr>
        <w:t xml:space="preserve"> </w:t>
      </w:r>
      <w:r>
        <w:rPr>
          <w:sz w:val="22"/>
        </w:rPr>
        <w:t>2019 - 31.</w:t>
      </w:r>
      <w:r w:rsidR="00CD32EC">
        <w:rPr>
          <w:sz w:val="22"/>
        </w:rPr>
        <w:t xml:space="preserve"> </w:t>
      </w:r>
      <w:r>
        <w:rPr>
          <w:sz w:val="22"/>
        </w:rPr>
        <w:t>3.</w:t>
      </w:r>
      <w:r w:rsidR="00CD32EC">
        <w:rPr>
          <w:sz w:val="22"/>
        </w:rPr>
        <w:t xml:space="preserve"> </w:t>
      </w:r>
      <w:r>
        <w:rPr>
          <w:sz w:val="22"/>
        </w:rPr>
        <w:t>2019.</w:t>
      </w:r>
    </w:p>
    <w:p w:rsidR="002D6B63" w:rsidRDefault="007352C6" w:rsidP="001752D3">
      <w:pPr>
        <w:numPr>
          <w:ilvl w:val="0"/>
          <w:numId w:val="1"/>
        </w:numPr>
        <w:spacing w:after="18" w:line="240" w:lineRule="auto"/>
        <w:ind w:right="0" w:hanging="278"/>
        <w:contextualSpacing/>
        <w:jc w:val="left"/>
      </w:pPr>
      <w:r>
        <w:rPr>
          <w:sz w:val="20"/>
        </w:rPr>
        <w:t xml:space="preserve">Pravidelnost dodávek: Prodávající se zavazuje k časově rovnoměrnému plnění množství na této smlouvě uvedeného, od začátku do konce času plnění. V opačném případě může být toto množství </w:t>
      </w:r>
      <w:proofErr w:type="spellStart"/>
      <w:r>
        <w:rPr>
          <w:sz w:val="20"/>
        </w:rPr>
        <w:t>alikvótně</w:t>
      </w:r>
      <w:proofErr w:type="spellEnd"/>
      <w:r>
        <w:rPr>
          <w:sz w:val="20"/>
        </w:rPr>
        <w:t xml:space="preserve"> pokráceno.</w:t>
      </w:r>
      <w:r>
        <w:rPr>
          <w:noProof/>
        </w:rPr>
        <w:drawing>
          <wp:inline distT="0" distB="0" distL="0" distR="0">
            <wp:extent cx="3048" cy="3048"/>
            <wp:effectExtent l="0" t="0" r="0" b="0"/>
            <wp:docPr id="6767" name="Picture 6767"/>
            <wp:cNvGraphicFramePr/>
            <a:graphic xmlns:a="http://schemas.openxmlformats.org/drawingml/2006/main">
              <a:graphicData uri="http://schemas.openxmlformats.org/drawingml/2006/picture">
                <pic:pic xmlns:pic="http://schemas.openxmlformats.org/drawingml/2006/picture">
                  <pic:nvPicPr>
                    <pic:cNvPr id="6767" name="Picture 6767"/>
                    <pic:cNvPicPr/>
                  </pic:nvPicPr>
                  <pic:blipFill>
                    <a:blip r:embed="rId9"/>
                    <a:stretch>
                      <a:fillRect/>
                    </a:stretch>
                  </pic:blipFill>
                  <pic:spPr>
                    <a:xfrm>
                      <a:off x="0" y="0"/>
                      <a:ext cx="3048" cy="3048"/>
                    </a:xfrm>
                    <a:prstGeom prst="rect">
                      <a:avLst/>
                    </a:prstGeom>
                  </pic:spPr>
                </pic:pic>
              </a:graphicData>
            </a:graphic>
          </wp:inline>
        </w:drawing>
      </w:r>
    </w:p>
    <w:p w:rsidR="002D6B63" w:rsidRDefault="007352C6" w:rsidP="001752D3">
      <w:pPr>
        <w:numPr>
          <w:ilvl w:val="0"/>
          <w:numId w:val="1"/>
        </w:numPr>
        <w:spacing w:after="0" w:line="240" w:lineRule="auto"/>
        <w:ind w:right="0" w:hanging="278"/>
        <w:contextualSpacing/>
        <w:jc w:val="left"/>
      </w:pPr>
      <w:r>
        <w:rPr>
          <w:sz w:val="22"/>
        </w:rPr>
        <w:t>Kupní ceny bez DPH stanoveny na OM jsou platné pro výše uvedené období.</w:t>
      </w:r>
    </w:p>
    <w:tbl>
      <w:tblPr>
        <w:tblStyle w:val="TableGrid"/>
        <w:tblW w:w="8449" w:type="dxa"/>
        <w:tblInd w:w="337" w:type="dxa"/>
        <w:tblCellMar>
          <w:top w:w="83" w:type="dxa"/>
          <w:left w:w="46" w:type="dxa"/>
        </w:tblCellMar>
        <w:tblLook w:val="04A0" w:firstRow="1" w:lastRow="0" w:firstColumn="1" w:lastColumn="0" w:noHBand="0" w:noVBand="1"/>
      </w:tblPr>
      <w:tblGrid>
        <w:gridCol w:w="11"/>
        <w:gridCol w:w="1836"/>
        <w:gridCol w:w="806"/>
        <w:gridCol w:w="905"/>
        <w:gridCol w:w="630"/>
        <w:gridCol w:w="628"/>
        <w:gridCol w:w="633"/>
        <w:gridCol w:w="636"/>
        <w:gridCol w:w="812"/>
        <w:gridCol w:w="1552"/>
      </w:tblGrid>
      <w:tr w:rsidR="002D6B63" w:rsidTr="00CD32EC">
        <w:trPr>
          <w:trHeight w:val="542"/>
        </w:trPr>
        <w:tc>
          <w:tcPr>
            <w:tcW w:w="8449" w:type="dxa"/>
            <w:gridSpan w:val="10"/>
            <w:tcBorders>
              <w:top w:val="single" w:sz="2" w:space="0" w:color="000000"/>
              <w:left w:val="single" w:sz="2" w:space="0" w:color="000000"/>
              <w:bottom w:val="single" w:sz="2" w:space="0" w:color="000000"/>
              <w:right w:val="single" w:sz="2" w:space="0" w:color="000000"/>
            </w:tcBorders>
          </w:tcPr>
          <w:p w:rsidR="00CD32EC" w:rsidRDefault="007352C6" w:rsidP="00CD32EC">
            <w:pPr>
              <w:spacing w:after="0" w:line="259" w:lineRule="auto"/>
              <w:ind w:left="135" w:right="206" w:firstLine="3096"/>
            </w:pPr>
            <w:r>
              <w:t>pi</w:t>
            </w:r>
            <w:r w:rsidR="00CD32EC">
              <w:t>l</w:t>
            </w:r>
            <w:r>
              <w:t>ařská k</w:t>
            </w:r>
            <w:r w:rsidR="00CD32EC">
              <w:t>ulatina</w:t>
            </w:r>
            <w:r>
              <w:t xml:space="preserve"> SMRK </w:t>
            </w:r>
            <w:proofErr w:type="spellStart"/>
            <w:r>
              <w:t>Retz</w:t>
            </w:r>
            <w:proofErr w:type="spellEnd"/>
            <w:r>
              <w:t xml:space="preserve"> </w:t>
            </w:r>
          </w:p>
          <w:p w:rsidR="002D6B63" w:rsidRDefault="007352C6" w:rsidP="00CD32EC">
            <w:pPr>
              <w:spacing w:after="0" w:line="259" w:lineRule="auto"/>
              <w:ind w:left="135" w:right="206" w:firstLine="0"/>
            </w:pPr>
            <w:r>
              <w:t xml:space="preserve">smrkové výřezy </w:t>
            </w:r>
            <w:r w:rsidR="00CD32EC">
              <w:t>délka 5</w:t>
            </w:r>
            <w:r>
              <w:t>m, v kva</w:t>
            </w:r>
            <w:r w:rsidR="00CD32EC">
              <w:t>litě</w:t>
            </w:r>
            <w:r>
              <w:t xml:space="preserve"> AB</w:t>
            </w:r>
            <w:r w:rsidR="00CD32EC">
              <w:t>/C</w:t>
            </w:r>
            <w:r>
              <w:t xml:space="preserve"> v</w:t>
            </w:r>
            <w:r w:rsidR="00CD32EC">
              <w:t> tloušťkových stupních 1</w:t>
            </w:r>
            <w:r>
              <w:t xml:space="preserve">b, </w:t>
            </w:r>
            <w:r w:rsidR="00CD32EC">
              <w:t>2</w:t>
            </w:r>
            <w:r>
              <w:t xml:space="preserve">a, </w:t>
            </w:r>
            <w:r w:rsidR="00CD32EC">
              <w:t>2</w:t>
            </w:r>
            <w:r>
              <w:t xml:space="preserve">b budou fakturovány s </w:t>
            </w:r>
            <w:r w:rsidR="00CD32EC">
              <w:t>příplatkem</w:t>
            </w:r>
            <w:r>
              <w:t xml:space="preserve"> + 50</w:t>
            </w:r>
            <w:r w:rsidR="00CD32EC">
              <w:t xml:space="preserve"> Kč</w:t>
            </w:r>
            <w:r>
              <w:t>/</w:t>
            </w:r>
            <w:proofErr w:type="spellStart"/>
            <w:r>
              <w:t>m</w:t>
            </w:r>
            <w:r>
              <w:rPr>
                <w:vertAlign w:val="superscript"/>
              </w:rPr>
              <w:t>S</w:t>
            </w:r>
            <w:proofErr w:type="spellEnd"/>
          </w:p>
        </w:tc>
      </w:tr>
      <w:tr w:rsidR="002558FF" w:rsidTr="00CD32EC">
        <w:trPr>
          <w:trHeight w:val="269"/>
        </w:trPr>
        <w:tc>
          <w:tcPr>
            <w:tcW w:w="1894"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48" w:firstLine="0"/>
              <w:jc w:val="center"/>
            </w:pPr>
            <w:r>
              <w:rPr>
                <w:sz w:val="20"/>
              </w:rPr>
              <w:t>SMRK 4m a 5m</w:t>
            </w:r>
          </w:p>
        </w:tc>
        <w:tc>
          <w:tcPr>
            <w:tcW w:w="811" w:type="dxa"/>
            <w:tcBorders>
              <w:top w:val="single" w:sz="2" w:space="0" w:color="000000"/>
              <w:left w:val="single" w:sz="2" w:space="0" w:color="000000"/>
              <w:bottom w:val="single" w:sz="2" w:space="0" w:color="000000"/>
              <w:right w:val="single" w:sz="2" w:space="0" w:color="000000"/>
            </w:tcBorders>
          </w:tcPr>
          <w:p w:rsidR="002D6B63" w:rsidRDefault="00CD32EC">
            <w:pPr>
              <w:spacing w:after="160" w:line="259" w:lineRule="auto"/>
              <w:ind w:right="0" w:firstLine="0"/>
              <w:jc w:val="left"/>
            </w:pPr>
            <w:r>
              <w:t>1a</w:t>
            </w:r>
          </w:p>
        </w:tc>
        <w:tc>
          <w:tcPr>
            <w:tcW w:w="928"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5" w:right="0" w:firstLine="0"/>
              <w:jc w:val="center"/>
            </w:pPr>
            <w:r>
              <w:rPr>
                <w:sz w:val="34"/>
              </w:rPr>
              <w:t>lb</w:t>
            </w:r>
          </w:p>
        </w:tc>
        <w:tc>
          <w:tcPr>
            <w:tcW w:w="641" w:type="dxa"/>
            <w:tcBorders>
              <w:top w:val="single" w:sz="2" w:space="0" w:color="000000"/>
              <w:left w:val="single" w:sz="2" w:space="0" w:color="000000"/>
              <w:bottom w:val="single" w:sz="2" w:space="0" w:color="000000"/>
              <w:right w:val="single" w:sz="2" w:space="0" w:color="000000"/>
            </w:tcBorders>
          </w:tcPr>
          <w:p w:rsidR="002D6B63" w:rsidRDefault="00CD32EC">
            <w:pPr>
              <w:spacing w:after="160" w:line="259" w:lineRule="auto"/>
              <w:ind w:right="0" w:firstLine="0"/>
              <w:jc w:val="left"/>
            </w:pPr>
            <w:r>
              <w:t>2a</w:t>
            </w:r>
          </w:p>
        </w:tc>
        <w:tc>
          <w:tcPr>
            <w:tcW w:w="638"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27" w:firstLine="0"/>
              <w:jc w:val="center"/>
            </w:pPr>
            <w:r>
              <w:rPr>
                <w:sz w:val="22"/>
              </w:rPr>
              <w:t xml:space="preserve">2b </w:t>
            </w:r>
          </w:p>
        </w:tc>
        <w:tc>
          <w:tcPr>
            <w:tcW w:w="638" w:type="dxa"/>
            <w:tcBorders>
              <w:top w:val="single" w:sz="2" w:space="0" w:color="000000"/>
              <w:left w:val="single" w:sz="2" w:space="0" w:color="000000"/>
              <w:bottom w:val="single" w:sz="2" w:space="0" w:color="000000"/>
              <w:right w:val="single" w:sz="2" w:space="0" w:color="000000"/>
            </w:tcBorders>
          </w:tcPr>
          <w:p w:rsidR="002D6B63" w:rsidRDefault="007352C6" w:rsidP="00CD32EC">
            <w:pPr>
              <w:spacing w:after="0" w:line="259" w:lineRule="auto"/>
              <w:ind w:left="45" w:right="0" w:firstLine="0"/>
              <w:jc w:val="left"/>
            </w:pPr>
            <w:r>
              <w:rPr>
                <w:sz w:val="18"/>
              </w:rPr>
              <w:t>3</w:t>
            </w:r>
            <w:r w:rsidR="00CD32EC">
              <w:rPr>
                <w:sz w:val="18"/>
              </w:rPr>
              <w:t>a</w:t>
            </w:r>
            <w:r>
              <w:rPr>
                <w:sz w:val="18"/>
              </w:rPr>
              <w:t>+3b</w:t>
            </w:r>
          </w:p>
        </w:tc>
        <w:tc>
          <w:tcPr>
            <w:tcW w:w="639"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41" w:right="0" w:firstLine="0"/>
            </w:pPr>
            <w:r>
              <w:rPr>
                <w:sz w:val="20"/>
              </w:rPr>
              <w:t xml:space="preserve">4a+4b </w:t>
            </w:r>
          </w:p>
        </w:tc>
        <w:tc>
          <w:tcPr>
            <w:tcW w:w="650"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55" w:right="0" w:firstLine="0"/>
              <w:jc w:val="left"/>
            </w:pPr>
            <w:r>
              <w:rPr>
                <w:sz w:val="20"/>
              </w:rPr>
              <w:t xml:space="preserve">5a+5b </w:t>
            </w:r>
          </w:p>
        </w:tc>
        <w:tc>
          <w:tcPr>
            <w:tcW w:w="1610" w:type="dxa"/>
            <w:tcBorders>
              <w:top w:val="single" w:sz="2" w:space="0" w:color="000000"/>
              <w:left w:val="single" w:sz="2" w:space="0" w:color="000000"/>
              <w:bottom w:val="single" w:sz="2" w:space="0" w:color="000000"/>
              <w:right w:val="single" w:sz="2" w:space="0" w:color="000000"/>
            </w:tcBorders>
          </w:tcPr>
          <w:p w:rsidR="002D6B63" w:rsidRDefault="00CD32EC" w:rsidP="00CD32EC">
            <w:pPr>
              <w:spacing w:after="0" w:line="259" w:lineRule="auto"/>
              <w:ind w:right="0" w:firstLine="0"/>
              <w:jc w:val="left"/>
            </w:pPr>
            <w:proofErr w:type="spellStart"/>
            <w:proofErr w:type="gramStart"/>
            <w:r>
              <w:t>tl</w:t>
            </w:r>
            <w:proofErr w:type="gramEnd"/>
            <w:r>
              <w:t>.</w:t>
            </w:r>
            <w:proofErr w:type="gramStart"/>
            <w:r>
              <w:t>stupeň</w:t>
            </w:r>
            <w:proofErr w:type="spellEnd"/>
            <w:proofErr w:type="gramEnd"/>
          </w:p>
        </w:tc>
      </w:tr>
      <w:tr w:rsidR="002558FF" w:rsidTr="00CD32EC">
        <w:trPr>
          <w:trHeight w:val="266"/>
        </w:trPr>
        <w:tc>
          <w:tcPr>
            <w:tcW w:w="1894" w:type="dxa"/>
            <w:gridSpan w:val="2"/>
            <w:tcBorders>
              <w:top w:val="single" w:sz="2" w:space="0" w:color="000000"/>
              <w:left w:val="single" w:sz="2" w:space="0" w:color="000000"/>
              <w:bottom w:val="single" w:sz="2" w:space="0" w:color="000000"/>
              <w:right w:val="single" w:sz="2" w:space="0" w:color="000000"/>
            </w:tcBorders>
          </w:tcPr>
          <w:p w:rsidR="002D6B63" w:rsidRDefault="00CD32EC" w:rsidP="00CD32EC">
            <w:pPr>
              <w:spacing w:after="0" w:line="259" w:lineRule="auto"/>
              <w:ind w:right="106" w:firstLine="0"/>
              <w:jc w:val="center"/>
            </w:pPr>
            <w:r>
              <w:t>p</w:t>
            </w:r>
            <w:r w:rsidR="007352C6">
              <w:t>růměr bez ků</w:t>
            </w:r>
            <w:r>
              <w:t>ry</w:t>
            </w:r>
          </w:p>
        </w:tc>
        <w:tc>
          <w:tcPr>
            <w:tcW w:w="81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92" w:right="0" w:firstLine="0"/>
              <w:jc w:val="left"/>
            </w:pPr>
            <w:r>
              <w:rPr>
                <w:sz w:val="14"/>
              </w:rPr>
              <w:t xml:space="preserve">SM«17cm </w:t>
            </w:r>
          </w:p>
        </w:tc>
        <w:tc>
          <w:tcPr>
            <w:tcW w:w="928" w:type="dxa"/>
            <w:tcBorders>
              <w:top w:val="single" w:sz="2" w:space="0" w:color="000000"/>
              <w:left w:val="single" w:sz="2" w:space="0" w:color="000000"/>
              <w:bottom w:val="single" w:sz="2" w:space="0" w:color="000000"/>
              <w:right w:val="single" w:sz="2" w:space="0" w:color="000000"/>
            </w:tcBorders>
          </w:tcPr>
          <w:p w:rsidR="002D6B63" w:rsidRDefault="00CD32EC" w:rsidP="00CD32EC">
            <w:pPr>
              <w:spacing w:after="0" w:line="259" w:lineRule="auto"/>
              <w:ind w:left="46" w:right="0" w:firstLine="0"/>
              <w:jc w:val="left"/>
            </w:pPr>
            <w:r>
              <w:t>č</w:t>
            </w:r>
            <w:r w:rsidR="007352C6">
              <w:t>e</w:t>
            </w:r>
            <w:r>
              <w:t>p</w:t>
            </w:r>
            <w:r w:rsidR="007352C6">
              <w:t xml:space="preserve"> </w:t>
            </w:r>
            <w:r>
              <w:t>17</w:t>
            </w:r>
            <w:r w:rsidR="007352C6">
              <w:t>-</w:t>
            </w:r>
            <w:r>
              <w:t>1</w:t>
            </w:r>
            <w:r w:rsidR="007352C6">
              <w:t xml:space="preserve">9STP </w:t>
            </w:r>
          </w:p>
        </w:tc>
        <w:tc>
          <w:tcPr>
            <w:tcW w:w="64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23" w:right="0" w:firstLine="0"/>
              <w:jc w:val="left"/>
            </w:pPr>
            <w:r>
              <w:rPr>
                <w:sz w:val="14"/>
              </w:rPr>
              <w:t xml:space="preserve">20-24STP </w:t>
            </w:r>
          </w:p>
        </w:tc>
        <w:tc>
          <w:tcPr>
            <w:tcW w:w="638"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26" w:right="0" w:firstLine="0"/>
              <w:jc w:val="left"/>
            </w:pPr>
            <w:r>
              <w:rPr>
                <w:sz w:val="14"/>
              </w:rPr>
              <w:t>25-29STP</w:t>
            </w:r>
          </w:p>
        </w:tc>
        <w:tc>
          <w:tcPr>
            <w:tcW w:w="638" w:type="dxa"/>
            <w:tcBorders>
              <w:top w:val="single" w:sz="2" w:space="0" w:color="000000"/>
              <w:left w:val="single" w:sz="2" w:space="0" w:color="000000"/>
              <w:bottom w:val="single" w:sz="2" w:space="0" w:color="000000"/>
              <w:right w:val="single" w:sz="2" w:space="0" w:color="000000"/>
            </w:tcBorders>
          </w:tcPr>
          <w:p w:rsidR="002D6B63" w:rsidRDefault="00CD32EC">
            <w:pPr>
              <w:spacing w:after="160" w:line="259" w:lineRule="auto"/>
              <w:ind w:right="0" w:firstLine="0"/>
              <w:jc w:val="left"/>
            </w:pPr>
            <w:r>
              <w:t>30-39stp</w:t>
            </w:r>
          </w:p>
        </w:tc>
        <w:tc>
          <w:tcPr>
            <w:tcW w:w="639"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12" w:right="0" w:firstLine="0"/>
            </w:pPr>
            <w:r>
              <w:rPr>
                <w:sz w:val="14"/>
              </w:rPr>
              <w:t xml:space="preserve">40-495TP </w:t>
            </w:r>
          </w:p>
        </w:tc>
        <w:tc>
          <w:tcPr>
            <w:tcW w:w="650"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16" w:right="0" w:firstLine="0"/>
            </w:pPr>
            <w:r>
              <w:rPr>
                <w:sz w:val="14"/>
              </w:rPr>
              <w:t>50-59STP</w:t>
            </w:r>
          </w:p>
        </w:tc>
        <w:tc>
          <w:tcPr>
            <w:tcW w:w="1610" w:type="dxa"/>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right="24" w:firstLine="0"/>
              <w:jc w:val="center"/>
            </w:pPr>
            <w:r>
              <w:rPr>
                <w:rFonts w:ascii="Calibri" w:eastAsia="Calibri" w:hAnsi="Calibri" w:cs="Calibri"/>
              </w:rPr>
              <w:t>cm</w:t>
            </w:r>
          </w:p>
        </w:tc>
      </w:tr>
      <w:tr w:rsidR="002D6B63" w:rsidTr="00CD32EC">
        <w:trPr>
          <w:trHeight w:val="271"/>
        </w:trPr>
        <w:tc>
          <w:tcPr>
            <w:tcW w:w="1894" w:type="dxa"/>
            <w:gridSpan w:val="2"/>
            <w:tcBorders>
              <w:top w:val="single" w:sz="2" w:space="0" w:color="000000"/>
              <w:left w:val="single" w:sz="2" w:space="0" w:color="000000"/>
              <w:bottom w:val="single" w:sz="2" w:space="0" w:color="000000"/>
              <w:right w:val="single" w:sz="2" w:space="0" w:color="000000"/>
            </w:tcBorders>
          </w:tcPr>
          <w:p w:rsidR="002D6B63" w:rsidRDefault="00CD32EC">
            <w:pPr>
              <w:spacing w:after="0" w:line="259" w:lineRule="auto"/>
              <w:ind w:right="53" w:firstLine="0"/>
              <w:jc w:val="center"/>
            </w:pPr>
            <w:r>
              <w:rPr>
                <w:sz w:val="20"/>
              </w:rPr>
              <w:t>AB/</w:t>
            </w:r>
            <w:r w:rsidR="007352C6">
              <w:rPr>
                <w:sz w:val="20"/>
              </w:rPr>
              <w:t>C</w:t>
            </w:r>
          </w:p>
        </w:tc>
        <w:tc>
          <w:tcPr>
            <w:tcW w:w="81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8" w:firstLine="0"/>
              <w:jc w:val="center"/>
            </w:pPr>
            <w:r w:rsidRPr="00CD32EC">
              <w:rPr>
                <w:rFonts w:ascii="Calibri" w:eastAsia="Calibri" w:hAnsi="Calibri" w:cs="Calibri"/>
                <w:sz w:val="22"/>
                <w:highlight w:val="black"/>
              </w:rPr>
              <w:t>100</w:t>
            </w:r>
          </w:p>
        </w:tc>
        <w:tc>
          <w:tcPr>
            <w:tcW w:w="928"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5" w:right="0" w:firstLine="0"/>
              <w:jc w:val="center"/>
            </w:pPr>
            <w:r w:rsidRPr="00CD32EC">
              <w:rPr>
                <w:rFonts w:ascii="Calibri" w:eastAsia="Calibri" w:hAnsi="Calibri" w:cs="Calibri"/>
                <w:sz w:val="22"/>
                <w:highlight w:val="black"/>
              </w:rPr>
              <w:t>1250</w:t>
            </w:r>
          </w:p>
        </w:tc>
        <w:tc>
          <w:tcPr>
            <w:tcW w:w="2556" w:type="dxa"/>
            <w:gridSpan w:val="4"/>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1" w:firstLine="0"/>
              <w:jc w:val="center"/>
            </w:pPr>
            <w:r w:rsidRPr="00CD32EC">
              <w:rPr>
                <w:rFonts w:ascii="Calibri" w:eastAsia="Calibri" w:hAnsi="Calibri" w:cs="Calibri"/>
                <w:sz w:val="22"/>
                <w:highlight w:val="black"/>
              </w:rPr>
              <w:t>1800</w:t>
            </w:r>
          </w:p>
        </w:tc>
        <w:tc>
          <w:tcPr>
            <w:tcW w:w="650"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88" w:right="0" w:firstLine="0"/>
              <w:jc w:val="left"/>
            </w:pPr>
            <w:r w:rsidRPr="00CD32EC">
              <w:rPr>
                <w:rFonts w:ascii="Calibri" w:eastAsia="Calibri" w:hAnsi="Calibri" w:cs="Calibri"/>
                <w:sz w:val="22"/>
                <w:highlight w:val="black"/>
              </w:rPr>
              <w:t>1550</w:t>
            </w:r>
          </w:p>
        </w:tc>
        <w:tc>
          <w:tcPr>
            <w:tcW w:w="1610" w:type="dxa"/>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rsidP="002558FF">
            <w:pPr>
              <w:spacing w:after="0" w:line="259" w:lineRule="auto"/>
              <w:ind w:left="86" w:right="0" w:firstLine="0"/>
              <w:jc w:val="left"/>
            </w:pPr>
            <w:r>
              <w:rPr>
                <w:rFonts w:ascii="Calibri" w:eastAsia="Calibri" w:hAnsi="Calibri" w:cs="Calibri"/>
                <w:sz w:val="12"/>
              </w:rPr>
              <w:t>Kč</w:t>
            </w:r>
            <w:r w:rsidR="002558FF">
              <w:rPr>
                <w:rFonts w:ascii="Calibri" w:eastAsia="Calibri" w:hAnsi="Calibri" w:cs="Calibri"/>
                <w:sz w:val="12"/>
              </w:rPr>
              <w:t>/</w:t>
            </w:r>
            <w:r>
              <w:rPr>
                <w:rFonts w:ascii="Calibri" w:eastAsia="Calibri" w:hAnsi="Calibri" w:cs="Calibri"/>
                <w:sz w:val="12"/>
              </w:rPr>
              <w:t>m</w:t>
            </w:r>
            <w:r w:rsidR="002558FF">
              <w:rPr>
                <w:rFonts w:ascii="Calibri" w:eastAsia="Calibri" w:hAnsi="Calibri" w:cs="Calibri"/>
                <w:sz w:val="12"/>
              </w:rPr>
              <w:t>3</w:t>
            </w:r>
          </w:p>
        </w:tc>
      </w:tr>
      <w:tr w:rsidR="002D6B63" w:rsidTr="00CD32EC">
        <w:trPr>
          <w:trHeight w:val="261"/>
        </w:trPr>
        <w:tc>
          <w:tcPr>
            <w:tcW w:w="1894"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43" w:firstLine="0"/>
              <w:jc w:val="center"/>
            </w:pPr>
            <w:r>
              <w:rPr>
                <w:sz w:val="22"/>
              </w:rPr>
              <w:t>KH</w:t>
            </w:r>
          </w:p>
        </w:tc>
        <w:tc>
          <w:tcPr>
            <w:tcW w:w="81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8" w:firstLine="0"/>
              <w:jc w:val="center"/>
            </w:pPr>
            <w:r w:rsidRPr="00CD32EC">
              <w:rPr>
                <w:rFonts w:ascii="Calibri" w:eastAsia="Calibri" w:hAnsi="Calibri" w:cs="Calibri"/>
                <w:sz w:val="22"/>
                <w:highlight w:val="black"/>
              </w:rPr>
              <w:t>100</w:t>
            </w:r>
          </w:p>
        </w:tc>
        <w:tc>
          <w:tcPr>
            <w:tcW w:w="928" w:type="dxa"/>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pPr>
              <w:spacing w:after="0" w:line="259" w:lineRule="auto"/>
              <w:ind w:right="24" w:firstLine="0"/>
              <w:jc w:val="center"/>
            </w:pPr>
            <w:r w:rsidRPr="00CD32EC">
              <w:rPr>
                <w:rFonts w:ascii="Calibri" w:eastAsia="Calibri" w:hAnsi="Calibri" w:cs="Calibri"/>
                <w:sz w:val="22"/>
                <w:highlight w:val="black"/>
              </w:rPr>
              <w:t>700</w:t>
            </w:r>
          </w:p>
        </w:tc>
        <w:tc>
          <w:tcPr>
            <w:tcW w:w="2556" w:type="dxa"/>
            <w:gridSpan w:val="4"/>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pPr>
              <w:spacing w:after="0" w:line="259" w:lineRule="auto"/>
              <w:ind w:right="29" w:firstLine="0"/>
              <w:jc w:val="center"/>
            </w:pPr>
            <w:r w:rsidRPr="00CD32EC">
              <w:rPr>
                <w:rFonts w:ascii="Calibri" w:eastAsia="Calibri" w:hAnsi="Calibri" w:cs="Calibri"/>
                <w:sz w:val="22"/>
                <w:highlight w:val="black"/>
              </w:rPr>
              <w:t>850</w:t>
            </w:r>
          </w:p>
        </w:tc>
        <w:tc>
          <w:tcPr>
            <w:tcW w:w="650" w:type="dxa"/>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pPr>
              <w:spacing w:after="0" w:line="259" w:lineRule="auto"/>
              <w:ind w:left="136" w:right="0" w:firstLine="0"/>
              <w:jc w:val="left"/>
            </w:pPr>
            <w:r w:rsidRPr="00CD32EC">
              <w:rPr>
                <w:rFonts w:ascii="Calibri" w:eastAsia="Calibri" w:hAnsi="Calibri" w:cs="Calibri"/>
                <w:sz w:val="22"/>
                <w:highlight w:val="black"/>
              </w:rPr>
              <w:t>700</w:t>
            </w:r>
          </w:p>
        </w:tc>
        <w:tc>
          <w:tcPr>
            <w:tcW w:w="1610" w:type="dxa"/>
            <w:vMerge/>
            <w:tcBorders>
              <w:top w:val="nil"/>
              <w:left w:val="single" w:sz="2" w:space="0" w:color="000000"/>
              <w:bottom w:val="nil"/>
              <w:right w:val="single" w:sz="2" w:space="0" w:color="000000"/>
            </w:tcBorders>
          </w:tcPr>
          <w:p w:rsidR="002D6B63" w:rsidRDefault="002D6B63">
            <w:pPr>
              <w:spacing w:after="160" w:line="259" w:lineRule="auto"/>
              <w:ind w:right="0" w:firstLine="0"/>
              <w:jc w:val="left"/>
            </w:pPr>
          </w:p>
        </w:tc>
      </w:tr>
      <w:tr w:rsidR="002D6B63" w:rsidTr="00CD32EC">
        <w:trPr>
          <w:trHeight w:val="269"/>
        </w:trPr>
        <w:tc>
          <w:tcPr>
            <w:tcW w:w="1894" w:type="dxa"/>
            <w:gridSpan w:val="2"/>
            <w:tcBorders>
              <w:top w:val="single" w:sz="2" w:space="0" w:color="000000"/>
              <w:left w:val="single" w:sz="2" w:space="0" w:color="000000"/>
              <w:bottom w:val="single" w:sz="2" w:space="0" w:color="000000"/>
              <w:right w:val="single" w:sz="2" w:space="0" w:color="000000"/>
            </w:tcBorders>
          </w:tcPr>
          <w:p w:rsidR="002D6B63" w:rsidRDefault="007352C6" w:rsidP="00CD32EC">
            <w:pPr>
              <w:spacing w:after="0" w:line="259" w:lineRule="auto"/>
              <w:ind w:right="38" w:firstLine="0"/>
              <w:jc w:val="center"/>
            </w:pPr>
            <w:proofErr w:type="gramStart"/>
            <w:r>
              <w:rPr>
                <w:sz w:val="22"/>
              </w:rPr>
              <w:t>CX</w:t>
            </w:r>
            <w:r w:rsidR="00CD32EC">
              <w:rPr>
                <w:sz w:val="22"/>
              </w:rPr>
              <w:t>,</w:t>
            </w:r>
            <w:r>
              <w:rPr>
                <w:sz w:val="22"/>
              </w:rPr>
              <w:t>BR</w:t>
            </w:r>
            <w:proofErr w:type="gramEnd"/>
          </w:p>
        </w:tc>
        <w:tc>
          <w:tcPr>
            <w:tcW w:w="81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8" w:firstLine="0"/>
              <w:jc w:val="center"/>
            </w:pPr>
            <w:r w:rsidRPr="00CD32EC">
              <w:rPr>
                <w:rFonts w:ascii="Calibri" w:eastAsia="Calibri" w:hAnsi="Calibri" w:cs="Calibri"/>
                <w:sz w:val="22"/>
                <w:highlight w:val="black"/>
              </w:rPr>
              <w:t>100</w:t>
            </w:r>
          </w:p>
        </w:tc>
        <w:tc>
          <w:tcPr>
            <w:tcW w:w="0" w:type="auto"/>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c>
          <w:tcPr>
            <w:tcW w:w="0" w:type="auto"/>
            <w:gridSpan w:val="4"/>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c>
          <w:tcPr>
            <w:tcW w:w="650" w:type="dxa"/>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c>
          <w:tcPr>
            <w:tcW w:w="1610" w:type="dxa"/>
            <w:vMerge/>
            <w:tcBorders>
              <w:top w:val="nil"/>
              <w:left w:val="single" w:sz="2" w:space="0" w:color="000000"/>
              <w:bottom w:val="nil"/>
              <w:right w:val="single" w:sz="2" w:space="0" w:color="000000"/>
            </w:tcBorders>
          </w:tcPr>
          <w:p w:rsidR="002D6B63" w:rsidRDefault="002D6B63">
            <w:pPr>
              <w:spacing w:after="160" w:line="259" w:lineRule="auto"/>
              <w:ind w:right="0" w:firstLine="0"/>
              <w:jc w:val="left"/>
            </w:pPr>
          </w:p>
        </w:tc>
      </w:tr>
      <w:tr w:rsidR="002D6B63" w:rsidTr="00CD32EC">
        <w:trPr>
          <w:trHeight w:val="279"/>
        </w:trPr>
        <w:tc>
          <w:tcPr>
            <w:tcW w:w="1894"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77" w:right="0" w:firstLine="0"/>
              <w:jc w:val="left"/>
            </w:pPr>
            <w:r>
              <w:rPr>
                <w:sz w:val="20"/>
              </w:rPr>
              <w:t>Vlákninové dříví kov</w:t>
            </w:r>
          </w:p>
        </w:tc>
        <w:tc>
          <w:tcPr>
            <w:tcW w:w="4945" w:type="dxa"/>
            <w:gridSpan w:val="7"/>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10" w:firstLine="0"/>
              <w:jc w:val="center"/>
            </w:pPr>
            <w:r w:rsidRPr="00CD32EC">
              <w:rPr>
                <w:rFonts w:ascii="Calibri" w:eastAsia="Calibri" w:hAnsi="Calibri" w:cs="Calibri"/>
                <w:sz w:val="22"/>
                <w:highlight w:val="black"/>
              </w:rPr>
              <w:t>100</w:t>
            </w:r>
          </w:p>
        </w:tc>
        <w:tc>
          <w:tcPr>
            <w:tcW w:w="1610" w:type="dxa"/>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r>
      <w:tr w:rsidR="002D6B63" w:rsidTr="00CD32EC">
        <w:tblPrEx>
          <w:tblCellMar>
            <w:top w:w="50" w:type="dxa"/>
            <w:left w:w="31" w:type="dxa"/>
          </w:tblCellMar>
        </w:tblPrEx>
        <w:trPr>
          <w:gridBefore w:val="1"/>
          <w:gridAfter w:val="1"/>
          <w:wBefore w:w="11" w:type="dxa"/>
          <w:wAfter w:w="1610" w:type="dxa"/>
          <w:trHeight w:val="261"/>
        </w:trPr>
        <w:tc>
          <w:tcPr>
            <w:tcW w:w="1883" w:type="dxa"/>
            <w:tcBorders>
              <w:top w:val="single" w:sz="2" w:space="0" w:color="000000"/>
              <w:left w:val="single" w:sz="2" w:space="0" w:color="000000"/>
              <w:bottom w:val="single" w:sz="2" w:space="0" w:color="000000"/>
              <w:right w:val="nil"/>
            </w:tcBorders>
          </w:tcPr>
          <w:p w:rsidR="002D6B63" w:rsidRDefault="002D6B63">
            <w:pPr>
              <w:spacing w:after="160" w:line="259" w:lineRule="auto"/>
              <w:ind w:right="0" w:firstLine="0"/>
              <w:jc w:val="left"/>
            </w:pPr>
          </w:p>
        </w:tc>
        <w:tc>
          <w:tcPr>
            <w:tcW w:w="4945" w:type="dxa"/>
            <w:gridSpan w:val="7"/>
            <w:tcBorders>
              <w:top w:val="single" w:sz="2" w:space="0" w:color="000000"/>
              <w:left w:val="nil"/>
              <w:bottom w:val="single" w:sz="2" w:space="0" w:color="000000"/>
              <w:right w:val="single" w:sz="2" w:space="0" w:color="000000"/>
            </w:tcBorders>
          </w:tcPr>
          <w:p w:rsidR="002D6B63" w:rsidRDefault="007352C6">
            <w:pPr>
              <w:spacing w:after="0" w:line="259" w:lineRule="auto"/>
              <w:ind w:left="264" w:right="0" w:firstLine="0"/>
              <w:jc w:val="left"/>
            </w:pPr>
            <w:r>
              <w:rPr>
                <w:sz w:val="20"/>
              </w:rPr>
              <w:t xml:space="preserve">Pilařská kulatina MODŘÍN </w:t>
            </w:r>
            <w:proofErr w:type="spellStart"/>
            <w:r>
              <w:rPr>
                <w:sz w:val="20"/>
              </w:rPr>
              <w:t>Retz</w:t>
            </w:r>
            <w:proofErr w:type="spellEnd"/>
          </w:p>
        </w:tc>
      </w:tr>
      <w:tr w:rsidR="002558FF" w:rsidTr="00CD32EC">
        <w:tblPrEx>
          <w:tblCellMar>
            <w:top w:w="50" w:type="dxa"/>
            <w:left w:w="31" w:type="dxa"/>
          </w:tblCellMar>
        </w:tblPrEx>
        <w:trPr>
          <w:gridBefore w:val="1"/>
          <w:gridAfter w:val="1"/>
          <w:wBefore w:w="11" w:type="dxa"/>
          <w:wAfter w:w="1610" w:type="dxa"/>
          <w:trHeight w:val="266"/>
        </w:trPr>
        <w:tc>
          <w:tcPr>
            <w:tcW w:w="1883"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37" w:firstLine="0"/>
              <w:jc w:val="center"/>
            </w:pPr>
            <w:r>
              <w:rPr>
                <w:sz w:val="20"/>
              </w:rPr>
              <w:t>Modřín 5m</w:t>
            </w:r>
          </w:p>
        </w:tc>
        <w:tc>
          <w:tcPr>
            <w:tcW w:w="81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17" w:right="0" w:firstLine="0"/>
              <w:jc w:val="center"/>
            </w:pPr>
            <w:r>
              <w:rPr>
                <w:sz w:val="34"/>
              </w:rPr>
              <w:t>lb</w:t>
            </w:r>
          </w:p>
        </w:tc>
        <w:tc>
          <w:tcPr>
            <w:tcW w:w="928" w:type="dxa"/>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2a</w:t>
            </w:r>
          </w:p>
        </w:tc>
        <w:tc>
          <w:tcPr>
            <w:tcW w:w="641"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0" w:firstLine="0"/>
              <w:jc w:val="center"/>
            </w:pPr>
            <w:r>
              <w:rPr>
                <w:sz w:val="22"/>
              </w:rPr>
              <w:t>2b</w:t>
            </w:r>
          </w:p>
        </w:tc>
        <w:tc>
          <w:tcPr>
            <w:tcW w:w="638" w:type="dxa"/>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3a</w:t>
            </w:r>
          </w:p>
        </w:tc>
        <w:tc>
          <w:tcPr>
            <w:tcW w:w="638"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14" w:firstLine="0"/>
              <w:jc w:val="center"/>
            </w:pPr>
            <w:r>
              <w:rPr>
                <w:sz w:val="22"/>
              </w:rPr>
              <w:t>3b</w:t>
            </w:r>
          </w:p>
        </w:tc>
        <w:tc>
          <w:tcPr>
            <w:tcW w:w="639"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72" w:right="0" w:firstLine="0"/>
              <w:jc w:val="left"/>
            </w:pPr>
            <w:r>
              <w:rPr>
                <w:sz w:val="20"/>
              </w:rPr>
              <w:t xml:space="preserve">4a-5b </w:t>
            </w:r>
          </w:p>
        </w:tc>
        <w:tc>
          <w:tcPr>
            <w:tcW w:w="650" w:type="dxa"/>
            <w:tcBorders>
              <w:top w:val="single" w:sz="2" w:space="0" w:color="000000"/>
              <w:left w:val="single" w:sz="2" w:space="0" w:color="000000"/>
              <w:bottom w:val="single" w:sz="2" w:space="0" w:color="000000"/>
              <w:right w:val="single" w:sz="2" w:space="0" w:color="000000"/>
            </w:tcBorders>
            <w:vAlign w:val="bottom"/>
          </w:tcPr>
          <w:p w:rsidR="002D6B63" w:rsidRDefault="002558FF" w:rsidP="002558FF">
            <w:pPr>
              <w:spacing w:after="0" w:line="259" w:lineRule="auto"/>
              <w:ind w:left="29" w:right="0" w:firstLine="0"/>
              <w:jc w:val="left"/>
            </w:pPr>
            <w:proofErr w:type="spellStart"/>
            <w:proofErr w:type="gramStart"/>
            <w:r>
              <w:rPr>
                <w:sz w:val="22"/>
              </w:rPr>
              <w:t>tl</w:t>
            </w:r>
            <w:proofErr w:type="gramEnd"/>
            <w:r>
              <w:rPr>
                <w:sz w:val="22"/>
              </w:rPr>
              <w:t>.</w:t>
            </w:r>
            <w:proofErr w:type="gramStart"/>
            <w:r>
              <w:rPr>
                <w:sz w:val="22"/>
              </w:rPr>
              <w:t>stupeň</w:t>
            </w:r>
            <w:proofErr w:type="spellEnd"/>
            <w:proofErr w:type="gramEnd"/>
          </w:p>
        </w:tc>
      </w:tr>
      <w:tr w:rsidR="002558FF" w:rsidTr="00CD32EC">
        <w:tblPrEx>
          <w:tblCellMar>
            <w:top w:w="50" w:type="dxa"/>
            <w:left w:w="31" w:type="dxa"/>
          </w:tblCellMar>
        </w:tblPrEx>
        <w:trPr>
          <w:gridBefore w:val="1"/>
          <w:gridAfter w:val="1"/>
          <w:wBefore w:w="11" w:type="dxa"/>
          <w:wAfter w:w="1610" w:type="dxa"/>
          <w:trHeight w:val="267"/>
        </w:trPr>
        <w:tc>
          <w:tcPr>
            <w:tcW w:w="1883" w:type="dxa"/>
            <w:tcBorders>
              <w:top w:val="single" w:sz="2" w:space="0" w:color="000000"/>
              <w:left w:val="single" w:sz="2" w:space="0" w:color="000000"/>
              <w:bottom w:val="single" w:sz="2" w:space="0" w:color="000000"/>
              <w:right w:val="single" w:sz="2" w:space="0" w:color="000000"/>
            </w:tcBorders>
          </w:tcPr>
          <w:p w:rsidR="002D6B63" w:rsidRDefault="002558FF">
            <w:pPr>
              <w:spacing w:after="0" w:line="259" w:lineRule="auto"/>
              <w:ind w:right="89" w:firstLine="0"/>
              <w:jc w:val="center"/>
            </w:pPr>
            <w:r>
              <w:t>p</w:t>
            </w:r>
            <w:r w:rsidR="007352C6">
              <w:t>růměr bez ků</w:t>
            </w:r>
            <w:r>
              <w:t>ry</w:t>
            </w:r>
          </w:p>
        </w:tc>
        <w:tc>
          <w:tcPr>
            <w:tcW w:w="811" w:type="dxa"/>
            <w:tcBorders>
              <w:top w:val="single" w:sz="2" w:space="0" w:color="000000"/>
              <w:left w:val="single" w:sz="2" w:space="0" w:color="000000"/>
              <w:bottom w:val="single" w:sz="2" w:space="0" w:color="000000"/>
              <w:right w:val="single" w:sz="2" w:space="0" w:color="000000"/>
            </w:tcBorders>
          </w:tcPr>
          <w:p w:rsidR="002D6B63" w:rsidRDefault="002558FF" w:rsidP="002558FF">
            <w:pPr>
              <w:spacing w:after="0" w:line="259" w:lineRule="auto"/>
              <w:ind w:right="0" w:firstLine="0"/>
              <w:jc w:val="left"/>
            </w:pPr>
            <w:r>
              <w:t>čep</w:t>
            </w:r>
            <w:r w:rsidR="007352C6">
              <w:t xml:space="preserve"> 17-</w:t>
            </w:r>
            <w:r>
              <w:t>19stp</w:t>
            </w:r>
          </w:p>
        </w:tc>
        <w:tc>
          <w:tcPr>
            <w:tcW w:w="928"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2" w:right="0" w:firstLine="0"/>
              <w:jc w:val="center"/>
            </w:pPr>
            <w:r>
              <w:rPr>
                <w:sz w:val="14"/>
              </w:rPr>
              <w:t>20-24STP</w:t>
            </w:r>
          </w:p>
        </w:tc>
        <w:tc>
          <w:tcPr>
            <w:tcW w:w="641" w:type="dxa"/>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34" w:right="0" w:firstLine="0"/>
            </w:pPr>
            <w:r>
              <w:rPr>
                <w:sz w:val="14"/>
              </w:rPr>
              <w:t>25-29STP</w:t>
            </w:r>
          </w:p>
        </w:tc>
        <w:tc>
          <w:tcPr>
            <w:tcW w:w="638" w:type="dxa"/>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31" w:right="0" w:firstLine="0"/>
            </w:pPr>
            <w:r>
              <w:rPr>
                <w:sz w:val="14"/>
              </w:rPr>
              <w:t>30-34STP</w:t>
            </w:r>
          </w:p>
        </w:tc>
        <w:tc>
          <w:tcPr>
            <w:tcW w:w="638" w:type="dxa"/>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26" w:right="0" w:firstLine="0"/>
            </w:pPr>
            <w:r>
              <w:rPr>
                <w:sz w:val="14"/>
              </w:rPr>
              <w:t>35-39STP</w:t>
            </w:r>
          </w:p>
        </w:tc>
        <w:tc>
          <w:tcPr>
            <w:tcW w:w="639" w:type="dxa"/>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29" w:right="0" w:firstLine="0"/>
            </w:pPr>
            <w:r>
              <w:rPr>
                <w:sz w:val="14"/>
              </w:rPr>
              <w:t xml:space="preserve">40-59STP </w:t>
            </w:r>
          </w:p>
        </w:tc>
        <w:tc>
          <w:tcPr>
            <w:tcW w:w="650"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24" w:firstLine="0"/>
              <w:jc w:val="center"/>
            </w:pPr>
            <w:r>
              <w:t>cm</w:t>
            </w:r>
          </w:p>
        </w:tc>
      </w:tr>
      <w:tr w:rsidR="002558FF" w:rsidTr="00CD32EC">
        <w:tblPrEx>
          <w:tblCellMar>
            <w:top w:w="50" w:type="dxa"/>
            <w:left w:w="31" w:type="dxa"/>
          </w:tblCellMar>
        </w:tblPrEx>
        <w:trPr>
          <w:gridBefore w:val="1"/>
          <w:gridAfter w:val="1"/>
          <w:wBefore w:w="11" w:type="dxa"/>
          <w:wAfter w:w="1610" w:type="dxa"/>
          <w:trHeight w:val="263"/>
        </w:trPr>
        <w:tc>
          <w:tcPr>
            <w:tcW w:w="1883" w:type="dxa"/>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AB</w:t>
            </w:r>
          </w:p>
        </w:tc>
        <w:tc>
          <w:tcPr>
            <w:tcW w:w="811"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158" w:right="0" w:firstLine="0"/>
              <w:jc w:val="left"/>
              <w:rPr>
                <w:highlight w:val="black"/>
              </w:rPr>
            </w:pPr>
            <w:r w:rsidRPr="002558FF">
              <w:rPr>
                <w:rFonts w:ascii="Calibri" w:eastAsia="Calibri" w:hAnsi="Calibri" w:cs="Calibri"/>
                <w:sz w:val="24"/>
                <w:highlight w:val="black"/>
              </w:rPr>
              <w:t>1700</w:t>
            </w:r>
          </w:p>
        </w:tc>
        <w:tc>
          <w:tcPr>
            <w:tcW w:w="92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2" w:firstLine="0"/>
              <w:jc w:val="center"/>
              <w:rPr>
                <w:highlight w:val="black"/>
              </w:rPr>
            </w:pPr>
            <w:r w:rsidRPr="002558FF">
              <w:rPr>
                <w:rFonts w:ascii="Calibri" w:eastAsia="Calibri" w:hAnsi="Calibri" w:cs="Calibri"/>
                <w:sz w:val="22"/>
                <w:highlight w:val="black"/>
              </w:rPr>
              <w:t>2 600</w:t>
            </w:r>
          </w:p>
        </w:tc>
        <w:tc>
          <w:tcPr>
            <w:tcW w:w="641"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6" w:right="0" w:firstLine="0"/>
              <w:jc w:val="left"/>
              <w:rPr>
                <w:highlight w:val="black"/>
              </w:rPr>
            </w:pPr>
            <w:r w:rsidRPr="002558FF">
              <w:rPr>
                <w:rFonts w:ascii="Calibri" w:eastAsia="Calibri" w:hAnsi="Calibri" w:cs="Calibri"/>
                <w:sz w:val="22"/>
                <w:highlight w:val="black"/>
              </w:rPr>
              <w:t>2 800</w:t>
            </w:r>
          </w:p>
        </w:tc>
        <w:tc>
          <w:tcPr>
            <w:tcW w:w="63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79" w:right="0" w:firstLine="0"/>
              <w:jc w:val="left"/>
              <w:rPr>
                <w:highlight w:val="black"/>
              </w:rPr>
            </w:pPr>
            <w:r w:rsidRPr="002558FF">
              <w:rPr>
                <w:rFonts w:ascii="Calibri" w:eastAsia="Calibri" w:hAnsi="Calibri" w:cs="Calibri"/>
                <w:sz w:val="22"/>
                <w:highlight w:val="black"/>
              </w:rPr>
              <w:t>2 850</w:t>
            </w:r>
          </w:p>
        </w:tc>
        <w:tc>
          <w:tcPr>
            <w:tcW w:w="63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79" w:right="0" w:firstLine="0"/>
              <w:jc w:val="left"/>
              <w:rPr>
                <w:highlight w:val="black"/>
              </w:rPr>
            </w:pPr>
            <w:r w:rsidRPr="002558FF">
              <w:rPr>
                <w:rFonts w:ascii="Calibri" w:eastAsia="Calibri" w:hAnsi="Calibri" w:cs="Calibri"/>
                <w:sz w:val="22"/>
                <w:highlight w:val="black"/>
              </w:rPr>
              <w:t>2 850</w:t>
            </w:r>
          </w:p>
        </w:tc>
        <w:tc>
          <w:tcPr>
            <w:tcW w:w="639"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77" w:right="0" w:firstLine="0"/>
              <w:jc w:val="left"/>
              <w:rPr>
                <w:highlight w:val="black"/>
              </w:rPr>
            </w:pPr>
            <w:r w:rsidRPr="002558FF">
              <w:rPr>
                <w:rFonts w:ascii="Calibri" w:eastAsia="Calibri" w:hAnsi="Calibri" w:cs="Calibri"/>
                <w:sz w:val="22"/>
                <w:highlight w:val="black"/>
              </w:rPr>
              <w:t>2 600</w:t>
            </w:r>
          </w:p>
        </w:tc>
        <w:tc>
          <w:tcPr>
            <w:tcW w:w="650" w:type="dxa"/>
            <w:vMerge w:val="restart"/>
            <w:tcBorders>
              <w:top w:val="single" w:sz="2" w:space="0" w:color="000000"/>
              <w:left w:val="single" w:sz="2" w:space="0" w:color="000000"/>
              <w:bottom w:val="single" w:sz="2" w:space="0" w:color="000000"/>
              <w:right w:val="single" w:sz="2" w:space="0" w:color="000000"/>
            </w:tcBorders>
            <w:vAlign w:val="center"/>
          </w:tcPr>
          <w:p w:rsidR="002D6B63" w:rsidRDefault="007352C6">
            <w:pPr>
              <w:spacing w:after="0" w:line="259" w:lineRule="auto"/>
              <w:ind w:left="101" w:right="0" w:firstLine="0"/>
              <w:jc w:val="left"/>
            </w:pPr>
            <w:r>
              <w:t>Kč/m3</w:t>
            </w:r>
          </w:p>
        </w:tc>
      </w:tr>
      <w:tr w:rsidR="002558FF" w:rsidTr="00CD32EC">
        <w:tblPrEx>
          <w:tblCellMar>
            <w:top w:w="50" w:type="dxa"/>
            <w:left w:w="31" w:type="dxa"/>
          </w:tblCellMar>
        </w:tblPrEx>
        <w:trPr>
          <w:gridBefore w:val="1"/>
          <w:gridAfter w:val="1"/>
          <w:wBefore w:w="11" w:type="dxa"/>
          <w:wAfter w:w="1610" w:type="dxa"/>
          <w:trHeight w:val="272"/>
        </w:trPr>
        <w:tc>
          <w:tcPr>
            <w:tcW w:w="1883"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32" w:firstLine="0"/>
              <w:jc w:val="center"/>
            </w:pPr>
            <w:r>
              <w:rPr>
                <w:sz w:val="30"/>
              </w:rPr>
              <w:t>c</w:t>
            </w:r>
          </w:p>
        </w:tc>
        <w:tc>
          <w:tcPr>
            <w:tcW w:w="811"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7" w:firstLine="0"/>
              <w:jc w:val="center"/>
              <w:rPr>
                <w:highlight w:val="black"/>
              </w:rPr>
            </w:pPr>
            <w:r w:rsidRPr="002558FF">
              <w:rPr>
                <w:rFonts w:ascii="Calibri" w:eastAsia="Calibri" w:hAnsi="Calibri" w:cs="Calibri"/>
                <w:sz w:val="22"/>
                <w:highlight w:val="black"/>
              </w:rPr>
              <w:t>1 700</w:t>
            </w:r>
          </w:p>
        </w:tc>
        <w:tc>
          <w:tcPr>
            <w:tcW w:w="92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7" w:firstLine="0"/>
              <w:jc w:val="center"/>
              <w:rPr>
                <w:highlight w:val="black"/>
              </w:rPr>
            </w:pPr>
            <w:r w:rsidRPr="002558FF">
              <w:rPr>
                <w:rFonts w:ascii="Calibri" w:eastAsia="Calibri" w:hAnsi="Calibri" w:cs="Calibri"/>
                <w:sz w:val="22"/>
                <w:highlight w:val="black"/>
              </w:rPr>
              <w:t>2 500</w:t>
            </w:r>
          </w:p>
        </w:tc>
        <w:tc>
          <w:tcPr>
            <w:tcW w:w="641"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77" w:right="0" w:firstLine="0"/>
              <w:jc w:val="left"/>
              <w:rPr>
                <w:highlight w:val="black"/>
              </w:rPr>
            </w:pPr>
            <w:r w:rsidRPr="002558FF">
              <w:rPr>
                <w:rFonts w:ascii="Calibri" w:eastAsia="Calibri" w:hAnsi="Calibri" w:cs="Calibri"/>
                <w:sz w:val="22"/>
                <w:highlight w:val="black"/>
              </w:rPr>
              <w:t>2 600</w:t>
            </w:r>
          </w:p>
        </w:tc>
        <w:tc>
          <w:tcPr>
            <w:tcW w:w="63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79" w:right="0" w:firstLine="0"/>
              <w:jc w:val="left"/>
              <w:rPr>
                <w:highlight w:val="black"/>
              </w:rPr>
            </w:pPr>
            <w:r w:rsidRPr="002558FF">
              <w:rPr>
                <w:rFonts w:ascii="Calibri" w:eastAsia="Calibri" w:hAnsi="Calibri" w:cs="Calibri"/>
                <w:sz w:val="20"/>
                <w:highlight w:val="black"/>
              </w:rPr>
              <w:t>2 650</w:t>
            </w:r>
          </w:p>
        </w:tc>
        <w:tc>
          <w:tcPr>
            <w:tcW w:w="63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4" w:right="0" w:firstLine="0"/>
              <w:jc w:val="left"/>
              <w:rPr>
                <w:highlight w:val="black"/>
              </w:rPr>
            </w:pPr>
            <w:r w:rsidRPr="002558FF">
              <w:rPr>
                <w:rFonts w:ascii="Calibri" w:eastAsia="Calibri" w:hAnsi="Calibri" w:cs="Calibri"/>
                <w:sz w:val="22"/>
                <w:highlight w:val="black"/>
              </w:rPr>
              <w:t>2 650</w:t>
            </w:r>
          </w:p>
        </w:tc>
        <w:tc>
          <w:tcPr>
            <w:tcW w:w="639"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72" w:right="0" w:firstLine="0"/>
              <w:jc w:val="left"/>
              <w:rPr>
                <w:highlight w:val="black"/>
              </w:rPr>
            </w:pPr>
            <w:r w:rsidRPr="002558FF">
              <w:rPr>
                <w:rFonts w:ascii="Calibri" w:eastAsia="Calibri" w:hAnsi="Calibri" w:cs="Calibri"/>
                <w:sz w:val="22"/>
                <w:highlight w:val="black"/>
              </w:rPr>
              <w:t>2 500</w:t>
            </w:r>
          </w:p>
        </w:tc>
        <w:tc>
          <w:tcPr>
            <w:tcW w:w="650" w:type="dxa"/>
            <w:vMerge/>
            <w:tcBorders>
              <w:top w:val="nil"/>
              <w:left w:val="single" w:sz="2" w:space="0" w:color="000000"/>
              <w:bottom w:val="nil"/>
              <w:right w:val="single" w:sz="2" w:space="0" w:color="000000"/>
            </w:tcBorders>
            <w:vAlign w:val="center"/>
          </w:tcPr>
          <w:p w:rsidR="002D6B63" w:rsidRDefault="002D6B63">
            <w:pPr>
              <w:spacing w:after="160" w:line="259" w:lineRule="auto"/>
              <w:ind w:right="0" w:firstLine="0"/>
              <w:jc w:val="left"/>
            </w:pPr>
          </w:p>
        </w:tc>
      </w:tr>
      <w:tr w:rsidR="002558FF" w:rsidTr="00CD32EC">
        <w:tblPrEx>
          <w:tblCellMar>
            <w:top w:w="50" w:type="dxa"/>
            <w:left w:w="31" w:type="dxa"/>
          </w:tblCellMar>
        </w:tblPrEx>
        <w:trPr>
          <w:gridBefore w:val="1"/>
          <w:gridAfter w:val="1"/>
          <w:wBefore w:w="11" w:type="dxa"/>
          <w:wAfter w:w="1610" w:type="dxa"/>
          <w:trHeight w:val="266"/>
        </w:trPr>
        <w:tc>
          <w:tcPr>
            <w:tcW w:w="1883" w:type="dxa"/>
            <w:tcBorders>
              <w:top w:val="single" w:sz="2" w:space="0" w:color="000000"/>
              <w:left w:val="single" w:sz="2" w:space="0" w:color="000000"/>
              <w:bottom w:val="single" w:sz="2" w:space="0" w:color="000000"/>
              <w:right w:val="single" w:sz="2" w:space="0" w:color="000000"/>
            </w:tcBorders>
          </w:tcPr>
          <w:p w:rsidR="002D6B63" w:rsidRDefault="007352C6" w:rsidP="002558FF">
            <w:pPr>
              <w:spacing w:after="0" w:line="259" w:lineRule="auto"/>
              <w:ind w:right="17" w:firstLine="0"/>
              <w:jc w:val="center"/>
            </w:pPr>
            <w:proofErr w:type="spellStart"/>
            <w:r>
              <w:rPr>
                <w:sz w:val="22"/>
              </w:rPr>
              <w:t>KH</w:t>
            </w:r>
            <w:r w:rsidR="002558FF">
              <w:rPr>
                <w:sz w:val="22"/>
              </w:rPr>
              <w:t>,</w:t>
            </w:r>
            <w:r>
              <w:rPr>
                <w:sz w:val="22"/>
              </w:rPr>
              <w:t>Cx</w:t>
            </w:r>
            <w:r w:rsidR="002558FF">
              <w:rPr>
                <w:sz w:val="22"/>
              </w:rPr>
              <w:t>,</w:t>
            </w:r>
            <w:r>
              <w:rPr>
                <w:sz w:val="22"/>
              </w:rPr>
              <w:t>Br</w:t>
            </w:r>
            <w:proofErr w:type="spellEnd"/>
          </w:p>
        </w:tc>
        <w:tc>
          <w:tcPr>
            <w:tcW w:w="811"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132" w:right="0" w:firstLine="0"/>
              <w:jc w:val="center"/>
              <w:rPr>
                <w:highlight w:val="black"/>
              </w:rPr>
            </w:pPr>
            <w:r w:rsidRPr="002558FF">
              <w:rPr>
                <w:rFonts w:ascii="Calibri" w:eastAsia="Calibri" w:hAnsi="Calibri" w:cs="Calibri"/>
                <w:sz w:val="22"/>
                <w:highlight w:val="black"/>
              </w:rPr>
              <w:t>000</w:t>
            </w:r>
          </w:p>
        </w:tc>
        <w:tc>
          <w:tcPr>
            <w:tcW w:w="92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2" w:firstLine="0"/>
              <w:jc w:val="center"/>
              <w:rPr>
                <w:highlight w:val="black"/>
              </w:rPr>
            </w:pPr>
            <w:r w:rsidRPr="002558FF">
              <w:rPr>
                <w:rFonts w:ascii="Calibri" w:eastAsia="Calibri" w:hAnsi="Calibri" w:cs="Calibri"/>
                <w:sz w:val="22"/>
                <w:highlight w:val="black"/>
              </w:rPr>
              <w:t>1 800</w:t>
            </w:r>
          </w:p>
        </w:tc>
        <w:tc>
          <w:tcPr>
            <w:tcW w:w="641"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6" w:right="0" w:firstLine="0"/>
              <w:jc w:val="left"/>
              <w:rPr>
                <w:highlight w:val="black"/>
              </w:rPr>
            </w:pPr>
            <w:r w:rsidRPr="002558FF">
              <w:rPr>
                <w:rFonts w:ascii="Calibri" w:eastAsia="Calibri" w:hAnsi="Calibri" w:cs="Calibri"/>
                <w:sz w:val="22"/>
                <w:highlight w:val="black"/>
              </w:rPr>
              <w:t>1 800</w:t>
            </w:r>
          </w:p>
        </w:tc>
        <w:tc>
          <w:tcPr>
            <w:tcW w:w="63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9" w:right="0" w:firstLine="0"/>
              <w:jc w:val="left"/>
              <w:rPr>
                <w:highlight w:val="black"/>
              </w:rPr>
            </w:pPr>
            <w:r w:rsidRPr="002558FF">
              <w:rPr>
                <w:rFonts w:ascii="Calibri" w:eastAsia="Calibri" w:hAnsi="Calibri" w:cs="Calibri"/>
                <w:sz w:val="22"/>
                <w:highlight w:val="black"/>
              </w:rPr>
              <w:t>1 800</w:t>
            </w:r>
          </w:p>
        </w:tc>
        <w:tc>
          <w:tcPr>
            <w:tcW w:w="638"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4" w:right="0" w:firstLine="0"/>
              <w:jc w:val="left"/>
              <w:rPr>
                <w:highlight w:val="black"/>
              </w:rPr>
            </w:pPr>
            <w:r w:rsidRPr="002558FF">
              <w:rPr>
                <w:rFonts w:ascii="Calibri" w:eastAsia="Calibri" w:hAnsi="Calibri" w:cs="Calibri"/>
                <w:sz w:val="22"/>
                <w:highlight w:val="black"/>
              </w:rPr>
              <w:t>1 800</w:t>
            </w:r>
          </w:p>
        </w:tc>
        <w:tc>
          <w:tcPr>
            <w:tcW w:w="639" w:type="dxa"/>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6" w:right="0" w:firstLine="0"/>
              <w:jc w:val="left"/>
              <w:rPr>
                <w:highlight w:val="black"/>
              </w:rPr>
            </w:pPr>
            <w:r w:rsidRPr="002558FF">
              <w:rPr>
                <w:rFonts w:ascii="Calibri" w:eastAsia="Calibri" w:hAnsi="Calibri" w:cs="Calibri"/>
                <w:sz w:val="22"/>
                <w:highlight w:val="black"/>
              </w:rPr>
              <w:t>1 800</w:t>
            </w:r>
          </w:p>
        </w:tc>
        <w:tc>
          <w:tcPr>
            <w:tcW w:w="650" w:type="dxa"/>
            <w:vMerge/>
            <w:tcBorders>
              <w:top w:val="nil"/>
              <w:left w:val="single" w:sz="2" w:space="0" w:color="000000"/>
              <w:bottom w:val="nil"/>
              <w:right w:val="single" w:sz="2" w:space="0" w:color="000000"/>
            </w:tcBorders>
          </w:tcPr>
          <w:p w:rsidR="002D6B63" w:rsidRDefault="002D6B63">
            <w:pPr>
              <w:spacing w:after="160" w:line="259" w:lineRule="auto"/>
              <w:ind w:right="0" w:firstLine="0"/>
              <w:jc w:val="left"/>
            </w:pPr>
          </w:p>
        </w:tc>
      </w:tr>
      <w:tr w:rsidR="002D6B63" w:rsidTr="00CD32EC">
        <w:tblPrEx>
          <w:tblCellMar>
            <w:top w:w="50" w:type="dxa"/>
            <w:left w:w="31" w:type="dxa"/>
          </w:tblCellMar>
        </w:tblPrEx>
        <w:trPr>
          <w:gridBefore w:val="1"/>
          <w:gridAfter w:val="1"/>
          <w:wBefore w:w="11" w:type="dxa"/>
          <w:wAfter w:w="1610" w:type="dxa"/>
          <w:trHeight w:val="278"/>
        </w:trPr>
        <w:tc>
          <w:tcPr>
            <w:tcW w:w="1883" w:type="dxa"/>
            <w:tcBorders>
              <w:top w:val="single" w:sz="2" w:space="0" w:color="000000"/>
              <w:left w:val="single" w:sz="2" w:space="0" w:color="000000"/>
              <w:bottom w:val="single" w:sz="2" w:space="0" w:color="000000"/>
              <w:right w:val="single" w:sz="2" w:space="0" w:color="000000"/>
            </w:tcBorders>
          </w:tcPr>
          <w:p w:rsidR="002D6B63" w:rsidRDefault="007352C6" w:rsidP="002558FF">
            <w:pPr>
              <w:spacing w:after="0" w:line="259" w:lineRule="auto"/>
              <w:ind w:left="91" w:right="0" w:firstLine="0"/>
              <w:jc w:val="left"/>
            </w:pPr>
            <w:r>
              <w:rPr>
                <w:sz w:val="20"/>
              </w:rPr>
              <w:t>Vlákninové dří</w:t>
            </w:r>
            <w:r w:rsidR="002558FF">
              <w:rPr>
                <w:sz w:val="20"/>
              </w:rPr>
              <w:t>v</w:t>
            </w:r>
            <w:r>
              <w:rPr>
                <w:sz w:val="20"/>
              </w:rPr>
              <w:t>í kov</w:t>
            </w:r>
          </w:p>
        </w:tc>
        <w:tc>
          <w:tcPr>
            <w:tcW w:w="4295" w:type="dxa"/>
            <w:gridSpan w:val="6"/>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17" w:right="0" w:firstLine="0"/>
              <w:jc w:val="center"/>
              <w:rPr>
                <w:highlight w:val="black"/>
              </w:rPr>
            </w:pPr>
            <w:r w:rsidRPr="002558FF">
              <w:rPr>
                <w:rFonts w:ascii="Calibri" w:eastAsia="Calibri" w:hAnsi="Calibri" w:cs="Calibri"/>
                <w:sz w:val="22"/>
                <w:highlight w:val="black"/>
              </w:rPr>
              <w:t>100</w:t>
            </w:r>
          </w:p>
        </w:tc>
        <w:tc>
          <w:tcPr>
            <w:tcW w:w="650" w:type="dxa"/>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r>
    </w:tbl>
    <w:p w:rsidR="002D6B63" w:rsidRDefault="002D6B63">
      <w:pPr>
        <w:spacing w:after="0" w:line="259" w:lineRule="auto"/>
        <w:ind w:left="326" w:right="-48" w:firstLine="0"/>
        <w:jc w:val="left"/>
      </w:pPr>
    </w:p>
    <w:p w:rsidR="002558FF" w:rsidRDefault="007352C6" w:rsidP="002558FF">
      <w:pPr>
        <w:pStyle w:val="Nadpis1"/>
      </w:pPr>
      <w:r>
        <w:rPr>
          <w:noProof/>
        </w:rPr>
        <w:lastRenderedPageBreak/>
        <w:drawing>
          <wp:inline distT="0" distB="0" distL="0" distR="0">
            <wp:extent cx="457200" cy="454217"/>
            <wp:effectExtent l="0" t="0" r="0" b="0"/>
            <wp:docPr id="15019" name="Picture 15019"/>
            <wp:cNvGraphicFramePr/>
            <a:graphic xmlns:a="http://schemas.openxmlformats.org/drawingml/2006/main">
              <a:graphicData uri="http://schemas.openxmlformats.org/drawingml/2006/picture">
                <pic:pic xmlns:pic="http://schemas.openxmlformats.org/drawingml/2006/picture">
                  <pic:nvPicPr>
                    <pic:cNvPr id="15019" name="Picture 15019"/>
                    <pic:cNvPicPr/>
                  </pic:nvPicPr>
                  <pic:blipFill>
                    <a:blip r:embed="rId10"/>
                    <a:stretch>
                      <a:fillRect/>
                    </a:stretch>
                  </pic:blipFill>
                  <pic:spPr>
                    <a:xfrm>
                      <a:off x="0" y="0"/>
                      <a:ext cx="457200" cy="454217"/>
                    </a:xfrm>
                    <a:prstGeom prst="rect">
                      <a:avLst/>
                    </a:prstGeom>
                  </pic:spPr>
                </pic:pic>
              </a:graphicData>
            </a:graphic>
          </wp:inline>
        </w:drawing>
      </w:r>
      <w:r>
        <w:t xml:space="preserve"> </w:t>
      </w:r>
      <w:proofErr w:type="spellStart"/>
      <w:r w:rsidR="002558FF">
        <w:t>Wood</w:t>
      </w:r>
      <w:proofErr w:type="spellEnd"/>
      <w:r w:rsidR="002558FF">
        <w:t xml:space="preserve"> &amp; Poper</w:t>
      </w:r>
    </w:p>
    <w:p w:rsidR="002558FF" w:rsidRDefault="002558FF">
      <w:pPr>
        <w:pStyle w:val="Nadpis1"/>
      </w:pPr>
    </w:p>
    <w:tbl>
      <w:tblPr>
        <w:tblStyle w:val="TableGrid"/>
        <w:tblW w:w="8449" w:type="dxa"/>
        <w:tblInd w:w="337" w:type="dxa"/>
        <w:tblCellMar>
          <w:top w:w="50" w:type="dxa"/>
          <w:left w:w="31" w:type="dxa"/>
        </w:tblCellMar>
        <w:tblLook w:val="04A0" w:firstRow="1" w:lastRow="0" w:firstColumn="1" w:lastColumn="0" w:noHBand="0" w:noVBand="1"/>
      </w:tblPr>
      <w:tblGrid>
        <w:gridCol w:w="48"/>
        <w:gridCol w:w="1892"/>
        <w:gridCol w:w="337"/>
        <w:gridCol w:w="466"/>
        <w:gridCol w:w="514"/>
        <w:gridCol w:w="411"/>
        <w:gridCol w:w="641"/>
        <w:gridCol w:w="70"/>
        <w:gridCol w:w="565"/>
        <w:gridCol w:w="210"/>
        <w:gridCol w:w="422"/>
        <w:gridCol w:w="349"/>
        <w:gridCol w:w="398"/>
        <w:gridCol w:w="373"/>
        <w:gridCol w:w="335"/>
        <w:gridCol w:w="437"/>
        <w:gridCol w:w="981"/>
      </w:tblGrid>
      <w:tr w:rsidR="002558FF" w:rsidTr="001752D3">
        <w:trPr>
          <w:trHeight w:val="261"/>
        </w:trPr>
        <w:tc>
          <w:tcPr>
            <w:tcW w:w="2277" w:type="dxa"/>
            <w:gridSpan w:val="3"/>
            <w:tcBorders>
              <w:top w:val="single" w:sz="2" w:space="0" w:color="000000"/>
              <w:left w:val="single" w:sz="2" w:space="0" w:color="000000"/>
              <w:bottom w:val="single" w:sz="2" w:space="0" w:color="000000"/>
              <w:right w:val="nil"/>
            </w:tcBorders>
          </w:tcPr>
          <w:p w:rsidR="002558FF" w:rsidRDefault="002558FF" w:rsidP="006B2F0F">
            <w:pPr>
              <w:spacing w:after="160" w:line="259" w:lineRule="auto"/>
              <w:ind w:right="0" w:firstLine="0"/>
              <w:jc w:val="left"/>
            </w:pPr>
          </w:p>
        </w:tc>
        <w:tc>
          <w:tcPr>
            <w:tcW w:w="6172" w:type="dxa"/>
            <w:gridSpan w:val="14"/>
            <w:tcBorders>
              <w:top w:val="single" w:sz="2" w:space="0" w:color="000000"/>
              <w:left w:val="nil"/>
              <w:bottom w:val="single" w:sz="2" w:space="0" w:color="000000"/>
              <w:right w:val="single" w:sz="2" w:space="0" w:color="000000"/>
            </w:tcBorders>
          </w:tcPr>
          <w:p w:rsidR="002558FF" w:rsidRDefault="002558FF" w:rsidP="006B2F0F">
            <w:pPr>
              <w:spacing w:after="0" w:line="259" w:lineRule="auto"/>
              <w:ind w:left="264" w:right="0" w:firstLine="0"/>
              <w:jc w:val="left"/>
            </w:pPr>
            <w:r>
              <w:rPr>
                <w:sz w:val="20"/>
              </w:rPr>
              <w:t xml:space="preserve">Pilařská kulatina MODŘÍN </w:t>
            </w:r>
            <w:proofErr w:type="spellStart"/>
            <w:r>
              <w:rPr>
                <w:sz w:val="20"/>
              </w:rPr>
              <w:t>Retz</w:t>
            </w:r>
            <w:proofErr w:type="spellEnd"/>
          </w:p>
        </w:tc>
      </w:tr>
      <w:tr w:rsidR="002558FF" w:rsidTr="001752D3">
        <w:trPr>
          <w:trHeight w:val="266"/>
        </w:trPr>
        <w:tc>
          <w:tcPr>
            <w:tcW w:w="2277" w:type="dxa"/>
            <w:gridSpan w:val="3"/>
            <w:tcBorders>
              <w:top w:val="single" w:sz="2" w:space="0" w:color="000000"/>
              <w:left w:val="single" w:sz="2" w:space="0" w:color="000000"/>
              <w:bottom w:val="single" w:sz="2" w:space="0" w:color="000000"/>
              <w:right w:val="single" w:sz="2" w:space="0" w:color="000000"/>
            </w:tcBorders>
          </w:tcPr>
          <w:p w:rsidR="002558FF" w:rsidRDefault="002558FF" w:rsidP="002558FF">
            <w:pPr>
              <w:spacing w:after="0" w:line="259" w:lineRule="auto"/>
              <w:ind w:right="37" w:firstLine="0"/>
              <w:jc w:val="center"/>
            </w:pPr>
            <w:r>
              <w:rPr>
                <w:sz w:val="20"/>
              </w:rPr>
              <w:t>Modřín 4m</w:t>
            </w:r>
          </w:p>
        </w:tc>
        <w:tc>
          <w:tcPr>
            <w:tcW w:w="980" w:type="dxa"/>
            <w:gridSpan w:val="2"/>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left="17" w:right="0" w:firstLine="0"/>
              <w:jc w:val="center"/>
            </w:pPr>
            <w:r>
              <w:rPr>
                <w:sz w:val="34"/>
              </w:rPr>
              <w:t>lb</w:t>
            </w:r>
          </w:p>
        </w:tc>
        <w:tc>
          <w:tcPr>
            <w:tcW w:w="1122"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160" w:line="259" w:lineRule="auto"/>
              <w:ind w:right="0" w:firstLine="0"/>
              <w:jc w:val="left"/>
            </w:pPr>
            <w:r>
              <w:t>2a</w:t>
            </w:r>
          </w:p>
        </w:tc>
        <w:tc>
          <w:tcPr>
            <w:tcW w:w="775" w:type="dxa"/>
            <w:gridSpan w:val="2"/>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0" w:firstLine="0"/>
              <w:jc w:val="center"/>
            </w:pPr>
            <w:r>
              <w:rPr>
                <w:sz w:val="22"/>
              </w:rPr>
              <w:t>2b</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Default="002558FF" w:rsidP="006B2F0F">
            <w:pPr>
              <w:spacing w:after="160" w:line="259" w:lineRule="auto"/>
              <w:ind w:right="0" w:firstLine="0"/>
              <w:jc w:val="left"/>
            </w:pPr>
            <w:r>
              <w:t>3a</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14" w:firstLine="0"/>
              <w:jc w:val="center"/>
            </w:pPr>
            <w:r>
              <w:rPr>
                <w:sz w:val="22"/>
              </w:rPr>
              <w:t>3b</w:t>
            </w:r>
          </w:p>
        </w:tc>
        <w:tc>
          <w:tcPr>
            <w:tcW w:w="772" w:type="dxa"/>
            <w:gridSpan w:val="2"/>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left="72" w:right="0" w:firstLine="0"/>
              <w:jc w:val="left"/>
            </w:pPr>
            <w:r>
              <w:rPr>
                <w:sz w:val="20"/>
              </w:rPr>
              <w:t xml:space="preserve">4a-5b </w:t>
            </w:r>
          </w:p>
        </w:tc>
        <w:tc>
          <w:tcPr>
            <w:tcW w:w="981" w:type="dxa"/>
            <w:tcBorders>
              <w:top w:val="single" w:sz="2" w:space="0" w:color="000000"/>
              <w:left w:val="single" w:sz="2" w:space="0" w:color="000000"/>
              <w:bottom w:val="single" w:sz="2" w:space="0" w:color="000000"/>
              <w:right w:val="single" w:sz="2" w:space="0" w:color="000000"/>
            </w:tcBorders>
            <w:vAlign w:val="bottom"/>
          </w:tcPr>
          <w:p w:rsidR="002558FF" w:rsidRDefault="002558FF" w:rsidP="006B2F0F">
            <w:pPr>
              <w:spacing w:after="0" w:line="259" w:lineRule="auto"/>
              <w:ind w:left="29" w:right="0" w:firstLine="0"/>
              <w:jc w:val="left"/>
            </w:pPr>
            <w:proofErr w:type="spellStart"/>
            <w:proofErr w:type="gramStart"/>
            <w:r>
              <w:rPr>
                <w:sz w:val="22"/>
              </w:rPr>
              <w:t>tl</w:t>
            </w:r>
            <w:proofErr w:type="gramEnd"/>
            <w:r>
              <w:rPr>
                <w:sz w:val="22"/>
              </w:rPr>
              <w:t>.</w:t>
            </w:r>
            <w:proofErr w:type="gramStart"/>
            <w:r>
              <w:rPr>
                <w:sz w:val="22"/>
              </w:rPr>
              <w:t>stupeň</w:t>
            </w:r>
            <w:proofErr w:type="spellEnd"/>
            <w:proofErr w:type="gramEnd"/>
          </w:p>
        </w:tc>
      </w:tr>
      <w:tr w:rsidR="002558FF" w:rsidTr="001752D3">
        <w:trPr>
          <w:trHeight w:val="267"/>
        </w:trPr>
        <w:tc>
          <w:tcPr>
            <w:tcW w:w="2277"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89" w:firstLine="0"/>
              <w:jc w:val="center"/>
            </w:pPr>
            <w:r>
              <w:t>průměr bez kůry</w:t>
            </w:r>
          </w:p>
        </w:tc>
        <w:tc>
          <w:tcPr>
            <w:tcW w:w="980" w:type="dxa"/>
            <w:gridSpan w:val="2"/>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0" w:firstLine="0"/>
              <w:jc w:val="left"/>
            </w:pPr>
            <w:r>
              <w:t>čep 17-19stp</w:t>
            </w:r>
          </w:p>
        </w:tc>
        <w:tc>
          <w:tcPr>
            <w:tcW w:w="1122"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left="2" w:right="0" w:firstLine="0"/>
              <w:jc w:val="center"/>
            </w:pPr>
            <w:r>
              <w:rPr>
                <w:sz w:val="14"/>
              </w:rPr>
              <w:t>20-24STP</w:t>
            </w:r>
          </w:p>
        </w:tc>
        <w:tc>
          <w:tcPr>
            <w:tcW w:w="775" w:type="dxa"/>
            <w:gridSpan w:val="2"/>
            <w:tcBorders>
              <w:top w:val="single" w:sz="2" w:space="0" w:color="000000"/>
              <w:left w:val="single" w:sz="2" w:space="0" w:color="000000"/>
              <w:bottom w:val="single" w:sz="2" w:space="0" w:color="000000"/>
              <w:right w:val="single" w:sz="2" w:space="0" w:color="000000"/>
            </w:tcBorders>
            <w:vAlign w:val="bottom"/>
          </w:tcPr>
          <w:p w:rsidR="002558FF" w:rsidRDefault="002558FF" w:rsidP="006B2F0F">
            <w:pPr>
              <w:spacing w:after="0" w:line="259" w:lineRule="auto"/>
              <w:ind w:left="34" w:right="0" w:firstLine="0"/>
            </w:pPr>
            <w:r>
              <w:rPr>
                <w:sz w:val="14"/>
              </w:rPr>
              <w:t>25-29STP</w:t>
            </w:r>
          </w:p>
        </w:tc>
        <w:tc>
          <w:tcPr>
            <w:tcW w:w="771" w:type="dxa"/>
            <w:gridSpan w:val="2"/>
            <w:tcBorders>
              <w:top w:val="single" w:sz="2" w:space="0" w:color="000000"/>
              <w:left w:val="single" w:sz="2" w:space="0" w:color="000000"/>
              <w:bottom w:val="single" w:sz="2" w:space="0" w:color="000000"/>
              <w:right w:val="single" w:sz="2" w:space="0" w:color="000000"/>
            </w:tcBorders>
            <w:vAlign w:val="bottom"/>
          </w:tcPr>
          <w:p w:rsidR="002558FF" w:rsidRDefault="002558FF" w:rsidP="006B2F0F">
            <w:pPr>
              <w:spacing w:after="0" w:line="259" w:lineRule="auto"/>
              <w:ind w:left="31" w:right="0" w:firstLine="0"/>
            </w:pPr>
            <w:r>
              <w:rPr>
                <w:sz w:val="14"/>
              </w:rPr>
              <w:t>30-34STP</w:t>
            </w:r>
          </w:p>
        </w:tc>
        <w:tc>
          <w:tcPr>
            <w:tcW w:w="771" w:type="dxa"/>
            <w:gridSpan w:val="2"/>
            <w:tcBorders>
              <w:top w:val="single" w:sz="2" w:space="0" w:color="000000"/>
              <w:left w:val="single" w:sz="2" w:space="0" w:color="000000"/>
              <w:bottom w:val="single" w:sz="2" w:space="0" w:color="000000"/>
              <w:right w:val="single" w:sz="2" w:space="0" w:color="000000"/>
            </w:tcBorders>
            <w:vAlign w:val="bottom"/>
          </w:tcPr>
          <w:p w:rsidR="002558FF" w:rsidRDefault="002558FF" w:rsidP="006B2F0F">
            <w:pPr>
              <w:spacing w:after="0" w:line="259" w:lineRule="auto"/>
              <w:ind w:left="26" w:right="0" w:firstLine="0"/>
            </w:pPr>
            <w:r>
              <w:rPr>
                <w:sz w:val="14"/>
              </w:rPr>
              <w:t>35-39STP</w:t>
            </w:r>
          </w:p>
        </w:tc>
        <w:tc>
          <w:tcPr>
            <w:tcW w:w="772" w:type="dxa"/>
            <w:gridSpan w:val="2"/>
            <w:tcBorders>
              <w:top w:val="single" w:sz="2" w:space="0" w:color="000000"/>
              <w:left w:val="single" w:sz="2" w:space="0" w:color="000000"/>
              <w:bottom w:val="single" w:sz="2" w:space="0" w:color="000000"/>
              <w:right w:val="single" w:sz="2" w:space="0" w:color="000000"/>
            </w:tcBorders>
            <w:vAlign w:val="bottom"/>
          </w:tcPr>
          <w:p w:rsidR="002558FF" w:rsidRDefault="002558FF" w:rsidP="006B2F0F">
            <w:pPr>
              <w:spacing w:after="0" w:line="259" w:lineRule="auto"/>
              <w:ind w:left="29" w:right="0" w:firstLine="0"/>
            </w:pPr>
            <w:r>
              <w:rPr>
                <w:sz w:val="14"/>
              </w:rPr>
              <w:t xml:space="preserve">40-59STP </w:t>
            </w:r>
          </w:p>
        </w:tc>
        <w:tc>
          <w:tcPr>
            <w:tcW w:w="981" w:type="dxa"/>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24" w:firstLine="0"/>
              <w:jc w:val="center"/>
            </w:pPr>
            <w:r>
              <w:t>cm</w:t>
            </w:r>
          </w:p>
        </w:tc>
      </w:tr>
      <w:tr w:rsidR="002558FF" w:rsidTr="001752D3">
        <w:trPr>
          <w:trHeight w:val="263"/>
        </w:trPr>
        <w:tc>
          <w:tcPr>
            <w:tcW w:w="2277"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160" w:line="259" w:lineRule="auto"/>
              <w:ind w:right="0" w:firstLine="0"/>
              <w:jc w:val="left"/>
            </w:pPr>
            <w:r>
              <w:t>AB</w:t>
            </w:r>
          </w:p>
        </w:tc>
        <w:tc>
          <w:tcPr>
            <w:tcW w:w="980"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158" w:right="0" w:firstLine="0"/>
              <w:jc w:val="left"/>
              <w:rPr>
                <w:highlight w:val="black"/>
              </w:rPr>
            </w:pPr>
            <w:r w:rsidRPr="002558FF">
              <w:rPr>
                <w:rFonts w:ascii="Calibri" w:eastAsia="Calibri" w:hAnsi="Calibri" w:cs="Calibri"/>
                <w:sz w:val="24"/>
                <w:highlight w:val="black"/>
              </w:rPr>
              <w:t>1700</w:t>
            </w:r>
          </w:p>
        </w:tc>
        <w:tc>
          <w:tcPr>
            <w:tcW w:w="1122" w:type="dxa"/>
            <w:gridSpan w:val="3"/>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right="2" w:firstLine="0"/>
              <w:jc w:val="center"/>
              <w:rPr>
                <w:highlight w:val="black"/>
              </w:rPr>
            </w:pPr>
            <w:r w:rsidRPr="002558FF">
              <w:rPr>
                <w:rFonts w:ascii="Calibri" w:eastAsia="Calibri" w:hAnsi="Calibri" w:cs="Calibri"/>
                <w:sz w:val="22"/>
                <w:highlight w:val="black"/>
              </w:rPr>
              <w:t>2 600</w:t>
            </w:r>
          </w:p>
        </w:tc>
        <w:tc>
          <w:tcPr>
            <w:tcW w:w="775"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86" w:right="0" w:firstLine="0"/>
              <w:jc w:val="left"/>
              <w:rPr>
                <w:highlight w:val="black"/>
              </w:rPr>
            </w:pPr>
            <w:r w:rsidRPr="002558FF">
              <w:rPr>
                <w:rFonts w:ascii="Calibri" w:eastAsia="Calibri" w:hAnsi="Calibri" w:cs="Calibri"/>
                <w:sz w:val="22"/>
                <w:highlight w:val="black"/>
              </w:rPr>
              <w:t>2 800</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79" w:right="0" w:firstLine="0"/>
              <w:jc w:val="left"/>
              <w:rPr>
                <w:highlight w:val="black"/>
              </w:rPr>
            </w:pPr>
            <w:r w:rsidRPr="002558FF">
              <w:rPr>
                <w:rFonts w:ascii="Calibri" w:eastAsia="Calibri" w:hAnsi="Calibri" w:cs="Calibri"/>
                <w:sz w:val="22"/>
                <w:highlight w:val="black"/>
              </w:rPr>
              <w:t>2 850</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79" w:right="0" w:firstLine="0"/>
              <w:jc w:val="left"/>
              <w:rPr>
                <w:highlight w:val="black"/>
              </w:rPr>
            </w:pPr>
            <w:r w:rsidRPr="002558FF">
              <w:rPr>
                <w:rFonts w:ascii="Calibri" w:eastAsia="Calibri" w:hAnsi="Calibri" w:cs="Calibri"/>
                <w:sz w:val="22"/>
                <w:highlight w:val="black"/>
              </w:rPr>
              <w:t>2 850</w:t>
            </w:r>
          </w:p>
        </w:tc>
        <w:tc>
          <w:tcPr>
            <w:tcW w:w="772"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77" w:right="0" w:firstLine="0"/>
              <w:jc w:val="left"/>
              <w:rPr>
                <w:highlight w:val="black"/>
              </w:rPr>
            </w:pPr>
            <w:r w:rsidRPr="002558FF">
              <w:rPr>
                <w:rFonts w:ascii="Calibri" w:eastAsia="Calibri" w:hAnsi="Calibri" w:cs="Calibri"/>
                <w:sz w:val="22"/>
                <w:highlight w:val="black"/>
              </w:rPr>
              <w:t>2 600</w:t>
            </w:r>
          </w:p>
        </w:tc>
        <w:tc>
          <w:tcPr>
            <w:tcW w:w="981" w:type="dxa"/>
            <w:vMerge w:val="restart"/>
            <w:tcBorders>
              <w:top w:val="single" w:sz="2" w:space="0" w:color="000000"/>
              <w:left w:val="single" w:sz="2" w:space="0" w:color="000000"/>
              <w:bottom w:val="single" w:sz="2" w:space="0" w:color="000000"/>
              <w:right w:val="single" w:sz="2" w:space="0" w:color="000000"/>
            </w:tcBorders>
            <w:vAlign w:val="center"/>
          </w:tcPr>
          <w:p w:rsidR="002558FF" w:rsidRDefault="002558FF" w:rsidP="006B2F0F">
            <w:pPr>
              <w:spacing w:after="0" w:line="259" w:lineRule="auto"/>
              <w:ind w:left="101" w:right="0" w:firstLine="0"/>
              <w:jc w:val="left"/>
            </w:pPr>
            <w:r>
              <w:t>Kč/m3</w:t>
            </w:r>
          </w:p>
        </w:tc>
      </w:tr>
      <w:tr w:rsidR="002558FF" w:rsidTr="001752D3">
        <w:trPr>
          <w:trHeight w:val="272"/>
        </w:trPr>
        <w:tc>
          <w:tcPr>
            <w:tcW w:w="2277"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32" w:firstLine="0"/>
              <w:jc w:val="center"/>
            </w:pPr>
            <w:r>
              <w:rPr>
                <w:sz w:val="30"/>
              </w:rPr>
              <w:t>c</w:t>
            </w:r>
          </w:p>
        </w:tc>
        <w:tc>
          <w:tcPr>
            <w:tcW w:w="980"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right="7" w:firstLine="0"/>
              <w:jc w:val="center"/>
              <w:rPr>
                <w:highlight w:val="black"/>
              </w:rPr>
            </w:pPr>
            <w:r w:rsidRPr="002558FF">
              <w:rPr>
                <w:rFonts w:ascii="Calibri" w:eastAsia="Calibri" w:hAnsi="Calibri" w:cs="Calibri"/>
                <w:sz w:val="22"/>
                <w:highlight w:val="black"/>
              </w:rPr>
              <w:t>1 700</w:t>
            </w:r>
          </w:p>
        </w:tc>
        <w:tc>
          <w:tcPr>
            <w:tcW w:w="1122" w:type="dxa"/>
            <w:gridSpan w:val="3"/>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right="7" w:firstLine="0"/>
              <w:jc w:val="center"/>
              <w:rPr>
                <w:highlight w:val="black"/>
              </w:rPr>
            </w:pPr>
            <w:r w:rsidRPr="002558FF">
              <w:rPr>
                <w:rFonts w:ascii="Calibri" w:eastAsia="Calibri" w:hAnsi="Calibri" w:cs="Calibri"/>
                <w:sz w:val="22"/>
                <w:highlight w:val="black"/>
              </w:rPr>
              <w:t>2 500</w:t>
            </w:r>
          </w:p>
        </w:tc>
        <w:tc>
          <w:tcPr>
            <w:tcW w:w="775"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77" w:right="0" w:firstLine="0"/>
              <w:jc w:val="left"/>
              <w:rPr>
                <w:highlight w:val="black"/>
              </w:rPr>
            </w:pPr>
            <w:r w:rsidRPr="002558FF">
              <w:rPr>
                <w:rFonts w:ascii="Calibri" w:eastAsia="Calibri" w:hAnsi="Calibri" w:cs="Calibri"/>
                <w:sz w:val="22"/>
                <w:highlight w:val="black"/>
              </w:rPr>
              <w:t>2 600</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79" w:right="0" w:firstLine="0"/>
              <w:jc w:val="left"/>
              <w:rPr>
                <w:highlight w:val="black"/>
              </w:rPr>
            </w:pPr>
            <w:r w:rsidRPr="002558FF">
              <w:rPr>
                <w:rFonts w:ascii="Calibri" w:eastAsia="Calibri" w:hAnsi="Calibri" w:cs="Calibri"/>
                <w:sz w:val="20"/>
                <w:highlight w:val="black"/>
              </w:rPr>
              <w:t>2 650</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84" w:right="0" w:firstLine="0"/>
              <w:jc w:val="left"/>
              <w:rPr>
                <w:highlight w:val="black"/>
              </w:rPr>
            </w:pPr>
            <w:r w:rsidRPr="002558FF">
              <w:rPr>
                <w:rFonts w:ascii="Calibri" w:eastAsia="Calibri" w:hAnsi="Calibri" w:cs="Calibri"/>
                <w:sz w:val="22"/>
                <w:highlight w:val="black"/>
              </w:rPr>
              <w:t>2 650</w:t>
            </w:r>
          </w:p>
        </w:tc>
        <w:tc>
          <w:tcPr>
            <w:tcW w:w="772"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72" w:right="0" w:firstLine="0"/>
              <w:jc w:val="left"/>
              <w:rPr>
                <w:highlight w:val="black"/>
              </w:rPr>
            </w:pPr>
            <w:r w:rsidRPr="002558FF">
              <w:rPr>
                <w:rFonts w:ascii="Calibri" w:eastAsia="Calibri" w:hAnsi="Calibri" w:cs="Calibri"/>
                <w:sz w:val="22"/>
                <w:highlight w:val="black"/>
              </w:rPr>
              <w:t>2 500</w:t>
            </w:r>
          </w:p>
        </w:tc>
        <w:tc>
          <w:tcPr>
            <w:tcW w:w="981" w:type="dxa"/>
            <w:vMerge/>
            <w:tcBorders>
              <w:top w:val="nil"/>
              <w:left w:val="single" w:sz="2" w:space="0" w:color="000000"/>
              <w:bottom w:val="nil"/>
              <w:right w:val="single" w:sz="2" w:space="0" w:color="000000"/>
            </w:tcBorders>
            <w:vAlign w:val="center"/>
          </w:tcPr>
          <w:p w:rsidR="002558FF" w:rsidRDefault="002558FF" w:rsidP="006B2F0F">
            <w:pPr>
              <w:spacing w:after="160" w:line="259" w:lineRule="auto"/>
              <w:ind w:right="0" w:firstLine="0"/>
              <w:jc w:val="left"/>
            </w:pPr>
          </w:p>
        </w:tc>
      </w:tr>
      <w:tr w:rsidR="002558FF" w:rsidTr="001752D3">
        <w:trPr>
          <w:trHeight w:val="266"/>
        </w:trPr>
        <w:tc>
          <w:tcPr>
            <w:tcW w:w="2277"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right="17" w:firstLine="0"/>
              <w:jc w:val="center"/>
            </w:pPr>
            <w:proofErr w:type="spellStart"/>
            <w:r>
              <w:rPr>
                <w:sz w:val="22"/>
              </w:rPr>
              <w:t>KH,Cx,Br</w:t>
            </w:r>
            <w:proofErr w:type="spellEnd"/>
          </w:p>
        </w:tc>
        <w:tc>
          <w:tcPr>
            <w:tcW w:w="980"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132" w:right="0" w:firstLine="0"/>
              <w:jc w:val="center"/>
              <w:rPr>
                <w:highlight w:val="black"/>
              </w:rPr>
            </w:pPr>
            <w:r w:rsidRPr="002558FF">
              <w:rPr>
                <w:rFonts w:ascii="Calibri" w:eastAsia="Calibri" w:hAnsi="Calibri" w:cs="Calibri"/>
                <w:sz w:val="22"/>
                <w:highlight w:val="black"/>
              </w:rPr>
              <w:t>000</w:t>
            </w:r>
          </w:p>
        </w:tc>
        <w:tc>
          <w:tcPr>
            <w:tcW w:w="1122" w:type="dxa"/>
            <w:gridSpan w:val="3"/>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right="2" w:firstLine="0"/>
              <w:jc w:val="center"/>
              <w:rPr>
                <w:highlight w:val="black"/>
              </w:rPr>
            </w:pPr>
            <w:r w:rsidRPr="002558FF">
              <w:rPr>
                <w:rFonts w:ascii="Calibri" w:eastAsia="Calibri" w:hAnsi="Calibri" w:cs="Calibri"/>
                <w:sz w:val="22"/>
                <w:highlight w:val="black"/>
              </w:rPr>
              <w:t>1 800</w:t>
            </w:r>
          </w:p>
        </w:tc>
        <w:tc>
          <w:tcPr>
            <w:tcW w:w="775"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86" w:right="0" w:firstLine="0"/>
              <w:jc w:val="left"/>
              <w:rPr>
                <w:highlight w:val="black"/>
              </w:rPr>
            </w:pPr>
            <w:r w:rsidRPr="002558FF">
              <w:rPr>
                <w:rFonts w:ascii="Calibri" w:eastAsia="Calibri" w:hAnsi="Calibri" w:cs="Calibri"/>
                <w:sz w:val="22"/>
                <w:highlight w:val="black"/>
              </w:rPr>
              <w:t>1 800</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89" w:right="0" w:firstLine="0"/>
              <w:jc w:val="left"/>
              <w:rPr>
                <w:highlight w:val="black"/>
              </w:rPr>
            </w:pPr>
            <w:r w:rsidRPr="002558FF">
              <w:rPr>
                <w:rFonts w:ascii="Calibri" w:eastAsia="Calibri" w:hAnsi="Calibri" w:cs="Calibri"/>
                <w:sz w:val="22"/>
                <w:highlight w:val="black"/>
              </w:rPr>
              <w:t>1 800</w:t>
            </w:r>
          </w:p>
        </w:tc>
        <w:tc>
          <w:tcPr>
            <w:tcW w:w="771"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84" w:right="0" w:firstLine="0"/>
              <w:jc w:val="left"/>
              <w:rPr>
                <w:highlight w:val="black"/>
              </w:rPr>
            </w:pPr>
            <w:r w:rsidRPr="002558FF">
              <w:rPr>
                <w:rFonts w:ascii="Calibri" w:eastAsia="Calibri" w:hAnsi="Calibri" w:cs="Calibri"/>
                <w:sz w:val="22"/>
                <w:highlight w:val="black"/>
              </w:rPr>
              <w:t>1 800</w:t>
            </w:r>
          </w:p>
        </w:tc>
        <w:tc>
          <w:tcPr>
            <w:tcW w:w="772" w:type="dxa"/>
            <w:gridSpan w:val="2"/>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86" w:right="0" w:firstLine="0"/>
              <w:jc w:val="left"/>
              <w:rPr>
                <w:highlight w:val="black"/>
              </w:rPr>
            </w:pPr>
            <w:r w:rsidRPr="002558FF">
              <w:rPr>
                <w:rFonts w:ascii="Calibri" w:eastAsia="Calibri" w:hAnsi="Calibri" w:cs="Calibri"/>
                <w:sz w:val="22"/>
                <w:highlight w:val="black"/>
              </w:rPr>
              <w:t>1 800</w:t>
            </w:r>
          </w:p>
        </w:tc>
        <w:tc>
          <w:tcPr>
            <w:tcW w:w="981" w:type="dxa"/>
            <w:vMerge/>
            <w:tcBorders>
              <w:top w:val="nil"/>
              <w:left w:val="single" w:sz="2" w:space="0" w:color="000000"/>
              <w:bottom w:val="nil"/>
              <w:right w:val="single" w:sz="2" w:space="0" w:color="000000"/>
            </w:tcBorders>
          </w:tcPr>
          <w:p w:rsidR="002558FF" w:rsidRDefault="002558FF" w:rsidP="006B2F0F">
            <w:pPr>
              <w:spacing w:after="160" w:line="259" w:lineRule="auto"/>
              <w:ind w:right="0" w:firstLine="0"/>
              <w:jc w:val="left"/>
            </w:pPr>
          </w:p>
        </w:tc>
      </w:tr>
      <w:tr w:rsidR="002558FF" w:rsidTr="001752D3">
        <w:trPr>
          <w:trHeight w:val="278"/>
        </w:trPr>
        <w:tc>
          <w:tcPr>
            <w:tcW w:w="2277" w:type="dxa"/>
            <w:gridSpan w:val="3"/>
            <w:tcBorders>
              <w:top w:val="single" w:sz="2" w:space="0" w:color="000000"/>
              <w:left w:val="single" w:sz="2" w:space="0" w:color="000000"/>
              <w:bottom w:val="single" w:sz="2" w:space="0" w:color="000000"/>
              <w:right w:val="single" w:sz="2" w:space="0" w:color="000000"/>
            </w:tcBorders>
          </w:tcPr>
          <w:p w:rsidR="002558FF" w:rsidRDefault="002558FF" w:rsidP="006B2F0F">
            <w:pPr>
              <w:spacing w:after="0" w:line="259" w:lineRule="auto"/>
              <w:ind w:left="91" w:right="0" w:firstLine="0"/>
              <w:jc w:val="left"/>
            </w:pPr>
            <w:r>
              <w:rPr>
                <w:sz w:val="20"/>
              </w:rPr>
              <w:t>Vlákninové dříví kov</w:t>
            </w:r>
          </w:p>
        </w:tc>
        <w:tc>
          <w:tcPr>
            <w:tcW w:w="5191" w:type="dxa"/>
            <w:gridSpan w:val="13"/>
            <w:tcBorders>
              <w:top w:val="single" w:sz="2" w:space="0" w:color="000000"/>
              <w:left w:val="single" w:sz="2" w:space="0" w:color="000000"/>
              <w:bottom w:val="single" w:sz="2" w:space="0" w:color="000000"/>
              <w:right w:val="single" w:sz="2" w:space="0" w:color="000000"/>
            </w:tcBorders>
          </w:tcPr>
          <w:p w:rsidR="002558FF" w:rsidRPr="002558FF" w:rsidRDefault="002558FF" w:rsidP="006B2F0F">
            <w:pPr>
              <w:spacing w:after="0" w:line="259" w:lineRule="auto"/>
              <w:ind w:left="17" w:right="0" w:firstLine="0"/>
              <w:jc w:val="center"/>
              <w:rPr>
                <w:highlight w:val="black"/>
              </w:rPr>
            </w:pPr>
            <w:r w:rsidRPr="002558FF">
              <w:rPr>
                <w:rFonts w:ascii="Calibri" w:eastAsia="Calibri" w:hAnsi="Calibri" w:cs="Calibri"/>
                <w:sz w:val="22"/>
                <w:highlight w:val="black"/>
              </w:rPr>
              <w:t>100</w:t>
            </w:r>
          </w:p>
        </w:tc>
        <w:tc>
          <w:tcPr>
            <w:tcW w:w="981" w:type="dxa"/>
            <w:vMerge/>
            <w:tcBorders>
              <w:top w:val="nil"/>
              <w:left w:val="single" w:sz="2" w:space="0" w:color="000000"/>
              <w:bottom w:val="single" w:sz="2" w:space="0" w:color="000000"/>
              <w:right w:val="single" w:sz="2" w:space="0" w:color="000000"/>
            </w:tcBorders>
          </w:tcPr>
          <w:p w:rsidR="002558FF" w:rsidRDefault="002558FF" w:rsidP="006B2F0F">
            <w:pPr>
              <w:spacing w:after="160" w:line="259" w:lineRule="auto"/>
              <w:ind w:right="0" w:firstLine="0"/>
              <w:jc w:val="left"/>
            </w:pPr>
          </w:p>
        </w:tc>
      </w:tr>
      <w:tr w:rsidR="002D6B63" w:rsidTr="001752D3">
        <w:tblPrEx>
          <w:tblCellMar>
            <w:top w:w="67" w:type="dxa"/>
            <w:left w:w="48" w:type="dxa"/>
          </w:tblCellMar>
        </w:tblPrEx>
        <w:trPr>
          <w:gridBefore w:val="1"/>
          <w:wBefore w:w="48" w:type="dxa"/>
          <w:trHeight w:val="257"/>
        </w:trPr>
        <w:tc>
          <w:tcPr>
            <w:tcW w:w="2695" w:type="dxa"/>
            <w:gridSpan w:val="3"/>
            <w:tcBorders>
              <w:top w:val="single" w:sz="2" w:space="0" w:color="000000"/>
              <w:left w:val="single" w:sz="2" w:space="0" w:color="000000"/>
              <w:bottom w:val="single" w:sz="2" w:space="0" w:color="000000"/>
              <w:right w:val="nil"/>
            </w:tcBorders>
          </w:tcPr>
          <w:p w:rsidR="002D6B63" w:rsidRDefault="002D6B63">
            <w:pPr>
              <w:spacing w:after="160" w:line="259" w:lineRule="auto"/>
              <w:ind w:right="0" w:firstLine="0"/>
              <w:jc w:val="left"/>
            </w:pPr>
          </w:p>
        </w:tc>
        <w:tc>
          <w:tcPr>
            <w:tcW w:w="2833" w:type="dxa"/>
            <w:gridSpan w:val="7"/>
            <w:tcBorders>
              <w:top w:val="single" w:sz="2" w:space="0" w:color="000000"/>
              <w:left w:val="nil"/>
              <w:bottom w:val="single" w:sz="2" w:space="0" w:color="000000"/>
              <w:right w:val="nil"/>
            </w:tcBorders>
          </w:tcPr>
          <w:p w:rsidR="002D6B63" w:rsidRDefault="002558FF" w:rsidP="002558FF">
            <w:pPr>
              <w:spacing w:after="0" w:line="259" w:lineRule="auto"/>
              <w:ind w:right="67" w:firstLine="0"/>
              <w:jc w:val="center"/>
            </w:pPr>
            <w:r>
              <w:t>Pilařská</w:t>
            </w:r>
            <w:r w:rsidR="007352C6">
              <w:t xml:space="preserve"> kula</w:t>
            </w:r>
            <w:r>
              <w:t>ti</w:t>
            </w:r>
            <w:r w:rsidR="007352C6">
              <w:t xml:space="preserve">na BOROVICE </w:t>
            </w:r>
            <w:proofErr w:type="spellStart"/>
            <w:r w:rsidR="007352C6">
              <w:t>Retz</w:t>
            </w:r>
            <w:proofErr w:type="spellEnd"/>
          </w:p>
        </w:tc>
        <w:tc>
          <w:tcPr>
            <w:tcW w:w="747" w:type="dxa"/>
            <w:gridSpan w:val="2"/>
            <w:tcBorders>
              <w:top w:val="single" w:sz="2" w:space="0" w:color="000000"/>
              <w:left w:val="nil"/>
              <w:bottom w:val="single" w:sz="2" w:space="0" w:color="000000"/>
              <w:right w:val="nil"/>
            </w:tcBorders>
          </w:tcPr>
          <w:p w:rsidR="002D6B63" w:rsidRDefault="002D6B63">
            <w:pPr>
              <w:spacing w:after="160" w:line="259" w:lineRule="auto"/>
              <w:ind w:right="0" w:firstLine="0"/>
              <w:jc w:val="left"/>
            </w:pPr>
          </w:p>
        </w:tc>
        <w:tc>
          <w:tcPr>
            <w:tcW w:w="2126" w:type="dxa"/>
            <w:gridSpan w:val="4"/>
            <w:tcBorders>
              <w:top w:val="single" w:sz="2" w:space="0" w:color="000000"/>
              <w:left w:val="nil"/>
              <w:bottom w:val="single" w:sz="2" w:space="0" w:color="000000"/>
              <w:right w:val="single" w:sz="2" w:space="0" w:color="000000"/>
            </w:tcBorders>
          </w:tcPr>
          <w:p w:rsidR="002D6B63" w:rsidRDefault="002D6B63">
            <w:pPr>
              <w:spacing w:after="160" w:line="259" w:lineRule="auto"/>
              <w:ind w:right="0" w:firstLine="0"/>
              <w:jc w:val="left"/>
            </w:pPr>
          </w:p>
        </w:tc>
      </w:tr>
      <w:tr w:rsidR="002D6B63" w:rsidTr="001752D3">
        <w:tblPrEx>
          <w:tblCellMar>
            <w:top w:w="67" w:type="dxa"/>
            <w:left w:w="48" w:type="dxa"/>
          </w:tblCellMar>
        </w:tblPrEx>
        <w:trPr>
          <w:gridBefore w:val="1"/>
          <w:wBefore w:w="48" w:type="dxa"/>
          <w:trHeight w:val="264"/>
        </w:trPr>
        <w:tc>
          <w:tcPr>
            <w:tcW w:w="1892"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41" w:firstLine="0"/>
              <w:jc w:val="center"/>
            </w:pPr>
            <w:r>
              <w:rPr>
                <w:sz w:val="20"/>
              </w:rPr>
              <w:t>BOROVICE 4m</w:t>
            </w:r>
          </w:p>
        </w:tc>
        <w:tc>
          <w:tcPr>
            <w:tcW w:w="803"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21" w:firstLine="0"/>
              <w:jc w:val="center"/>
            </w:pPr>
            <w:r>
              <w:rPr>
                <w:rFonts w:ascii="Calibri" w:eastAsia="Calibri" w:hAnsi="Calibri" w:cs="Calibri"/>
                <w:sz w:val="18"/>
              </w:rPr>
              <w:t>la</w:t>
            </w:r>
          </w:p>
        </w:tc>
        <w:tc>
          <w:tcPr>
            <w:tcW w:w="925"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2" w:firstLine="0"/>
              <w:jc w:val="center"/>
            </w:pPr>
            <w:r>
              <w:rPr>
                <w:sz w:val="32"/>
              </w:rPr>
              <w:t>lb</w:t>
            </w:r>
          </w:p>
        </w:tc>
        <w:tc>
          <w:tcPr>
            <w:tcW w:w="641" w:type="dxa"/>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2a</w:t>
            </w:r>
          </w:p>
        </w:tc>
        <w:tc>
          <w:tcPr>
            <w:tcW w:w="635"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right="27" w:firstLine="0"/>
              <w:jc w:val="center"/>
            </w:pPr>
            <w:r>
              <w:rPr>
                <w:sz w:val="22"/>
              </w:rPr>
              <w:t xml:space="preserve">2b </w:t>
            </w:r>
          </w:p>
        </w:tc>
        <w:tc>
          <w:tcPr>
            <w:tcW w:w="632"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36" w:right="0" w:firstLine="0"/>
              <w:jc w:val="left"/>
            </w:pPr>
            <w:r>
              <w:rPr>
                <w:sz w:val="18"/>
              </w:rPr>
              <w:t>3a-+3b</w:t>
            </w:r>
          </w:p>
        </w:tc>
        <w:tc>
          <w:tcPr>
            <w:tcW w:w="747"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43" w:right="0" w:firstLine="0"/>
              <w:jc w:val="left"/>
            </w:pPr>
            <w:r>
              <w:rPr>
                <w:sz w:val="20"/>
              </w:rPr>
              <w:t>4č+4 b</w:t>
            </w:r>
          </w:p>
        </w:tc>
        <w:tc>
          <w:tcPr>
            <w:tcW w:w="708" w:type="dxa"/>
            <w:gridSpan w:val="2"/>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52" w:right="0" w:firstLine="0"/>
              <w:jc w:val="left"/>
            </w:pPr>
            <w:r>
              <w:rPr>
                <w:sz w:val="20"/>
              </w:rPr>
              <w:t xml:space="preserve">5č+5b </w:t>
            </w:r>
          </w:p>
        </w:tc>
        <w:tc>
          <w:tcPr>
            <w:tcW w:w="1418" w:type="dxa"/>
            <w:gridSpan w:val="2"/>
            <w:tcBorders>
              <w:top w:val="single" w:sz="2" w:space="0" w:color="000000"/>
              <w:left w:val="single" w:sz="2" w:space="0" w:color="000000"/>
              <w:bottom w:val="single" w:sz="2" w:space="0" w:color="000000"/>
              <w:right w:val="single" w:sz="2" w:space="0" w:color="000000"/>
            </w:tcBorders>
            <w:vAlign w:val="bottom"/>
          </w:tcPr>
          <w:p w:rsidR="002D6B63" w:rsidRDefault="002558FF">
            <w:pPr>
              <w:spacing w:after="0" w:line="259" w:lineRule="auto"/>
              <w:ind w:right="0" w:firstLine="0"/>
              <w:jc w:val="left"/>
            </w:pPr>
            <w:proofErr w:type="spellStart"/>
            <w:proofErr w:type="gramStart"/>
            <w:r>
              <w:rPr>
                <w:sz w:val="18"/>
              </w:rPr>
              <w:t>tl</w:t>
            </w:r>
            <w:proofErr w:type="gramEnd"/>
            <w:r>
              <w:rPr>
                <w:sz w:val="18"/>
              </w:rPr>
              <w:t>.</w:t>
            </w:r>
            <w:proofErr w:type="gramStart"/>
            <w:r>
              <w:rPr>
                <w:sz w:val="18"/>
              </w:rPr>
              <w:t>stupeň</w:t>
            </w:r>
            <w:proofErr w:type="spellEnd"/>
            <w:proofErr w:type="gramEnd"/>
          </w:p>
        </w:tc>
      </w:tr>
      <w:tr w:rsidR="002D6B63" w:rsidTr="001752D3">
        <w:tblPrEx>
          <w:tblCellMar>
            <w:top w:w="67" w:type="dxa"/>
            <w:left w:w="48" w:type="dxa"/>
          </w:tblCellMar>
        </w:tblPrEx>
        <w:trPr>
          <w:gridBefore w:val="1"/>
          <w:wBefore w:w="48" w:type="dxa"/>
          <w:trHeight w:val="269"/>
        </w:trPr>
        <w:tc>
          <w:tcPr>
            <w:tcW w:w="1892" w:type="dxa"/>
            <w:tcBorders>
              <w:top w:val="single" w:sz="2" w:space="0" w:color="000000"/>
              <w:left w:val="single" w:sz="2" w:space="0" w:color="000000"/>
              <w:bottom w:val="single" w:sz="2" w:space="0" w:color="000000"/>
              <w:right w:val="single" w:sz="2" w:space="0" w:color="000000"/>
            </w:tcBorders>
          </w:tcPr>
          <w:p w:rsidR="002D6B63" w:rsidRDefault="002558FF">
            <w:pPr>
              <w:spacing w:after="0" w:line="259" w:lineRule="auto"/>
              <w:ind w:right="94" w:firstLine="0"/>
              <w:jc w:val="center"/>
            </w:pPr>
            <w:r>
              <w:t>p</w:t>
            </w:r>
            <w:r w:rsidR="007352C6">
              <w:t>růměr bez ků</w:t>
            </w:r>
            <w:r>
              <w:t>ry</w:t>
            </w:r>
          </w:p>
        </w:tc>
        <w:tc>
          <w:tcPr>
            <w:tcW w:w="803" w:type="dxa"/>
            <w:gridSpan w:val="2"/>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SM do 17cm</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2D6B63" w:rsidRDefault="002558FF">
            <w:pPr>
              <w:spacing w:after="0" w:line="259" w:lineRule="auto"/>
              <w:ind w:left="44" w:right="0" w:firstLine="0"/>
              <w:jc w:val="left"/>
            </w:pPr>
            <w:r>
              <w:rPr>
                <w:sz w:val="14"/>
              </w:rPr>
              <w:t>čep</w:t>
            </w:r>
            <w:r w:rsidR="007352C6">
              <w:rPr>
                <w:sz w:val="14"/>
              </w:rPr>
              <w:t xml:space="preserve"> 17-19STP </w:t>
            </w:r>
          </w:p>
        </w:tc>
        <w:tc>
          <w:tcPr>
            <w:tcW w:w="641" w:type="dxa"/>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22" w:right="0" w:firstLine="0"/>
              <w:jc w:val="left"/>
            </w:pPr>
            <w:r>
              <w:rPr>
                <w:sz w:val="14"/>
              </w:rPr>
              <w:t xml:space="preserve">20-24STP </w:t>
            </w:r>
          </w:p>
        </w:tc>
        <w:tc>
          <w:tcPr>
            <w:tcW w:w="635" w:type="dxa"/>
            <w:gridSpan w:val="2"/>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19" w:right="0" w:firstLine="0"/>
              <w:jc w:val="left"/>
            </w:pPr>
            <w:r>
              <w:rPr>
                <w:sz w:val="14"/>
              </w:rPr>
              <w:t xml:space="preserve">25-29STP </w:t>
            </w:r>
          </w:p>
        </w:tc>
        <w:tc>
          <w:tcPr>
            <w:tcW w:w="632" w:type="dxa"/>
            <w:gridSpan w:val="2"/>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7" w:right="0" w:firstLine="0"/>
            </w:pPr>
            <w:r>
              <w:rPr>
                <w:sz w:val="14"/>
              </w:rPr>
              <w:t>30-39STP</w:t>
            </w:r>
          </w:p>
        </w:tc>
        <w:tc>
          <w:tcPr>
            <w:tcW w:w="747" w:type="dxa"/>
            <w:gridSpan w:val="2"/>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14" w:right="0" w:firstLine="0"/>
            </w:pPr>
            <w:r>
              <w:rPr>
                <w:sz w:val="14"/>
              </w:rPr>
              <w:t>40-49STP</w:t>
            </w:r>
          </w:p>
        </w:tc>
        <w:tc>
          <w:tcPr>
            <w:tcW w:w="708" w:type="dxa"/>
            <w:gridSpan w:val="2"/>
            <w:tcBorders>
              <w:top w:val="single" w:sz="2" w:space="0" w:color="000000"/>
              <w:left w:val="single" w:sz="2" w:space="0" w:color="000000"/>
              <w:bottom w:val="single" w:sz="2" w:space="0" w:color="000000"/>
              <w:right w:val="single" w:sz="2" w:space="0" w:color="000000"/>
            </w:tcBorders>
            <w:vAlign w:val="bottom"/>
          </w:tcPr>
          <w:p w:rsidR="002D6B63" w:rsidRDefault="007352C6">
            <w:pPr>
              <w:spacing w:after="0" w:line="259" w:lineRule="auto"/>
              <w:ind w:left="19" w:right="0" w:firstLine="0"/>
            </w:pPr>
            <w:r>
              <w:rPr>
                <w:sz w:val="14"/>
              </w:rPr>
              <w:t>50-595TP</w:t>
            </w:r>
          </w:p>
        </w:tc>
        <w:tc>
          <w:tcPr>
            <w:tcW w:w="1418" w:type="dxa"/>
            <w:gridSpan w:val="2"/>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cm</w:t>
            </w:r>
          </w:p>
        </w:tc>
      </w:tr>
      <w:tr w:rsidR="002D6B63" w:rsidTr="001752D3">
        <w:tblPrEx>
          <w:tblCellMar>
            <w:top w:w="67" w:type="dxa"/>
            <w:left w:w="48" w:type="dxa"/>
          </w:tblCellMar>
        </w:tblPrEx>
        <w:trPr>
          <w:gridBefore w:val="1"/>
          <w:wBefore w:w="48" w:type="dxa"/>
          <w:trHeight w:val="266"/>
        </w:trPr>
        <w:tc>
          <w:tcPr>
            <w:tcW w:w="1892" w:type="dxa"/>
            <w:tcBorders>
              <w:top w:val="single" w:sz="2" w:space="0" w:color="000000"/>
              <w:left w:val="single" w:sz="2" w:space="0" w:color="000000"/>
              <w:bottom w:val="single" w:sz="2" w:space="0" w:color="000000"/>
              <w:right w:val="single" w:sz="2" w:space="0" w:color="000000"/>
            </w:tcBorders>
          </w:tcPr>
          <w:p w:rsidR="002D6B63" w:rsidRDefault="007352C6" w:rsidP="002558FF">
            <w:pPr>
              <w:spacing w:after="0" w:line="259" w:lineRule="auto"/>
              <w:ind w:right="51" w:firstLine="0"/>
              <w:jc w:val="center"/>
            </w:pPr>
            <w:r>
              <w:rPr>
                <w:sz w:val="22"/>
              </w:rPr>
              <w:t>AB</w:t>
            </w:r>
            <w:r w:rsidR="002558FF">
              <w:rPr>
                <w:sz w:val="22"/>
              </w:rPr>
              <w:t>/</w:t>
            </w:r>
            <w:r>
              <w:rPr>
                <w:sz w:val="22"/>
              </w:rPr>
              <w:t>C</w:t>
            </w:r>
          </w:p>
        </w:tc>
        <w:tc>
          <w:tcPr>
            <w:tcW w:w="803"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26" w:firstLine="0"/>
              <w:jc w:val="center"/>
              <w:rPr>
                <w:highlight w:val="black"/>
              </w:rPr>
            </w:pPr>
            <w:r w:rsidRPr="002558FF">
              <w:rPr>
                <w:rFonts w:ascii="Calibri" w:eastAsia="Calibri" w:hAnsi="Calibri" w:cs="Calibri"/>
                <w:sz w:val="22"/>
                <w:highlight w:val="black"/>
              </w:rPr>
              <w:t>100</w:t>
            </w:r>
          </w:p>
        </w:tc>
        <w:tc>
          <w:tcPr>
            <w:tcW w:w="925"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7" w:firstLine="0"/>
              <w:jc w:val="center"/>
              <w:rPr>
                <w:highlight w:val="black"/>
              </w:rPr>
            </w:pPr>
            <w:r w:rsidRPr="002558FF">
              <w:rPr>
                <w:rFonts w:ascii="Calibri" w:eastAsia="Calibri" w:hAnsi="Calibri" w:cs="Calibri"/>
                <w:sz w:val="22"/>
                <w:highlight w:val="black"/>
              </w:rPr>
              <w:t>1200</w:t>
            </w:r>
          </w:p>
        </w:tc>
        <w:tc>
          <w:tcPr>
            <w:tcW w:w="1908" w:type="dxa"/>
            <w:gridSpan w:val="5"/>
            <w:tcBorders>
              <w:top w:val="single" w:sz="2" w:space="0" w:color="000000"/>
              <w:left w:val="single" w:sz="2" w:space="0" w:color="000000"/>
              <w:bottom w:val="single" w:sz="2" w:space="0" w:color="000000"/>
              <w:right w:val="nil"/>
            </w:tcBorders>
          </w:tcPr>
          <w:p w:rsidR="002D6B63" w:rsidRPr="002558FF" w:rsidRDefault="007352C6">
            <w:pPr>
              <w:spacing w:after="0" w:line="259" w:lineRule="auto"/>
              <w:ind w:left="631" w:right="0" w:firstLine="0"/>
              <w:jc w:val="center"/>
              <w:rPr>
                <w:highlight w:val="black"/>
              </w:rPr>
            </w:pPr>
            <w:r w:rsidRPr="002558FF">
              <w:rPr>
                <w:rFonts w:ascii="Calibri" w:eastAsia="Calibri" w:hAnsi="Calibri" w:cs="Calibri"/>
                <w:sz w:val="22"/>
                <w:highlight w:val="black"/>
              </w:rPr>
              <w:t>1600</w:t>
            </w:r>
          </w:p>
        </w:tc>
        <w:tc>
          <w:tcPr>
            <w:tcW w:w="747" w:type="dxa"/>
            <w:gridSpan w:val="2"/>
            <w:tcBorders>
              <w:top w:val="single" w:sz="2" w:space="0" w:color="000000"/>
              <w:left w:val="nil"/>
              <w:bottom w:val="single" w:sz="2" w:space="0" w:color="000000"/>
              <w:right w:val="single" w:sz="2" w:space="0" w:color="000000"/>
            </w:tcBorders>
          </w:tcPr>
          <w:p w:rsidR="002D6B63" w:rsidRPr="002558FF" w:rsidRDefault="002D6B63">
            <w:pPr>
              <w:spacing w:after="160" w:line="259" w:lineRule="auto"/>
              <w:ind w:right="0" w:firstLine="0"/>
              <w:jc w:val="left"/>
              <w:rPr>
                <w:highlight w:val="black"/>
              </w:rPr>
            </w:pPr>
          </w:p>
        </w:tc>
        <w:tc>
          <w:tcPr>
            <w:tcW w:w="708"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81" w:right="0" w:firstLine="0"/>
              <w:jc w:val="left"/>
              <w:rPr>
                <w:highlight w:val="black"/>
              </w:rPr>
            </w:pPr>
            <w:r w:rsidRPr="002558FF">
              <w:rPr>
                <w:rFonts w:ascii="Calibri" w:eastAsia="Calibri" w:hAnsi="Calibri" w:cs="Calibri"/>
                <w:sz w:val="22"/>
                <w:highlight w:val="black"/>
              </w:rPr>
              <w:t>1000</w:t>
            </w:r>
          </w:p>
        </w:tc>
        <w:tc>
          <w:tcPr>
            <w:tcW w:w="1418" w:type="dxa"/>
            <w:gridSpan w:val="2"/>
            <w:vMerge w:val="restart"/>
            <w:tcBorders>
              <w:top w:val="single" w:sz="2" w:space="0" w:color="000000"/>
              <w:left w:val="single" w:sz="2" w:space="0" w:color="000000"/>
              <w:bottom w:val="single" w:sz="2" w:space="0" w:color="000000"/>
              <w:right w:val="single" w:sz="2" w:space="0" w:color="000000"/>
            </w:tcBorders>
            <w:vAlign w:val="center"/>
          </w:tcPr>
          <w:p w:rsidR="002D6B63" w:rsidRDefault="002558FF">
            <w:pPr>
              <w:spacing w:after="0" w:line="259" w:lineRule="auto"/>
              <w:ind w:right="31" w:firstLine="0"/>
              <w:jc w:val="center"/>
            </w:pPr>
            <w:r>
              <w:rPr>
                <w:rFonts w:ascii="Calibri" w:eastAsia="Calibri" w:hAnsi="Calibri" w:cs="Calibri"/>
                <w:sz w:val="14"/>
              </w:rPr>
              <w:t>Kč/m3</w:t>
            </w:r>
          </w:p>
        </w:tc>
      </w:tr>
      <w:tr w:rsidR="002D6B63" w:rsidTr="001752D3">
        <w:tblPrEx>
          <w:tblCellMar>
            <w:top w:w="67" w:type="dxa"/>
            <w:left w:w="48" w:type="dxa"/>
          </w:tblCellMar>
        </w:tblPrEx>
        <w:trPr>
          <w:gridBefore w:val="1"/>
          <w:wBefore w:w="48" w:type="dxa"/>
          <w:trHeight w:val="271"/>
        </w:trPr>
        <w:tc>
          <w:tcPr>
            <w:tcW w:w="1892" w:type="dxa"/>
            <w:tcBorders>
              <w:top w:val="single" w:sz="2" w:space="0" w:color="000000"/>
              <w:left w:val="single" w:sz="2" w:space="0" w:color="000000"/>
              <w:bottom w:val="single" w:sz="2" w:space="0" w:color="000000"/>
              <w:right w:val="single" w:sz="2" w:space="0" w:color="000000"/>
            </w:tcBorders>
          </w:tcPr>
          <w:p w:rsidR="002D6B63" w:rsidRDefault="002558FF">
            <w:pPr>
              <w:spacing w:after="160" w:line="259" w:lineRule="auto"/>
              <w:ind w:right="0" w:firstLine="0"/>
              <w:jc w:val="left"/>
            </w:pPr>
            <w:r>
              <w:t>CX</w:t>
            </w:r>
          </w:p>
        </w:tc>
        <w:tc>
          <w:tcPr>
            <w:tcW w:w="803"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21" w:firstLine="0"/>
              <w:jc w:val="center"/>
              <w:rPr>
                <w:highlight w:val="black"/>
              </w:rPr>
            </w:pPr>
            <w:r w:rsidRPr="002558FF">
              <w:rPr>
                <w:rFonts w:ascii="Calibri" w:eastAsia="Calibri" w:hAnsi="Calibri" w:cs="Calibri"/>
                <w:sz w:val="20"/>
                <w:highlight w:val="black"/>
              </w:rPr>
              <w:t>100.</w:t>
            </w:r>
          </w:p>
        </w:tc>
        <w:tc>
          <w:tcPr>
            <w:tcW w:w="925"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35" w:firstLine="0"/>
              <w:jc w:val="center"/>
              <w:rPr>
                <w:highlight w:val="black"/>
              </w:rPr>
            </w:pPr>
            <w:r w:rsidRPr="002558FF">
              <w:rPr>
                <w:rFonts w:ascii="Calibri" w:eastAsia="Calibri" w:hAnsi="Calibri" w:cs="Calibri"/>
                <w:sz w:val="22"/>
                <w:highlight w:val="black"/>
              </w:rPr>
              <w:t>700</w:t>
            </w:r>
          </w:p>
        </w:tc>
        <w:tc>
          <w:tcPr>
            <w:tcW w:w="1908" w:type="dxa"/>
            <w:gridSpan w:val="5"/>
            <w:tcBorders>
              <w:top w:val="single" w:sz="2" w:space="0" w:color="000000"/>
              <w:left w:val="single" w:sz="2" w:space="0" w:color="000000"/>
              <w:bottom w:val="single" w:sz="2" w:space="0" w:color="000000"/>
              <w:right w:val="nil"/>
            </w:tcBorders>
          </w:tcPr>
          <w:p w:rsidR="002D6B63" w:rsidRPr="002558FF" w:rsidRDefault="007352C6">
            <w:pPr>
              <w:spacing w:after="0" w:line="259" w:lineRule="auto"/>
              <w:ind w:left="602" w:right="0" w:firstLine="0"/>
              <w:jc w:val="center"/>
              <w:rPr>
                <w:highlight w:val="black"/>
              </w:rPr>
            </w:pPr>
            <w:proofErr w:type="spellStart"/>
            <w:r w:rsidRPr="002558FF">
              <w:rPr>
                <w:rFonts w:ascii="Calibri" w:eastAsia="Calibri" w:hAnsi="Calibri" w:cs="Calibri"/>
                <w:sz w:val="18"/>
                <w:highlight w:val="black"/>
              </w:rPr>
              <w:t>goo</w:t>
            </w:r>
            <w:proofErr w:type="spellEnd"/>
          </w:p>
        </w:tc>
        <w:tc>
          <w:tcPr>
            <w:tcW w:w="747" w:type="dxa"/>
            <w:gridSpan w:val="2"/>
            <w:tcBorders>
              <w:top w:val="single" w:sz="2" w:space="0" w:color="000000"/>
              <w:left w:val="nil"/>
              <w:bottom w:val="single" w:sz="2" w:space="0" w:color="000000"/>
              <w:right w:val="single" w:sz="2" w:space="0" w:color="000000"/>
            </w:tcBorders>
          </w:tcPr>
          <w:p w:rsidR="002D6B63" w:rsidRPr="002558FF" w:rsidRDefault="002D6B63">
            <w:pPr>
              <w:spacing w:after="160" w:line="259" w:lineRule="auto"/>
              <w:ind w:right="0" w:firstLine="0"/>
              <w:jc w:val="left"/>
              <w:rPr>
                <w:highlight w:val="black"/>
              </w:rPr>
            </w:pPr>
          </w:p>
        </w:tc>
        <w:tc>
          <w:tcPr>
            <w:tcW w:w="708"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124" w:right="0" w:firstLine="0"/>
              <w:jc w:val="left"/>
              <w:rPr>
                <w:highlight w:val="black"/>
              </w:rPr>
            </w:pPr>
            <w:r w:rsidRPr="002558FF">
              <w:rPr>
                <w:rFonts w:ascii="Calibri" w:eastAsia="Calibri" w:hAnsi="Calibri" w:cs="Calibri"/>
                <w:sz w:val="22"/>
                <w:highlight w:val="black"/>
              </w:rPr>
              <w:t>700</w:t>
            </w:r>
          </w:p>
        </w:tc>
        <w:tc>
          <w:tcPr>
            <w:tcW w:w="1418" w:type="dxa"/>
            <w:gridSpan w:val="2"/>
            <w:vMerge/>
            <w:tcBorders>
              <w:top w:val="nil"/>
              <w:left w:val="single" w:sz="2" w:space="0" w:color="000000"/>
              <w:bottom w:val="nil"/>
              <w:right w:val="single" w:sz="2" w:space="0" w:color="000000"/>
            </w:tcBorders>
          </w:tcPr>
          <w:p w:rsidR="002D6B63" w:rsidRDefault="002D6B63">
            <w:pPr>
              <w:spacing w:after="160" w:line="259" w:lineRule="auto"/>
              <w:ind w:right="0" w:firstLine="0"/>
              <w:jc w:val="left"/>
            </w:pPr>
          </w:p>
        </w:tc>
      </w:tr>
      <w:tr w:rsidR="002D6B63" w:rsidTr="001752D3">
        <w:tblPrEx>
          <w:tblCellMar>
            <w:top w:w="67" w:type="dxa"/>
            <w:left w:w="48" w:type="dxa"/>
          </w:tblCellMar>
        </w:tblPrEx>
        <w:trPr>
          <w:gridBefore w:val="1"/>
          <w:wBefore w:w="48" w:type="dxa"/>
          <w:trHeight w:val="267"/>
        </w:trPr>
        <w:tc>
          <w:tcPr>
            <w:tcW w:w="1892" w:type="dxa"/>
            <w:tcBorders>
              <w:top w:val="single" w:sz="2" w:space="0" w:color="000000"/>
              <w:left w:val="single" w:sz="2" w:space="0" w:color="000000"/>
              <w:bottom w:val="single" w:sz="2" w:space="0" w:color="000000"/>
              <w:right w:val="single" w:sz="2" w:space="0" w:color="000000"/>
            </w:tcBorders>
          </w:tcPr>
          <w:p w:rsidR="002D6B63" w:rsidRDefault="007352C6" w:rsidP="002558FF">
            <w:pPr>
              <w:spacing w:after="0" w:line="259" w:lineRule="auto"/>
              <w:ind w:right="41" w:firstLine="0"/>
              <w:jc w:val="center"/>
            </w:pPr>
            <w:r>
              <w:rPr>
                <w:sz w:val="22"/>
              </w:rPr>
              <w:t>KH</w:t>
            </w:r>
            <w:r w:rsidR="002558FF">
              <w:rPr>
                <w:sz w:val="22"/>
              </w:rPr>
              <w:t>,</w:t>
            </w:r>
            <w:r>
              <w:rPr>
                <w:sz w:val="22"/>
              </w:rPr>
              <w:t>BR</w:t>
            </w:r>
          </w:p>
        </w:tc>
        <w:tc>
          <w:tcPr>
            <w:tcW w:w="803"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26" w:firstLine="0"/>
              <w:jc w:val="center"/>
              <w:rPr>
                <w:highlight w:val="black"/>
              </w:rPr>
            </w:pPr>
            <w:r w:rsidRPr="002558FF">
              <w:rPr>
                <w:rFonts w:ascii="Calibri" w:eastAsia="Calibri" w:hAnsi="Calibri" w:cs="Calibri"/>
                <w:sz w:val="22"/>
                <w:highlight w:val="black"/>
              </w:rPr>
              <w:t>100</w:t>
            </w:r>
          </w:p>
        </w:tc>
        <w:tc>
          <w:tcPr>
            <w:tcW w:w="925"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right="31" w:firstLine="0"/>
              <w:jc w:val="center"/>
              <w:rPr>
                <w:highlight w:val="black"/>
              </w:rPr>
            </w:pPr>
            <w:r w:rsidRPr="002558FF">
              <w:rPr>
                <w:rFonts w:ascii="Calibri" w:eastAsia="Calibri" w:hAnsi="Calibri" w:cs="Calibri"/>
                <w:sz w:val="22"/>
                <w:highlight w:val="black"/>
              </w:rPr>
              <w:t>550</w:t>
            </w:r>
          </w:p>
        </w:tc>
        <w:tc>
          <w:tcPr>
            <w:tcW w:w="1908" w:type="dxa"/>
            <w:gridSpan w:val="5"/>
            <w:tcBorders>
              <w:top w:val="single" w:sz="2" w:space="0" w:color="000000"/>
              <w:left w:val="single" w:sz="2" w:space="0" w:color="000000"/>
              <w:bottom w:val="single" w:sz="2" w:space="0" w:color="000000"/>
              <w:right w:val="nil"/>
            </w:tcBorders>
          </w:tcPr>
          <w:p w:rsidR="002D6B63" w:rsidRPr="002558FF" w:rsidRDefault="007352C6">
            <w:pPr>
              <w:spacing w:after="0" w:line="259" w:lineRule="auto"/>
              <w:ind w:left="602" w:right="0" w:firstLine="0"/>
              <w:jc w:val="center"/>
              <w:rPr>
                <w:highlight w:val="black"/>
              </w:rPr>
            </w:pPr>
            <w:r w:rsidRPr="002558FF">
              <w:rPr>
                <w:rFonts w:ascii="Calibri" w:eastAsia="Calibri" w:hAnsi="Calibri" w:cs="Calibri"/>
                <w:sz w:val="22"/>
                <w:highlight w:val="black"/>
              </w:rPr>
              <w:t>700</w:t>
            </w:r>
          </w:p>
        </w:tc>
        <w:tc>
          <w:tcPr>
            <w:tcW w:w="747" w:type="dxa"/>
            <w:gridSpan w:val="2"/>
            <w:tcBorders>
              <w:top w:val="single" w:sz="2" w:space="0" w:color="000000"/>
              <w:left w:val="nil"/>
              <w:bottom w:val="single" w:sz="2" w:space="0" w:color="000000"/>
              <w:right w:val="single" w:sz="2" w:space="0" w:color="000000"/>
            </w:tcBorders>
          </w:tcPr>
          <w:p w:rsidR="002D6B63" w:rsidRPr="002558FF" w:rsidRDefault="002D6B63">
            <w:pPr>
              <w:spacing w:after="160" w:line="259" w:lineRule="auto"/>
              <w:ind w:right="0" w:firstLine="0"/>
              <w:jc w:val="left"/>
              <w:rPr>
                <w:highlight w:val="black"/>
              </w:rPr>
            </w:pPr>
          </w:p>
        </w:tc>
        <w:tc>
          <w:tcPr>
            <w:tcW w:w="708" w:type="dxa"/>
            <w:gridSpan w:val="2"/>
            <w:tcBorders>
              <w:top w:val="single" w:sz="2" w:space="0" w:color="000000"/>
              <w:left w:val="single" w:sz="2" w:space="0" w:color="000000"/>
              <w:bottom w:val="single" w:sz="2" w:space="0" w:color="000000"/>
              <w:right w:val="single" w:sz="2" w:space="0" w:color="000000"/>
            </w:tcBorders>
          </w:tcPr>
          <w:p w:rsidR="002D6B63" w:rsidRPr="002558FF" w:rsidRDefault="007352C6">
            <w:pPr>
              <w:spacing w:after="0" w:line="259" w:lineRule="auto"/>
              <w:ind w:left="139" w:right="0" w:firstLine="0"/>
              <w:jc w:val="left"/>
              <w:rPr>
                <w:highlight w:val="black"/>
              </w:rPr>
            </w:pPr>
            <w:r w:rsidRPr="002558FF">
              <w:rPr>
                <w:rFonts w:ascii="Calibri" w:eastAsia="Calibri" w:hAnsi="Calibri" w:cs="Calibri"/>
                <w:sz w:val="22"/>
                <w:highlight w:val="black"/>
              </w:rPr>
              <w:t>550</w:t>
            </w:r>
          </w:p>
        </w:tc>
        <w:tc>
          <w:tcPr>
            <w:tcW w:w="1418" w:type="dxa"/>
            <w:gridSpan w:val="2"/>
            <w:vMerge/>
            <w:tcBorders>
              <w:top w:val="nil"/>
              <w:left w:val="single" w:sz="2" w:space="0" w:color="000000"/>
              <w:bottom w:val="nil"/>
              <w:right w:val="single" w:sz="2" w:space="0" w:color="000000"/>
            </w:tcBorders>
          </w:tcPr>
          <w:p w:rsidR="002D6B63" w:rsidRDefault="002D6B63">
            <w:pPr>
              <w:spacing w:after="160" w:line="259" w:lineRule="auto"/>
              <w:ind w:right="0" w:firstLine="0"/>
              <w:jc w:val="left"/>
            </w:pPr>
          </w:p>
        </w:tc>
      </w:tr>
      <w:tr w:rsidR="002D6B63" w:rsidTr="001752D3">
        <w:tblPrEx>
          <w:tblCellMar>
            <w:top w:w="67" w:type="dxa"/>
            <w:left w:w="48" w:type="dxa"/>
          </w:tblCellMar>
        </w:tblPrEx>
        <w:trPr>
          <w:gridBefore w:val="1"/>
          <w:wBefore w:w="48" w:type="dxa"/>
          <w:trHeight w:val="281"/>
        </w:trPr>
        <w:tc>
          <w:tcPr>
            <w:tcW w:w="1892" w:type="dxa"/>
            <w:tcBorders>
              <w:top w:val="single" w:sz="2" w:space="0" w:color="000000"/>
              <w:left w:val="single" w:sz="2" w:space="0" w:color="000000"/>
              <w:bottom w:val="single" w:sz="2" w:space="0" w:color="000000"/>
              <w:right w:val="single" w:sz="2" w:space="0" w:color="000000"/>
            </w:tcBorders>
          </w:tcPr>
          <w:p w:rsidR="002D6B63" w:rsidRDefault="007352C6">
            <w:pPr>
              <w:spacing w:after="0" w:line="259" w:lineRule="auto"/>
              <w:ind w:left="71" w:right="0" w:firstLine="0"/>
              <w:jc w:val="left"/>
            </w:pPr>
            <w:r>
              <w:rPr>
                <w:sz w:val="20"/>
              </w:rPr>
              <w:t>Vlákninové dříví kov</w:t>
            </w:r>
          </w:p>
        </w:tc>
        <w:tc>
          <w:tcPr>
            <w:tcW w:w="803" w:type="dxa"/>
            <w:gridSpan w:val="2"/>
            <w:tcBorders>
              <w:top w:val="single" w:sz="2" w:space="0" w:color="000000"/>
              <w:left w:val="single" w:sz="2" w:space="0" w:color="000000"/>
              <w:bottom w:val="single" w:sz="2" w:space="0" w:color="000000"/>
              <w:right w:val="nil"/>
            </w:tcBorders>
          </w:tcPr>
          <w:p w:rsidR="002D6B63" w:rsidRPr="002558FF" w:rsidRDefault="002D6B63">
            <w:pPr>
              <w:spacing w:after="160" w:line="259" w:lineRule="auto"/>
              <w:ind w:right="0" w:firstLine="0"/>
              <w:jc w:val="left"/>
              <w:rPr>
                <w:highlight w:val="black"/>
              </w:rPr>
            </w:pPr>
          </w:p>
        </w:tc>
        <w:tc>
          <w:tcPr>
            <w:tcW w:w="2833" w:type="dxa"/>
            <w:gridSpan w:val="7"/>
            <w:tcBorders>
              <w:top w:val="single" w:sz="2" w:space="0" w:color="000000"/>
              <w:left w:val="nil"/>
              <w:bottom w:val="single" w:sz="2" w:space="0" w:color="000000"/>
              <w:right w:val="nil"/>
            </w:tcBorders>
          </w:tcPr>
          <w:p w:rsidR="002D6B63" w:rsidRPr="002558FF" w:rsidRDefault="007352C6">
            <w:pPr>
              <w:spacing w:after="0" w:line="259" w:lineRule="auto"/>
              <w:ind w:left="442" w:right="0" w:firstLine="0"/>
              <w:jc w:val="center"/>
              <w:rPr>
                <w:highlight w:val="black"/>
              </w:rPr>
            </w:pPr>
            <w:r w:rsidRPr="002558FF">
              <w:rPr>
                <w:rFonts w:ascii="Calibri" w:eastAsia="Calibri" w:hAnsi="Calibri" w:cs="Calibri"/>
                <w:sz w:val="22"/>
                <w:highlight w:val="black"/>
              </w:rPr>
              <w:t>100</w:t>
            </w:r>
          </w:p>
        </w:tc>
        <w:tc>
          <w:tcPr>
            <w:tcW w:w="747" w:type="dxa"/>
            <w:gridSpan w:val="2"/>
            <w:tcBorders>
              <w:top w:val="single" w:sz="2" w:space="0" w:color="000000"/>
              <w:left w:val="nil"/>
              <w:bottom w:val="single" w:sz="2" w:space="0" w:color="000000"/>
              <w:right w:val="nil"/>
            </w:tcBorders>
          </w:tcPr>
          <w:p w:rsidR="002D6B63" w:rsidRPr="002558FF" w:rsidRDefault="002D6B63">
            <w:pPr>
              <w:spacing w:after="160" w:line="259" w:lineRule="auto"/>
              <w:ind w:right="0" w:firstLine="0"/>
              <w:jc w:val="left"/>
              <w:rPr>
                <w:highlight w:val="black"/>
              </w:rPr>
            </w:pPr>
          </w:p>
        </w:tc>
        <w:tc>
          <w:tcPr>
            <w:tcW w:w="708" w:type="dxa"/>
            <w:gridSpan w:val="2"/>
            <w:tcBorders>
              <w:top w:val="single" w:sz="2" w:space="0" w:color="000000"/>
              <w:left w:val="nil"/>
              <w:bottom w:val="single" w:sz="2" w:space="0" w:color="000000"/>
              <w:right w:val="single" w:sz="2" w:space="0" w:color="000000"/>
            </w:tcBorders>
          </w:tcPr>
          <w:p w:rsidR="002D6B63" w:rsidRPr="002558FF" w:rsidRDefault="002D6B63">
            <w:pPr>
              <w:spacing w:after="160" w:line="259" w:lineRule="auto"/>
              <w:ind w:right="0" w:firstLine="0"/>
              <w:jc w:val="left"/>
              <w:rPr>
                <w:highlight w:val="black"/>
              </w:rPr>
            </w:pPr>
          </w:p>
        </w:tc>
        <w:tc>
          <w:tcPr>
            <w:tcW w:w="1418" w:type="dxa"/>
            <w:gridSpan w:val="2"/>
            <w:vMerge/>
            <w:tcBorders>
              <w:top w:val="nil"/>
              <w:left w:val="single" w:sz="2" w:space="0" w:color="000000"/>
              <w:bottom w:val="single" w:sz="2" w:space="0" w:color="000000"/>
              <w:right w:val="single" w:sz="2" w:space="0" w:color="000000"/>
            </w:tcBorders>
          </w:tcPr>
          <w:p w:rsidR="002D6B63" w:rsidRDefault="002D6B63">
            <w:pPr>
              <w:spacing w:after="160" w:line="259" w:lineRule="auto"/>
              <w:ind w:right="0" w:firstLine="0"/>
              <w:jc w:val="left"/>
            </w:pPr>
          </w:p>
        </w:tc>
      </w:tr>
    </w:tbl>
    <w:p w:rsidR="002D6B63" w:rsidRDefault="007352C6" w:rsidP="002558FF">
      <w:pPr>
        <w:tabs>
          <w:tab w:val="right" w:pos="10440"/>
        </w:tabs>
        <w:spacing w:after="114" w:line="240" w:lineRule="auto"/>
        <w:ind w:right="0" w:firstLine="0"/>
        <w:contextualSpacing/>
        <w:jc w:val="left"/>
      </w:pPr>
      <w:r>
        <w:rPr>
          <w:rFonts w:ascii="Calibri" w:eastAsia="Calibri" w:hAnsi="Calibri" w:cs="Calibri"/>
          <w:sz w:val="12"/>
        </w:rPr>
        <w:t>Změna kupní</w:t>
      </w:r>
      <w:r w:rsidR="002558FF">
        <w:rPr>
          <w:rFonts w:ascii="Calibri" w:eastAsia="Calibri" w:hAnsi="Calibri" w:cs="Calibri"/>
          <w:sz w:val="12"/>
        </w:rPr>
        <w:t xml:space="preserve"> </w:t>
      </w:r>
      <w:r>
        <w:rPr>
          <w:rFonts w:ascii="Calibri" w:eastAsia="Calibri" w:hAnsi="Calibri" w:cs="Calibri"/>
          <w:sz w:val="12"/>
        </w:rPr>
        <w:t xml:space="preserve">ceny </w:t>
      </w:r>
      <w:r w:rsidR="002558FF">
        <w:rPr>
          <w:rFonts w:ascii="Calibri" w:eastAsia="Calibri" w:hAnsi="Calibri" w:cs="Calibri"/>
          <w:sz w:val="12"/>
        </w:rPr>
        <w:t xml:space="preserve"> v </w:t>
      </w:r>
      <w:r>
        <w:rPr>
          <w:rFonts w:ascii="Calibri" w:eastAsia="Calibri" w:hAnsi="Calibri" w:cs="Calibri"/>
          <w:sz w:val="12"/>
        </w:rPr>
        <w:t xml:space="preserve">závislosti na kurzu CZK/EUR </w:t>
      </w:r>
      <w:r w:rsidR="002558FF">
        <w:rPr>
          <w:rFonts w:ascii="Calibri" w:eastAsia="Calibri" w:hAnsi="Calibri" w:cs="Calibri"/>
          <w:sz w:val="12"/>
        </w:rPr>
        <w:t xml:space="preserve"> </w:t>
      </w:r>
      <w:r>
        <w:rPr>
          <w:rFonts w:ascii="Calibri" w:eastAsia="Calibri" w:hAnsi="Calibri" w:cs="Calibri"/>
          <w:sz w:val="12"/>
        </w:rPr>
        <w:t>—</w:t>
      </w:r>
      <w:r w:rsidR="002558FF">
        <w:rPr>
          <w:rFonts w:ascii="Calibri" w:eastAsia="Calibri" w:hAnsi="Calibri" w:cs="Calibri"/>
          <w:sz w:val="12"/>
        </w:rPr>
        <w:t xml:space="preserve"> </w:t>
      </w:r>
      <w:r>
        <w:rPr>
          <w:rFonts w:ascii="Calibri" w:eastAsia="Calibri" w:hAnsi="Calibri" w:cs="Calibri"/>
          <w:sz w:val="12"/>
        </w:rPr>
        <w:t>pro účely této smlouvy se používá měsíční</w:t>
      </w:r>
      <w:r w:rsidR="002558FF">
        <w:rPr>
          <w:rFonts w:ascii="Calibri" w:eastAsia="Calibri" w:hAnsi="Calibri" w:cs="Calibri"/>
          <w:sz w:val="12"/>
        </w:rPr>
        <w:t xml:space="preserve"> </w:t>
      </w:r>
      <w:r>
        <w:rPr>
          <w:rFonts w:ascii="Calibri" w:eastAsia="Calibri" w:hAnsi="Calibri" w:cs="Calibri"/>
          <w:sz w:val="12"/>
        </w:rPr>
        <w:t>průměrný kurz, vyhlašovaný Českou</w:t>
      </w:r>
      <w:r w:rsidR="002558FF">
        <w:rPr>
          <w:rFonts w:ascii="Calibri" w:eastAsia="Calibri" w:hAnsi="Calibri" w:cs="Calibri"/>
          <w:sz w:val="12"/>
        </w:rPr>
        <w:t xml:space="preserve"> národní ba</w:t>
      </w:r>
      <w:r>
        <w:rPr>
          <w:rFonts w:ascii="Calibri" w:eastAsia="Calibri" w:hAnsi="Calibri" w:cs="Calibri"/>
          <w:sz w:val="12"/>
        </w:rPr>
        <w:t>nkou. Pokud bu</w:t>
      </w:r>
      <w:r w:rsidR="002558FF">
        <w:rPr>
          <w:rFonts w:ascii="Calibri" w:eastAsia="Calibri" w:hAnsi="Calibri" w:cs="Calibri"/>
          <w:sz w:val="12"/>
        </w:rPr>
        <w:t>de</w:t>
      </w:r>
      <w:r>
        <w:rPr>
          <w:rFonts w:ascii="Calibri" w:eastAsia="Calibri" w:hAnsi="Calibri" w:cs="Calibri"/>
          <w:sz w:val="12"/>
        </w:rPr>
        <w:t xml:space="preserve"> měsíční</w:t>
      </w:r>
      <w:r w:rsidR="002558FF">
        <w:rPr>
          <w:rFonts w:ascii="Calibri" w:eastAsia="Calibri" w:hAnsi="Calibri" w:cs="Calibri"/>
          <w:sz w:val="12"/>
        </w:rPr>
        <w:t xml:space="preserve"> </w:t>
      </w:r>
      <w:r>
        <w:rPr>
          <w:rFonts w:ascii="Calibri" w:eastAsia="Calibri" w:hAnsi="Calibri" w:cs="Calibri"/>
          <w:sz w:val="12"/>
        </w:rPr>
        <w:t>průměrný kurz CZK/EUR platný</w:t>
      </w:r>
    </w:p>
    <w:p w:rsidR="002558FF" w:rsidRDefault="007352C6" w:rsidP="002558FF">
      <w:pPr>
        <w:spacing w:after="0" w:line="240" w:lineRule="auto"/>
        <w:ind w:right="14" w:firstLine="0"/>
        <w:contextualSpacing/>
        <w:jc w:val="left"/>
        <w:rPr>
          <w:rFonts w:ascii="Calibri" w:eastAsia="Calibri" w:hAnsi="Calibri" w:cs="Calibri"/>
          <w:sz w:val="12"/>
        </w:rPr>
      </w:pPr>
      <w:r>
        <w:rPr>
          <w:sz w:val="12"/>
        </w:rPr>
        <w:t>pro kalendářní měsíc</w:t>
      </w:r>
      <w:r w:rsidR="002558FF">
        <w:rPr>
          <w:sz w:val="12"/>
        </w:rPr>
        <w:t xml:space="preserve"> </w:t>
      </w:r>
      <w:r>
        <w:rPr>
          <w:sz w:val="12"/>
        </w:rPr>
        <w:t>(</w:t>
      </w:r>
      <w:r w:rsidR="002558FF">
        <w:rPr>
          <w:sz w:val="12"/>
        </w:rPr>
        <w:t>rozhoduje</w:t>
      </w:r>
      <w:r>
        <w:rPr>
          <w:sz w:val="12"/>
        </w:rPr>
        <w:t xml:space="preserve"> datum přejímky) vyšší než 26,31, kupní cena dle článku 5. se zvyšuje 0 25,-CZK/m</w:t>
      </w:r>
      <w:r>
        <w:rPr>
          <w:sz w:val="12"/>
          <w:vertAlign w:val="superscript"/>
        </w:rPr>
        <w:t>3</w:t>
      </w:r>
      <w:r>
        <w:rPr>
          <w:sz w:val="12"/>
        </w:rPr>
        <w:t xml:space="preserve">. Pokud bude tento měsíční průměrný kurz CZK/EIJR nižší než 25,29, kupní cena </w:t>
      </w:r>
      <w:r>
        <w:rPr>
          <w:rFonts w:ascii="Calibri" w:eastAsia="Calibri" w:hAnsi="Calibri" w:cs="Calibri"/>
          <w:sz w:val="12"/>
        </w:rPr>
        <w:t>d</w:t>
      </w:r>
      <w:r w:rsidR="002558FF">
        <w:rPr>
          <w:rFonts w:ascii="Calibri" w:eastAsia="Calibri" w:hAnsi="Calibri" w:cs="Calibri"/>
          <w:sz w:val="12"/>
        </w:rPr>
        <w:t xml:space="preserve">le článku  </w:t>
      </w:r>
    </w:p>
    <w:p w:rsidR="002558FF" w:rsidRDefault="002558FF" w:rsidP="002558FF">
      <w:pPr>
        <w:spacing w:after="0" w:line="240" w:lineRule="auto"/>
        <w:ind w:right="14" w:firstLine="0"/>
        <w:contextualSpacing/>
        <w:jc w:val="left"/>
        <w:rPr>
          <w:sz w:val="12"/>
        </w:rPr>
      </w:pPr>
      <w:r>
        <w:rPr>
          <w:rFonts w:ascii="Calibri" w:eastAsia="Calibri" w:hAnsi="Calibri" w:cs="Calibri"/>
          <w:sz w:val="12"/>
        </w:rPr>
        <w:t xml:space="preserve">5e </w:t>
      </w:r>
      <w:r w:rsidR="007352C6">
        <w:rPr>
          <w:rFonts w:ascii="Calibri" w:eastAsia="Calibri" w:hAnsi="Calibri" w:cs="Calibri"/>
          <w:sz w:val="12"/>
        </w:rPr>
        <w:t>snižuje 0 25,- CZK/rn</w:t>
      </w:r>
      <w:r w:rsidR="007352C6">
        <w:rPr>
          <w:rFonts w:ascii="Calibri" w:eastAsia="Calibri" w:hAnsi="Calibri" w:cs="Calibri"/>
          <w:sz w:val="12"/>
          <w:vertAlign w:val="superscript"/>
        </w:rPr>
        <w:t>3</w:t>
      </w:r>
      <w:r w:rsidR="007352C6">
        <w:rPr>
          <w:rFonts w:ascii="Calibri" w:eastAsia="Calibri" w:hAnsi="Calibri" w:cs="Calibri"/>
          <w:sz w:val="12"/>
        </w:rPr>
        <w:t xml:space="preserve">• Pokud </w:t>
      </w:r>
      <w:r>
        <w:rPr>
          <w:rFonts w:ascii="Calibri" w:eastAsia="Calibri" w:hAnsi="Calibri" w:cs="Calibri"/>
          <w:sz w:val="12"/>
        </w:rPr>
        <w:t>m</w:t>
      </w:r>
      <w:r w:rsidR="007352C6">
        <w:rPr>
          <w:rFonts w:ascii="Calibri" w:eastAsia="Calibri" w:hAnsi="Calibri" w:cs="Calibri"/>
          <w:sz w:val="12"/>
        </w:rPr>
        <w:t>ěsíční</w:t>
      </w:r>
      <w:r>
        <w:rPr>
          <w:rFonts w:ascii="Calibri" w:eastAsia="Calibri" w:hAnsi="Calibri" w:cs="Calibri"/>
          <w:sz w:val="12"/>
        </w:rPr>
        <w:t xml:space="preserve"> </w:t>
      </w:r>
      <w:r w:rsidR="007352C6">
        <w:rPr>
          <w:rFonts w:ascii="Calibri" w:eastAsia="Calibri" w:hAnsi="Calibri" w:cs="Calibri"/>
          <w:sz w:val="12"/>
        </w:rPr>
        <w:t>průměrný kurz CZK/EUR platný pro kalendářní měsíc vyšší než 26,81 kupní cena dle článku 5 se zvyšuje 0 50,- CZK/m</w:t>
      </w:r>
      <w:r w:rsidR="007352C6">
        <w:rPr>
          <w:rFonts w:ascii="Calibri" w:eastAsia="Calibri" w:hAnsi="Calibri" w:cs="Calibri"/>
          <w:sz w:val="12"/>
          <w:vertAlign w:val="superscript"/>
        </w:rPr>
        <w:t>3</w:t>
      </w:r>
      <w:r w:rsidR="007352C6">
        <w:rPr>
          <w:rFonts w:ascii="Calibri" w:eastAsia="Calibri" w:hAnsi="Calibri" w:cs="Calibri"/>
          <w:sz w:val="12"/>
        </w:rPr>
        <w:t>. Pokud tento</w:t>
      </w:r>
      <w:r>
        <w:rPr>
          <w:rFonts w:ascii="Calibri" w:eastAsia="Calibri" w:hAnsi="Calibri" w:cs="Calibri"/>
          <w:sz w:val="12"/>
        </w:rPr>
        <w:t xml:space="preserve"> </w:t>
      </w:r>
      <w:r w:rsidR="007352C6">
        <w:rPr>
          <w:sz w:val="12"/>
        </w:rPr>
        <w:t>měsíční průměrný kurz CZK/EUR nižší než 24,79, kupní cena dle článku 5 se snižuje 0 50,-CZK/m</w:t>
      </w:r>
      <w:r w:rsidR="007352C6">
        <w:rPr>
          <w:sz w:val="12"/>
          <w:vertAlign w:val="superscript"/>
        </w:rPr>
        <w:t>3</w:t>
      </w:r>
      <w:r w:rsidR="007352C6">
        <w:rPr>
          <w:sz w:val="12"/>
        </w:rPr>
        <w:t>. Pokud bode měsíční průměrný ku</w:t>
      </w:r>
      <w:r>
        <w:rPr>
          <w:sz w:val="12"/>
        </w:rPr>
        <w:t>rz CZK/EUR platný pro kalendářní</w:t>
      </w:r>
      <w:r w:rsidR="007352C6">
        <w:rPr>
          <w:sz w:val="12"/>
        </w:rPr>
        <w:t xml:space="preserve"> měsíc </w:t>
      </w:r>
      <w:r>
        <w:rPr>
          <w:sz w:val="12"/>
        </w:rPr>
        <w:t>dodání</w:t>
      </w:r>
      <w:r w:rsidR="007352C6">
        <w:rPr>
          <w:sz w:val="12"/>
        </w:rPr>
        <w:t xml:space="preserve"> vyšší než 27,31 kupní </w:t>
      </w:r>
      <w:r w:rsidR="007352C6">
        <w:rPr>
          <w:rFonts w:ascii="Calibri" w:eastAsia="Calibri" w:hAnsi="Calibri" w:cs="Calibri"/>
          <w:sz w:val="12"/>
        </w:rPr>
        <w:t xml:space="preserve">cena se de </w:t>
      </w:r>
      <w:proofErr w:type="gramStart"/>
      <w:r w:rsidR="007352C6">
        <w:rPr>
          <w:rFonts w:ascii="Calibri" w:eastAsia="Calibri" w:hAnsi="Calibri" w:cs="Calibri"/>
          <w:sz w:val="12"/>
        </w:rPr>
        <w:t>článku</w:t>
      </w:r>
      <w:proofErr w:type="gramEnd"/>
      <w:r w:rsidR="007352C6">
        <w:rPr>
          <w:rFonts w:ascii="Calibri" w:eastAsia="Calibri" w:hAnsi="Calibri" w:cs="Calibri"/>
          <w:sz w:val="12"/>
        </w:rPr>
        <w:t xml:space="preserve"> 5 se zvyšuje 0 75,- CZK/m</w:t>
      </w:r>
      <w:r w:rsidR="007352C6">
        <w:rPr>
          <w:rFonts w:ascii="Calibri" w:eastAsia="Calibri" w:hAnsi="Calibri" w:cs="Calibri"/>
          <w:sz w:val="12"/>
          <w:vertAlign w:val="superscript"/>
        </w:rPr>
        <w:t>3</w:t>
      </w:r>
      <w:r w:rsidR="007352C6">
        <w:rPr>
          <w:rFonts w:ascii="Calibri" w:eastAsia="Calibri" w:hAnsi="Calibri" w:cs="Calibri"/>
          <w:sz w:val="12"/>
        </w:rPr>
        <w:t>. Pokud bude tento průměrný měsíční kurz CZK/EUR nižší než 24,8, kupní cena dle článku 5 se snižuje 0 75,-CZK/m</w:t>
      </w:r>
      <w:r w:rsidR="007352C6">
        <w:rPr>
          <w:rFonts w:ascii="Calibri" w:eastAsia="Calibri" w:hAnsi="Calibri" w:cs="Calibri"/>
          <w:sz w:val="12"/>
          <w:vertAlign w:val="superscript"/>
        </w:rPr>
        <w:t>3</w:t>
      </w:r>
      <w:r w:rsidR="007352C6">
        <w:rPr>
          <w:rFonts w:ascii="Calibri" w:eastAsia="Calibri" w:hAnsi="Calibri" w:cs="Calibri"/>
          <w:sz w:val="12"/>
        </w:rPr>
        <w:t xml:space="preserve">. Vyúčtování případných rozdílů se </w:t>
      </w:r>
      <w:r w:rsidR="007352C6">
        <w:rPr>
          <w:sz w:val="12"/>
        </w:rPr>
        <w:t>považuje za samostatné zdani</w:t>
      </w:r>
      <w:r>
        <w:rPr>
          <w:sz w:val="12"/>
        </w:rPr>
        <w:t>telné plnění ve smyslu par. 42,</w:t>
      </w:r>
    </w:p>
    <w:p w:rsidR="002D6B63" w:rsidRDefault="002558FF" w:rsidP="002558FF">
      <w:pPr>
        <w:spacing w:after="0" w:line="240" w:lineRule="auto"/>
        <w:ind w:right="14" w:firstLine="0"/>
        <w:contextualSpacing/>
        <w:jc w:val="left"/>
      </w:pPr>
      <w:r>
        <w:rPr>
          <w:sz w:val="12"/>
        </w:rPr>
        <w:t>z</w:t>
      </w:r>
      <w:r w:rsidR="007352C6">
        <w:rPr>
          <w:sz w:val="12"/>
        </w:rPr>
        <w:t>ákona 6.235/2004 Sb. Vyúčtování</w:t>
      </w:r>
      <w:r>
        <w:rPr>
          <w:sz w:val="12"/>
        </w:rPr>
        <w:t xml:space="preserve"> </w:t>
      </w:r>
      <w:r w:rsidR="007352C6">
        <w:rPr>
          <w:sz w:val="12"/>
        </w:rPr>
        <w:t xml:space="preserve">proběhne 15 </w:t>
      </w:r>
      <w:proofErr w:type="spellStart"/>
      <w:r w:rsidR="007352C6">
        <w:rPr>
          <w:sz w:val="12"/>
        </w:rPr>
        <w:t>kalerd</w:t>
      </w:r>
      <w:r>
        <w:rPr>
          <w:sz w:val="12"/>
        </w:rPr>
        <w:t>ářního</w:t>
      </w:r>
      <w:proofErr w:type="spellEnd"/>
      <w:r w:rsidR="007352C6">
        <w:rPr>
          <w:sz w:val="12"/>
        </w:rPr>
        <w:t xml:space="preserve"> dne následujícího měsíce formou daňového</w:t>
      </w:r>
      <w:r>
        <w:rPr>
          <w:noProof/>
        </w:rPr>
        <w:t xml:space="preserve"> dokladu.</w:t>
      </w:r>
    </w:p>
    <w:p w:rsidR="002D6B63" w:rsidRDefault="007352C6" w:rsidP="001752D3">
      <w:pPr>
        <w:spacing w:after="220" w:line="240" w:lineRule="auto"/>
        <w:ind w:right="0" w:firstLine="5"/>
        <w:contextualSpacing/>
        <w:jc w:val="left"/>
      </w:pPr>
      <w:r>
        <w:rPr>
          <w:sz w:val="18"/>
        </w:rPr>
        <w:t xml:space="preserve">Splatnost faktur je 35 dní od data vystavení faktury. Prodávající výslovně prohlašuje, že toto ujednání o čase plnění nepovažuje za hrubě nespravedlivé. </w:t>
      </w:r>
      <w:r>
        <w:rPr>
          <w:rFonts w:ascii="Calibri" w:eastAsia="Calibri" w:hAnsi="Calibri" w:cs="Calibri"/>
          <w:sz w:val="18"/>
        </w:rPr>
        <w:t>/</w:t>
      </w:r>
      <w:proofErr w:type="spellStart"/>
      <w:r>
        <w:rPr>
          <w:rFonts w:ascii="Calibri" w:eastAsia="Calibri" w:hAnsi="Calibri" w:cs="Calibri"/>
          <w:sz w:val="18"/>
        </w:rPr>
        <w:t>Fálligkeit</w:t>
      </w:r>
      <w:proofErr w:type="spellEnd"/>
      <w:r>
        <w:rPr>
          <w:rFonts w:ascii="Calibri" w:eastAsia="Calibri" w:hAnsi="Calibri" w:cs="Calibri"/>
          <w:sz w:val="18"/>
        </w:rPr>
        <w:t xml:space="preserve"> </w:t>
      </w:r>
      <w:proofErr w:type="spellStart"/>
      <w:r>
        <w:rPr>
          <w:rFonts w:ascii="Calibri" w:eastAsia="Calibri" w:hAnsi="Calibri" w:cs="Calibri"/>
          <w:sz w:val="18"/>
        </w:rPr>
        <w:t>ist</w:t>
      </w:r>
      <w:proofErr w:type="spellEnd"/>
      <w:r>
        <w:rPr>
          <w:rFonts w:ascii="Calibri" w:eastAsia="Calibri" w:hAnsi="Calibri" w:cs="Calibri"/>
          <w:sz w:val="18"/>
        </w:rPr>
        <w:t xml:space="preserve"> 35 </w:t>
      </w:r>
      <w:proofErr w:type="spellStart"/>
      <w:r>
        <w:rPr>
          <w:rFonts w:ascii="Calibri" w:eastAsia="Calibri" w:hAnsi="Calibri" w:cs="Calibri"/>
          <w:sz w:val="18"/>
        </w:rPr>
        <w:t>Tage</w:t>
      </w:r>
      <w:proofErr w:type="spellEnd"/>
      <w:r>
        <w:rPr>
          <w:rFonts w:ascii="Calibri" w:eastAsia="Calibri" w:hAnsi="Calibri" w:cs="Calibri"/>
          <w:sz w:val="18"/>
        </w:rPr>
        <w:t xml:space="preserve"> netto ab </w:t>
      </w:r>
      <w:proofErr w:type="spellStart"/>
      <w:r>
        <w:rPr>
          <w:rFonts w:ascii="Calibri" w:eastAsia="Calibri" w:hAnsi="Calibri" w:cs="Calibri"/>
          <w:sz w:val="18"/>
        </w:rPr>
        <w:t>Rechnungsdatum</w:t>
      </w:r>
      <w:proofErr w:type="spellEnd"/>
      <w:r>
        <w:rPr>
          <w:rFonts w:ascii="Calibri" w:eastAsia="Calibri" w:hAnsi="Calibri" w:cs="Calibri"/>
          <w:sz w:val="18"/>
        </w:rPr>
        <w:t>.</w:t>
      </w:r>
    </w:p>
    <w:p w:rsidR="002D6B63" w:rsidRDefault="007352C6" w:rsidP="001752D3">
      <w:pPr>
        <w:spacing w:after="21" w:line="240" w:lineRule="auto"/>
        <w:ind w:right="0" w:firstLine="10"/>
        <w:contextualSpacing/>
        <w:jc w:val="left"/>
      </w:pPr>
      <w:r>
        <w:rPr>
          <w:rFonts w:ascii="Calibri" w:eastAsia="Calibri" w:hAnsi="Calibri" w:cs="Calibri"/>
        </w:rPr>
        <w:t xml:space="preserve">Cena za službu vagónování, vyplacena subjektu provádějící vagónování, je stanovena </w:t>
      </w:r>
      <w:r w:rsidRPr="001752D3">
        <w:rPr>
          <w:rFonts w:ascii="Calibri" w:eastAsia="Calibri" w:hAnsi="Calibri" w:cs="Calibri"/>
          <w:highlight w:val="black"/>
        </w:rPr>
        <w:t>120,-</w:t>
      </w:r>
      <w:r>
        <w:rPr>
          <w:rFonts w:ascii="Calibri" w:eastAsia="Calibri" w:hAnsi="Calibri" w:cs="Calibri"/>
        </w:rPr>
        <w:t xml:space="preserve"> Kč/m3 (fakturace dle elektronické přejímky závod </w:t>
      </w:r>
      <w:proofErr w:type="spellStart"/>
      <w:r>
        <w:rPr>
          <w:rFonts w:ascii="Calibri" w:eastAsia="Calibri" w:hAnsi="Calibri" w:cs="Calibri"/>
        </w:rPr>
        <w:t>Retz</w:t>
      </w:r>
      <w:proofErr w:type="spellEnd"/>
      <w:r>
        <w:rPr>
          <w:rFonts w:ascii="Calibri" w:eastAsia="Calibri" w:hAnsi="Calibri" w:cs="Calibri"/>
        </w:rPr>
        <w:t>). /</w:t>
      </w:r>
      <w:proofErr w:type="spellStart"/>
      <w:r>
        <w:rPr>
          <w:rFonts w:ascii="Calibri" w:eastAsia="Calibri" w:hAnsi="Calibri" w:cs="Calibri"/>
        </w:rPr>
        <w:t>Verladezuschlag</w:t>
      </w:r>
      <w:proofErr w:type="spellEnd"/>
      <w:r>
        <w:rPr>
          <w:rFonts w:ascii="Calibri" w:eastAsia="Calibri" w:hAnsi="Calibri" w:cs="Calibri"/>
        </w:rPr>
        <w:t xml:space="preserve"> </w:t>
      </w:r>
      <w:proofErr w:type="spellStart"/>
      <w:r>
        <w:rPr>
          <w:rFonts w:ascii="Calibri" w:eastAsia="Calibri" w:hAnsi="Calibri" w:cs="Calibri"/>
        </w:rPr>
        <w:t>wird</w:t>
      </w:r>
      <w:proofErr w:type="spellEnd"/>
      <w:r>
        <w:rPr>
          <w:rFonts w:ascii="Calibri" w:eastAsia="Calibri" w:hAnsi="Calibri" w:cs="Calibri"/>
        </w:rPr>
        <w:t xml:space="preserve"> In der </w:t>
      </w:r>
      <w:proofErr w:type="spellStart"/>
      <w:r>
        <w:rPr>
          <w:rFonts w:ascii="Calibri" w:eastAsia="Calibri" w:hAnsi="Calibri" w:cs="Calibri"/>
        </w:rPr>
        <w:t>Höhe</w:t>
      </w:r>
      <w:proofErr w:type="spellEnd"/>
      <w:r>
        <w:rPr>
          <w:rFonts w:ascii="Calibri" w:eastAsia="Calibri" w:hAnsi="Calibri" w:cs="Calibri"/>
        </w:rPr>
        <w:t xml:space="preserve"> von 120,- </w:t>
      </w:r>
      <w:proofErr w:type="spellStart"/>
      <w:r>
        <w:rPr>
          <w:rFonts w:ascii="Calibri" w:eastAsia="Calibri" w:hAnsi="Calibri" w:cs="Calibri"/>
        </w:rPr>
        <w:t>Kc</w:t>
      </w:r>
      <w:proofErr w:type="spellEnd"/>
      <w:r>
        <w:rPr>
          <w:rFonts w:ascii="Calibri" w:eastAsia="Calibri" w:hAnsi="Calibri" w:cs="Calibri"/>
        </w:rPr>
        <w:t>/</w:t>
      </w:r>
      <w:proofErr w:type="spellStart"/>
      <w:r>
        <w:rPr>
          <w:rFonts w:ascii="Calibri" w:eastAsia="Calibri" w:hAnsi="Calibri" w:cs="Calibri"/>
        </w:rPr>
        <w:t>fm</w:t>
      </w:r>
      <w:proofErr w:type="spellEnd"/>
      <w:r>
        <w:rPr>
          <w:rFonts w:ascii="Calibri" w:eastAsia="Calibri" w:hAnsi="Calibri" w:cs="Calibri"/>
        </w:rPr>
        <w:t xml:space="preserve"> </w:t>
      </w:r>
      <w:proofErr w:type="spellStart"/>
      <w:r>
        <w:rPr>
          <w:rFonts w:ascii="Calibri" w:eastAsia="Calibri" w:hAnsi="Calibri" w:cs="Calibri"/>
        </w:rPr>
        <w:t>verrechnet</w:t>
      </w:r>
      <w:proofErr w:type="spellEnd"/>
      <w:r>
        <w:rPr>
          <w:rFonts w:ascii="Calibri" w:eastAsia="Calibri" w:hAnsi="Calibri" w:cs="Calibri"/>
        </w:rPr>
        <w:t>./</w:t>
      </w:r>
    </w:p>
    <w:p w:rsidR="002D6B63" w:rsidRDefault="007352C6" w:rsidP="001752D3">
      <w:pPr>
        <w:spacing w:after="398" w:line="240" w:lineRule="auto"/>
        <w:contextualSpacing/>
      </w:pPr>
      <w:r>
        <w:t xml:space="preserve">V případě nedostatku silničních odvozních kapacit se kupující dohodl s prodávajícím, že bude smluvený objem do výše % realizován po železnici. V případě dříví dopraveného železniční dopravou, bude na objem tohoto dříví uplatněna paušální srážka </w:t>
      </w:r>
      <w:r w:rsidRPr="001752D3">
        <w:rPr>
          <w:highlight w:val="black"/>
        </w:rPr>
        <w:t>0,-</w:t>
      </w:r>
      <w:r>
        <w:t xml:space="preserve"> Kč /m3. Prodávající souhlasí, že ujednaný % podíl železničních dodávek může být zvýšeno za předpokladu nedodržení alikvotního plnění smlouvy. /Bei </w:t>
      </w:r>
      <w:proofErr w:type="spellStart"/>
      <w:r>
        <w:t>nicht</w:t>
      </w:r>
      <w:proofErr w:type="spellEnd"/>
      <w:r>
        <w:t xml:space="preserve"> </w:t>
      </w:r>
      <w:proofErr w:type="spellStart"/>
      <w:r>
        <w:t>ausreichender</w:t>
      </w:r>
      <w:proofErr w:type="spellEnd"/>
      <w:r>
        <w:t xml:space="preserve"> </w:t>
      </w:r>
      <w:proofErr w:type="spellStart"/>
      <w:r>
        <w:t>Kapazitát</w:t>
      </w:r>
      <w:proofErr w:type="spellEnd"/>
      <w:r>
        <w:t xml:space="preserve"> von </w:t>
      </w:r>
      <w:proofErr w:type="spellStart"/>
      <w:r>
        <w:t>Lkw</w:t>
      </w:r>
      <w:proofErr w:type="spellEnd"/>
      <w:r>
        <w:t xml:space="preserve"> Transport, </w:t>
      </w:r>
      <w:proofErr w:type="spellStart"/>
      <w:r>
        <w:t>hat</w:t>
      </w:r>
      <w:proofErr w:type="spellEnd"/>
      <w:r>
        <w:t xml:space="preserve"> der </w:t>
      </w:r>
      <w:proofErr w:type="spellStart"/>
      <w:r>
        <w:t>Einkáufer</w:t>
      </w:r>
      <w:proofErr w:type="spellEnd"/>
      <w:r>
        <w:t xml:space="preserve"> </w:t>
      </w:r>
      <w:proofErr w:type="spellStart"/>
      <w:r>
        <w:t>mit</w:t>
      </w:r>
      <w:proofErr w:type="spellEnd"/>
      <w:r>
        <w:t xml:space="preserve"> dem </w:t>
      </w:r>
      <w:proofErr w:type="spellStart"/>
      <w:r>
        <w:t>Verkáufer</w:t>
      </w:r>
      <w:proofErr w:type="spellEnd"/>
      <w:r>
        <w:t xml:space="preserve"> </w:t>
      </w:r>
      <w:proofErr w:type="spellStart"/>
      <w:r>
        <w:rPr>
          <w:rFonts w:ascii="Calibri" w:eastAsia="Calibri" w:hAnsi="Calibri" w:cs="Calibri"/>
        </w:rPr>
        <w:t>vereinbart</w:t>
      </w:r>
      <w:proofErr w:type="spellEnd"/>
      <w:r>
        <w:rPr>
          <w:rFonts w:ascii="Calibri" w:eastAsia="Calibri" w:hAnsi="Calibri" w:cs="Calibri"/>
        </w:rPr>
        <w:t xml:space="preserve">, </w:t>
      </w:r>
      <w:proofErr w:type="spellStart"/>
      <w:r>
        <w:rPr>
          <w:rFonts w:ascii="Calibri" w:eastAsia="Calibri" w:hAnsi="Calibri" w:cs="Calibri"/>
        </w:rPr>
        <w:t>dass</w:t>
      </w:r>
      <w:proofErr w:type="spellEnd"/>
      <w:r>
        <w:rPr>
          <w:rFonts w:ascii="Calibri" w:eastAsia="Calibri" w:hAnsi="Calibri" w:cs="Calibri"/>
        </w:rPr>
        <w:t xml:space="preserve"> </w:t>
      </w: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vereinbarte</w:t>
      </w:r>
      <w:proofErr w:type="spellEnd"/>
      <w:r>
        <w:rPr>
          <w:rFonts w:ascii="Calibri" w:eastAsia="Calibri" w:hAnsi="Calibri" w:cs="Calibri"/>
        </w:rPr>
        <w:t xml:space="preserve"> </w:t>
      </w:r>
      <w:proofErr w:type="spellStart"/>
      <w:r>
        <w:rPr>
          <w:rFonts w:ascii="Calibri" w:eastAsia="Calibri" w:hAnsi="Calibri" w:cs="Calibri"/>
        </w:rPr>
        <w:t>Menge</w:t>
      </w:r>
      <w:proofErr w:type="spellEnd"/>
      <w:r>
        <w:rPr>
          <w:rFonts w:ascii="Calibri" w:eastAsia="Calibri" w:hAnsi="Calibri" w:cs="Calibri"/>
        </w:rPr>
        <w:t xml:space="preserve"> </w:t>
      </w:r>
      <w:proofErr w:type="gramStart"/>
      <w:r>
        <w:rPr>
          <w:rFonts w:ascii="Calibri" w:eastAsia="Calibri" w:hAnsi="Calibri" w:cs="Calibri"/>
        </w:rPr>
        <w:t xml:space="preserve">bis . % </w:t>
      </w:r>
      <w:proofErr w:type="spellStart"/>
      <w:r>
        <w:rPr>
          <w:rFonts w:ascii="Calibri" w:eastAsia="Calibri" w:hAnsi="Calibri" w:cs="Calibri"/>
        </w:rPr>
        <w:t>mit</w:t>
      </w:r>
      <w:proofErr w:type="spellEnd"/>
      <w:proofErr w:type="gramEnd"/>
      <w:r>
        <w:rPr>
          <w:rFonts w:ascii="Calibri" w:eastAsia="Calibri" w:hAnsi="Calibri" w:cs="Calibri"/>
        </w:rPr>
        <w:t xml:space="preserve"> </w:t>
      </w:r>
      <w:proofErr w:type="spellStart"/>
      <w:r>
        <w:rPr>
          <w:rFonts w:ascii="Calibri" w:eastAsia="Calibri" w:hAnsi="Calibri" w:cs="Calibri"/>
        </w:rPr>
        <w:t>Bahntransport</w:t>
      </w:r>
      <w:proofErr w:type="spellEnd"/>
      <w:r>
        <w:rPr>
          <w:rFonts w:ascii="Calibri" w:eastAsia="Calibri" w:hAnsi="Calibri" w:cs="Calibri"/>
        </w:rPr>
        <w:t xml:space="preserve"> </w:t>
      </w:r>
      <w:proofErr w:type="spellStart"/>
      <w:r>
        <w:rPr>
          <w:rFonts w:ascii="Calibri" w:eastAsia="Calibri" w:hAnsi="Calibri" w:cs="Calibri"/>
        </w:rPr>
        <w:t>realisiert</w:t>
      </w:r>
      <w:proofErr w:type="spellEnd"/>
      <w:r>
        <w:rPr>
          <w:rFonts w:ascii="Calibri" w:eastAsia="Calibri" w:hAnsi="Calibri" w:cs="Calibri"/>
        </w:rPr>
        <w:t xml:space="preserve"> </w:t>
      </w:r>
      <w:proofErr w:type="spellStart"/>
      <w:r>
        <w:rPr>
          <w:rFonts w:ascii="Calibri" w:eastAsia="Calibri" w:hAnsi="Calibri" w:cs="Calibri"/>
        </w:rPr>
        <w:t>wird</w:t>
      </w:r>
      <w:proofErr w:type="spellEnd"/>
      <w:r>
        <w:rPr>
          <w:rFonts w:ascii="Calibri" w:eastAsia="Calibri" w:hAnsi="Calibri" w:cs="Calibri"/>
        </w:rPr>
        <w:t xml:space="preserve">. Bei </w:t>
      </w:r>
      <w:proofErr w:type="spellStart"/>
      <w:r>
        <w:rPr>
          <w:rFonts w:ascii="Calibri" w:eastAsia="Calibri" w:hAnsi="Calibri" w:cs="Calibri"/>
        </w:rPr>
        <w:t>Waggonlieferungen</w:t>
      </w:r>
      <w:proofErr w:type="spellEnd"/>
      <w:r>
        <w:rPr>
          <w:rFonts w:ascii="Calibri" w:eastAsia="Calibri" w:hAnsi="Calibri" w:cs="Calibri"/>
        </w:rPr>
        <w:t xml:space="preserve"> </w:t>
      </w:r>
      <w:proofErr w:type="spellStart"/>
      <w:r>
        <w:rPr>
          <w:rFonts w:ascii="Calibri" w:eastAsia="Calibri" w:hAnsi="Calibri" w:cs="Calibri"/>
        </w:rPr>
        <w:t>wird</w:t>
      </w:r>
      <w:proofErr w:type="spellEnd"/>
      <w:r>
        <w:rPr>
          <w:rFonts w:ascii="Calibri" w:eastAsia="Calibri" w:hAnsi="Calibri" w:cs="Calibri"/>
        </w:rPr>
        <w:t xml:space="preserve"> fůr </w:t>
      </w:r>
      <w:proofErr w:type="spellStart"/>
      <w:r>
        <w:rPr>
          <w:rFonts w:ascii="Calibri" w:eastAsia="Calibri" w:hAnsi="Calibri" w:cs="Calibri"/>
        </w:rPr>
        <w:t>die</w:t>
      </w:r>
      <w:proofErr w:type="spellEnd"/>
      <w:r>
        <w:rPr>
          <w:rFonts w:ascii="Calibri" w:eastAsia="Calibri" w:hAnsi="Calibri" w:cs="Calibri"/>
        </w:rPr>
        <w:t xml:space="preserve"> </w:t>
      </w:r>
      <w:proofErr w:type="spellStart"/>
      <w:r>
        <w:rPr>
          <w:rFonts w:ascii="Calibri" w:eastAsia="Calibri" w:hAnsi="Calibri" w:cs="Calibri"/>
        </w:rPr>
        <w:t>gelieferten</w:t>
      </w:r>
      <w:proofErr w:type="spellEnd"/>
      <w:r>
        <w:rPr>
          <w:rFonts w:ascii="Calibri" w:eastAsia="Calibri" w:hAnsi="Calibri" w:cs="Calibri"/>
        </w:rPr>
        <w:t xml:space="preserve"> </w:t>
      </w:r>
      <w:proofErr w:type="spellStart"/>
      <w:r>
        <w:rPr>
          <w:rFonts w:ascii="Calibri" w:eastAsia="Calibri" w:hAnsi="Calibri" w:cs="Calibri"/>
        </w:rPr>
        <w:t>frn</w:t>
      </w:r>
      <w:proofErr w:type="spellEnd"/>
      <w:r>
        <w:rPr>
          <w:rFonts w:ascii="Calibri" w:eastAsia="Calibri" w:hAnsi="Calibri" w:cs="Calibri"/>
        </w:rPr>
        <w:t xml:space="preserve"> </w:t>
      </w:r>
      <w:proofErr w:type="spellStart"/>
      <w:r>
        <w:rPr>
          <w:rFonts w:ascii="Calibri" w:eastAsia="Calibri" w:hAnsi="Calibri" w:cs="Calibri"/>
        </w:rPr>
        <w:t>ein</w:t>
      </w:r>
      <w:proofErr w:type="spellEnd"/>
      <w:r>
        <w:rPr>
          <w:rFonts w:ascii="Calibri" w:eastAsia="Calibri" w:hAnsi="Calibri" w:cs="Calibri"/>
        </w:rPr>
        <w:t xml:space="preserve"> </w:t>
      </w:r>
      <w:proofErr w:type="spellStart"/>
      <w:r>
        <w:rPr>
          <w:rFonts w:ascii="Calibri" w:eastAsia="Calibri" w:hAnsi="Calibri" w:cs="Calibri"/>
        </w:rPr>
        <w:t>Pauschale</w:t>
      </w:r>
      <w:proofErr w:type="spellEnd"/>
      <w:r>
        <w:rPr>
          <w:rFonts w:ascii="Calibri" w:eastAsia="Calibri" w:hAnsi="Calibri" w:cs="Calibri"/>
        </w:rPr>
        <w:t xml:space="preserve"> in der </w:t>
      </w:r>
      <w:proofErr w:type="spellStart"/>
      <w:r>
        <w:rPr>
          <w:rFonts w:ascii="Calibri" w:eastAsia="Calibri" w:hAnsi="Calibri" w:cs="Calibri"/>
        </w:rPr>
        <w:t>Höhe</w:t>
      </w:r>
      <w:proofErr w:type="spellEnd"/>
      <w:r>
        <w:rPr>
          <w:rFonts w:ascii="Calibri" w:eastAsia="Calibri" w:hAnsi="Calibri" w:cs="Calibri"/>
        </w:rPr>
        <w:t xml:space="preserve"> von 0,Kc/m3 </w:t>
      </w:r>
      <w:proofErr w:type="spellStart"/>
      <w:r>
        <w:rPr>
          <w:rFonts w:ascii="Calibri" w:eastAsia="Calibri" w:hAnsi="Calibri" w:cs="Calibri"/>
        </w:rPr>
        <w:t>abgezogen</w:t>
      </w:r>
      <w:proofErr w:type="spellEnd"/>
      <w:r>
        <w:rPr>
          <w:rFonts w:ascii="Calibri" w:eastAsia="Calibri" w:hAnsi="Calibri" w:cs="Calibri"/>
        </w:rPr>
        <w:t xml:space="preserve">. Der </w:t>
      </w:r>
      <w:proofErr w:type="spellStart"/>
      <w:r>
        <w:rPr>
          <w:rFonts w:ascii="Calibri" w:eastAsia="Calibri" w:hAnsi="Calibri" w:cs="Calibri"/>
        </w:rPr>
        <w:t>Verkáufer</w:t>
      </w:r>
      <w:proofErr w:type="spellEnd"/>
      <w:r>
        <w:rPr>
          <w:rFonts w:ascii="Calibri" w:eastAsia="Calibri" w:hAnsi="Calibri" w:cs="Calibri"/>
        </w:rPr>
        <w:t xml:space="preserve"> </w:t>
      </w:r>
      <w:proofErr w:type="spellStart"/>
      <w:r>
        <w:rPr>
          <w:rFonts w:ascii="Calibri" w:eastAsia="Calibri" w:hAnsi="Calibri" w:cs="Calibri"/>
        </w:rPr>
        <w:t>stimmt</w:t>
      </w:r>
      <w:proofErr w:type="spellEnd"/>
      <w:r>
        <w:rPr>
          <w:rFonts w:ascii="Calibri" w:eastAsia="Calibri" w:hAnsi="Calibri" w:cs="Calibri"/>
        </w:rPr>
        <w:t xml:space="preserve"> </w:t>
      </w:r>
      <w:proofErr w:type="spellStart"/>
      <w:r>
        <w:rPr>
          <w:rFonts w:ascii="Calibri" w:eastAsia="Calibri" w:hAnsi="Calibri" w:cs="Calibri"/>
        </w:rPr>
        <w:t>zu</w:t>
      </w:r>
      <w:proofErr w:type="spellEnd"/>
      <w:r>
        <w:rPr>
          <w:rFonts w:ascii="Calibri" w:eastAsia="Calibri" w:hAnsi="Calibri" w:cs="Calibri"/>
        </w:rPr>
        <w:t xml:space="preserve">, </w:t>
      </w:r>
      <w:proofErr w:type="spellStart"/>
      <w:r>
        <w:rPr>
          <w:rFonts w:ascii="Calibri" w:eastAsia="Calibri" w:hAnsi="Calibri" w:cs="Calibri"/>
        </w:rPr>
        <w:t>dass</w:t>
      </w:r>
      <w:proofErr w:type="spellEnd"/>
      <w:r>
        <w:rPr>
          <w:rFonts w:ascii="Calibri" w:eastAsia="Calibri" w:hAnsi="Calibri" w:cs="Calibri"/>
        </w:rPr>
        <w:t xml:space="preserve"> der </w:t>
      </w:r>
      <w:proofErr w:type="spellStart"/>
      <w:r>
        <w:rPr>
          <w:rFonts w:ascii="Calibri" w:eastAsia="Calibri" w:hAnsi="Calibri" w:cs="Calibri"/>
        </w:rPr>
        <w:t>vereinbarte</w:t>
      </w:r>
      <w:proofErr w:type="spellEnd"/>
      <w:r>
        <w:rPr>
          <w:rFonts w:ascii="Calibri" w:eastAsia="Calibri" w:hAnsi="Calibri" w:cs="Calibri"/>
        </w:rPr>
        <w:t xml:space="preserve"> % </w:t>
      </w:r>
      <w:proofErr w:type="spellStart"/>
      <w:r>
        <w:rPr>
          <w:rFonts w:ascii="Calibri" w:eastAsia="Calibri" w:hAnsi="Calibri" w:cs="Calibri"/>
        </w:rPr>
        <w:t>Anteil</w:t>
      </w:r>
      <w:proofErr w:type="spellEnd"/>
      <w:r>
        <w:rPr>
          <w:rFonts w:ascii="Calibri" w:eastAsia="Calibri" w:hAnsi="Calibri" w:cs="Calibri"/>
        </w:rPr>
        <w:t xml:space="preserve"> von </w:t>
      </w:r>
      <w:proofErr w:type="spellStart"/>
      <w:r>
        <w:rPr>
          <w:rFonts w:ascii="Calibri" w:eastAsia="Calibri" w:hAnsi="Calibri" w:cs="Calibri"/>
        </w:rPr>
        <w:t>Bahnlieferungen</w:t>
      </w:r>
      <w:proofErr w:type="spellEnd"/>
      <w:r>
        <w:rPr>
          <w:rFonts w:ascii="Calibri" w:eastAsia="Calibri" w:hAnsi="Calibri" w:cs="Calibri"/>
        </w:rPr>
        <w:t xml:space="preserve"> </w:t>
      </w:r>
      <w:proofErr w:type="spellStart"/>
      <w:r>
        <w:rPr>
          <w:rFonts w:ascii="Calibri" w:eastAsia="Calibri" w:hAnsi="Calibri" w:cs="Calibri"/>
        </w:rPr>
        <w:t>erhöht</w:t>
      </w:r>
      <w:proofErr w:type="spellEnd"/>
      <w:r>
        <w:rPr>
          <w:rFonts w:ascii="Calibri" w:eastAsia="Calibri" w:hAnsi="Calibri" w:cs="Calibri"/>
        </w:rPr>
        <w:t xml:space="preserve"> </w:t>
      </w:r>
      <w:proofErr w:type="spellStart"/>
      <w:r>
        <w:rPr>
          <w:rFonts w:ascii="Calibri" w:eastAsia="Calibri" w:hAnsi="Calibri" w:cs="Calibri"/>
        </w:rPr>
        <w:t>werden</w:t>
      </w:r>
      <w:proofErr w:type="spellEnd"/>
      <w:r>
        <w:rPr>
          <w:rFonts w:ascii="Calibri" w:eastAsia="Calibri" w:hAnsi="Calibri" w:cs="Calibri"/>
        </w:rPr>
        <w:t xml:space="preserve"> kann, </w:t>
      </w:r>
      <w:proofErr w:type="spellStart"/>
      <w:r>
        <w:rPr>
          <w:rFonts w:ascii="Calibri" w:eastAsia="Calibri" w:hAnsi="Calibri" w:cs="Calibri"/>
        </w:rPr>
        <w:t>im</w:t>
      </w:r>
      <w:proofErr w:type="spellEnd"/>
      <w:r>
        <w:rPr>
          <w:rFonts w:ascii="Calibri" w:eastAsia="Calibri" w:hAnsi="Calibri" w:cs="Calibri"/>
        </w:rPr>
        <w:t xml:space="preserve"> </w:t>
      </w:r>
      <w:proofErr w:type="spellStart"/>
      <w:r>
        <w:rPr>
          <w:rFonts w:ascii="Calibri" w:eastAsia="Calibri" w:hAnsi="Calibri" w:cs="Calibri"/>
        </w:rPr>
        <w:t>Falle</w:t>
      </w:r>
      <w:proofErr w:type="spellEnd"/>
      <w:r>
        <w:rPr>
          <w:rFonts w:ascii="Calibri" w:eastAsia="Calibri" w:hAnsi="Calibri" w:cs="Calibri"/>
        </w:rPr>
        <w:t xml:space="preserve"> </w:t>
      </w:r>
      <w:proofErr w:type="spellStart"/>
      <w:r>
        <w:rPr>
          <w:rFonts w:ascii="Calibri" w:eastAsia="Calibri" w:hAnsi="Calibri" w:cs="Calibri"/>
        </w:rPr>
        <w:t>bei</w:t>
      </w:r>
      <w:proofErr w:type="spellEnd"/>
      <w:r>
        <w:rPr>
          <w:rFonts w:ascii="Calibri" w:eastAsia="Calibri" w:hAnsi="Calibri" w:cs="Calibri"/>
        </w:rPr>
        <w:t xml:space="preserve"> </w:t>
      </w:r>
      <w:proofErr w:type="spellStart"/>
      <w:r>
        <w:rPr>
          <w:rFonts w:ascii="Calibri" w:eastAsia="Calibri" w:hAnsi="Calibri" w:cs="Calibri"/>
        </w:rPr>
        <w:t>Nichteinhaltung</w:t>
      </w:r>
      <w:proofErr w:type="spellEnd"/>
      <w:r>
        <w:rPr>
          <w:rFonts w:ascii="Calibri" w:eastAsia="Calibri" w:hAnsi="Calibri" w:cs="Calibri"/>
        </w:rPr>
        <w:t xml:space="preserve"> der </w:t>
      </w:r>
      <w:proofErr w:type="spellStart"/>
      <w:r>
        <w:rPr>
          <w:rFonts w:ascii="Calibri" w:eastAsia="Calibri" w:hAnsi="Calibri" w:cs="Calibri"/>
        </w:rPr>
        <w:t>aliquoten</w:t>
      </w:r>
      <w:proofErr w:type="spellEnd"/>
      <w:r>
        <w:rPr>
          <w:rFonts w:ascii="Calibri" w:eastAsia="Calibri" w:hAnsi="Calibri" w:cs="Calibri"/>
        </w:rPr>
        <w:t xml:space="preserve"> </w:t>
      </w:r>
      <w:proofErr w:type="spellStart"/>
      <w:r>
        <w:rPr>
          <w:rFonts w:ascii="Calibri" w:eastAsia="Calibri" w:hAnsi="Calibri" w:cs="Calibri"/>
        </w:rPr>
        <w:t>Lieferungen</w:t>
      </w:r>
      <w:proofErr w:type="spellEnd"/>
      <w:r>
        <w:rPr>
          <w:rFonts w:ascii="Calibri" w:eastAsia="Calibri" w:hAnsi="Calibri" w:cs="Calibri"/>
        </w:rPr>
        <w:t>./</w:t>
      </w:r>
    </w:p>
    <w:p w:rsidR="002D6B63" w:rsidRDefault="007352C6" w:rsidP="001752D3">
      <w:pPr>
        <w:numPr>
          <w:ilvl w:val="0"/>
          <w:numId w:val="2"/>
        </w:numPr>
        <w:spacing w:after="67" w:line="240" w:lineRule="auto"/>
        <w:ind w:left="279" w:right="122" w:hanging="269"/>
        <w:contextualSpacing/>
      </w:pPr>
      <w:r>
        <w:t>Ukončení smlouvy: Tato smlouva zaniká uplynutím doby, na niž byla sjednána nebo dohodou smluvních stran nebo odstoupením od smlouvy kupujícím v případě opakovaného nebo podstatného porušení některé smluvní povinnosti prodávajícího z této smlouvy. Za po</w:t>
      </w:r>
      <w:r w:rsidR="001752D3">
        <w:t>d</w:t>
      </w:r>
      <w:r>
        <w:t xml:space="preserve">statné porušení této smlouvy prodávajícím se považuje zejména: a) nedodání sjednané kulatiny ve sjednaném množství a kvalitě a/nebo odchylka v množství či kvalitě dodané kulatiny větší než 20 % oproti smluveným podmínkám, b) prodlení prodávajícího s dodáním předmětu smlouvy nebo jeho části trvající déle než 14 dní. Tato smlouva může také zaniknout z důvodů uvedených v bodě 10 platných Technických, fakturačních a přepravních podmínkách </w:t>
      </w:r>
      <w:proofErr w:type="spellStart"/>
      <w:r>
        <w:t>Wood</w:t>
      </w:r>
      <w:proofErr w:type="spellEnd"/>
      <w:r>
        <w:t xml:space="preserve"> &amp; </w:t>
      </w:r>
      <w:proofErr w:type="spellStart"/>
      <w:r>
        <w:t>Paper</w:t>
      </w:r>
      <w:proofErr w:type="spellEnd"/>
      <w:r>
        <w:t>.</w:t>
      </w:r>
    </w:p>
    <w:p w:rsidR="002D6B63" w:rsidRDefault="007352C6" w:rsidP="001752D3">
      <w:pPr>
        <w:numPr>
          <w:ilvl w:val="0"/>
          <w:numId w:val="2"/>
        </w:numPr>
        <w:spacing w:after="102" w:line="240" w:lineRule="auto"/>
        <w:ind w:left="279" w:right="122" w:hanging="269"/>
        <w:contextualSpacing/>
      </w:pPr>
      <w:r>
        <w:t>Obchodní tajemství: 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S 504 občanského zákoníku, není-li stanoveno jinak. WOOD &amp;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V případě,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Kč.</w:t>
      </w:r>
    </w:p>
    <w:p w:rsidR="002D6B63" w:rsidRDefault="007352C6" w:rsidP="001752D3">
      <w:pPr>
        <w:numPr>
          <w:ilvl w:val="0"/>
          <w:numId w:val="2"/>
        </w:numPr>
        <w:spacing w:after="144" w:line="240" w:lineRule="auto"/>
        <w:ind w:left="279" w:right="122" w:hanging="269"/>
        <w:contextualSpacing/>
      </w:pPr>
      <w:r>
        <w:t xml:space="preserve">Příloha a nedílná součást této kupní smlouvy: Smluvní strany se dohodly, že přílohou a nedílnou součástí této smlouvy jsou obchodní podmínky kupujícího Technické, fakturační a přepravní podmínky </w:t>
      </w:r>
      <w:proofErr w:type="spellStart"/>
      <w:r>
        <w:t>Wood</w:t>
      </w:r>
      <w:proofErr w:type="spellEnd"/>
      <w:r>
        <w:t xml:space="preserve"> &amp; </w:t>
      </w:r>
      <w:proofErr w:type="spellStart"/>
      <w:r>
        <w:t>Paper</w:t>
      </w:r>
      <w:proofErr w:type="spellEnd"/>
      <w:r>
        <w:t xml:space="preserve">, platné pro l. Q 2019 (v této kupní smlouvě označené též jako „platné Technické, fakturační a přepravní podmínky </w:t>
      </w:r>
      <w:proofErr w:type="spellStart"/>
      <w:r>
        <w:t>Wood</w:t>
      </w:r>
      <w:proofErr w:type="spellEnd"/>
      <w:r>
        <w:t xml:space="preserve"> &amp; </w:t>
      </w:r>
      <w:proofErr w:type="spellStart"/>
      <w:r>
        <w:t>Paper</w:t>
      </w:r>
      <w:proofErr w:type="spellEnd"/>
      <w:r>
        <w:t xml:space="preserve">”).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r>
        <w:rPr>
          <w:u w:val="single" w:color="000000"/>
        </w:rPr>
        <w:t>www.wood-paper.cz</w:t>
      </w:r>
      <w:r>
        <w:t>. Prodávající prohlašuje a podpisem této smlouvy potvrzuje, že tyto podmínky před uzavřením této kupní smlouvy převzal, podrobně se s nimi seznámil, ujednáním rozumí a souhlasí s nimi a tyto podmínky bez výhrad akceptuje. V případě rozporu mezi touto kupní smlouvou a těmito podmínkami má přednost tato smlouva.</w:t>
      </w:r>
    </w:p>
    <w:p w:rsidR="002D6B63" w:rsidRDefault="007352C6" w:rsidP="001752D3">
      <w:pPr>
        <w:numPr>
          <w:ilvl w:val="0"/>
          <w:numId w:val="2"/>
        </w:numPr>
        <w:spacing w:after="666" w:line="240" w:lineRule="auto"/>
        <w:ind w:left="279" w:right="122" w:hanging="269"/>
        <w:contextualSpacing/>
      </w:pPr>
      <w:r>
        <w:t>Závěrečná ustanovení: Tato smlouva je vyhotovena ve dvou stejnopisech, z nichž každá smluvní strana obdrží po jednom. Tato smlouva může být měněna pouze písemnými dodatky. Tato smlouva se řídí právem České republiky, zejména občanským zákoníkem. Smluvní strany vylučují aplikaci S 1799 a 1800 občanského zákoníku. K rozhodování sporů z této smlouvy je příslušný obecný soud kupujícího v České republice.</w:t>
      </w:r>
    </w:p>
    <w:p w:rsidR="001752D3" w:rsidRDefault="001752D3" w:rsidP="001752D3">
      <w:pPr>
        <w:spacing w:after="666" w:line="240" w:lineRule="auto"/>
        <w:ind w:right="122"/>
        <w:contextualSpacing/>
      </w:pPr>
    </w:p>
    <w:p w:rsidR="001752D3" w:rsidRDefault="001752D3" w:rsidP="001752D3">
      <w:pPr>
        <w:spacing w:after="666" w:line="240" w:lineRule="auto"/>
        <w:ind w:right="122"/>
        <w:contextualSpacing/>
      </w:pPr>
      <w:r>
        <w:t>Trutnov dne 17. 1. 2019</w:t>
      </w:r>
      <w:r>
        <w:tab/>
      </w:r>
      <w:r>
        <w:tab/>
      </w:r>
      <w:r>
        <w:tab/>
      </w:r>
      <w:r>
        <w:tab/>
      </w:r>
      <w:r>
        <w:tab/>
      </w:r>
      <w:r>
        <w:tab/>
        <w:t>Hlína dne 1. ledna 2019</w:t>
      </w:r>
    </w:p>
    <w:p w:rsidR="001752D3" w:rsidRDefault="001752D3" w:rsidP="001752D3">
      <w:pPr>
        <w:spacing w:after="0" w:line="259" w:lineRule="auto"/>
        <w:ind w:right="0" w:firstLine="0"/>
        <w:rPr>
          <w:rFonts w:ascii="Calibri" w:eastAsia="Calibri" w:hAnsi="Calibri" w:cs="Calibri"/>
          <w:sz w:val="20"/>
        </w:rPr>
      </w:pPr>
      <w:r>
        <w:rPr>
          <w:rFonts w:ascii="Calibri" w:eastAsia="Calibri" w:hAnsi="Calibri" w:cs="Calibri"/>
          <w:sz w:val="20"/>
        </w:rPr>
        <w:t>Razítko a podpis prodávajícího</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Razítko a podpis kupujícího</w:t>
      </w:r>
    </w:p>
    <w:p w:rsidR="001752D3" w:rsidRDefault="001752D3">
      <w:pPr>
        <w:spacing w:after="0" w:line="259" w:lineRule="auto"/>
        <w:ind w:right="0" w:firstLine="0"/>
        <w:jc w:val="right"/>
        <w:rPr>
          <w:rFonts w:ascii="Calibri" w:eastAsia="Calibri" w:hAnsi="Calibri" w:cs="Calibri"/>
          <w:sz w:val="20"/>
        </w:rPr>
      </w:pPr>
    </w:p>
    <w:p w:rsidR="002D6B63" w:rsidRPr="001752D3" w:rsidRDefault="002D6B63" w:rsidP="001752D3">
      <w:pPr>
        <w:spacing w:after="0" w:line="259" w:lineRule="auto"/>
        <w:ind w:right="0" w:firstLine="0"/>
        <w:jc w:val="center"/>
        <w:rPr>
          <w:b/>
        </w:rPr>
      </w:pPr>
    </w:p>
    <w:p w:rsidR="002D6B63" w:rsidRPr="001752D3" w:rsidRDefault="007352C6" w:rsidP="001752D3">
      <w:pPr>
        <w:pStyle w:val="Nadpis2"/>
        <w:ind w:left="0" w:right="91"/>
        <w:jc w:val="center"/>
        <w:rPr>
          <w:b/>
          <w:sz w:val="18"/>
          <w:szCs w:val="18"/>
        </w:rPr>
      </w:pPr>
      <w:r w:rsidRPr="001752D3">
        <w:rPr>
          <w:rFonts w:ascii="Times New Roman" w:eastAsia="Times New Roman" w:hAnsi="Times New Roman" w:cs="Times New Roman"/>
          <w:b/>
          <w:sz w:val="18"/>
          <w:szCs w:val="18"/>
        </w:rPr>
        <w:t xml:space="preserve">Technické, fakturační a přepravní podmínky </w:t>
      </w:r>
      <w:proofErr w:type="spellStart"/>
      <w:r w:rsidRPr="001752D3">
        <w:rPr>
          <w:rFonts w:ascii="Times New Roman" w:eastAsia="Times New Roman" w:hAnsi="Times New Roman" w:cs="Times New Roman"/>
          <w:b/>
          <w:sz w:val="18"/>
          <w:szCs w:val="18"/>
        </w:rPr>
        <w:t>Wood</w:t>
      </w:r>
      <w:proofErr w:type="spellEnd"/>
      <w:r w:rsidRPr="001752D3">
        <w:rPr>
          <w:rFonts w:ascii="Times New Roman" w:eastAsia="Times New Roman" w:hAnsi="Times New Roman" w:cs="Times New Roman"/>
          <w:b/>
          <w:sz w:val="18"/>
          <w:szCs w:val="18"/>
        </w:rPr>
        <w:t xml:space="preserve"> &amp; </w:t>
      </w:r>
      <w:proofErr w:type="spellStart"/>
      <w:r w:rsidRPr="001752D3">
        <w:rPr>
          <w:rFonts w:ascii="Times New Roman" w:eastAsia="Times New Roman" w:hAnsi="Times New Roman" w:cs="Times New Roman"/>
          <w:b/>
          <w:sz w:val="18"/>
          <w:szCs w:val="18"/>
        </w:rPr>
        <w:t>Paper</w:t>
      </w:r>
      <w:proofErr w:type="spellEnd"/>
    </w:p>
    <w:p w:rsidR="001752D3" w:rsidRPr="001752D3" w:rsidRDefault="007352C6" w:rsidP="001752D3">
      <w:pPr>
        <w:spacing w:after="77" w:line="249" w:lineRule="auto"/>
        <w:ind w:left="259" w:right="2126" w:firstLine="1862"/>
        <w:jc w:val="center"/>
        <w:rPr>
          <w:sz w:val="18"/>
          <w:szCs w:val="18"/>
        </w:rPr>
      </w:pPr>
      <w:r w:rsidRPr="001752D3">
        <w:rPr>
          <w:sz w:val="18"/>
          <w:szCs w:val="18"/>
        </w:rPr>
        <w:t xml:space="preserve">nedílná součást kupní smlouvy na kulaté dříví l. Q 2019 Hl </w:t>
      </w:r>
      <w:proofErr w:type="spellStart"/>
      <w:r w:rsidRPr="001752D3">
        <w:rPr>
          <w:sz w:val="18"/>
          <w:szCs w:val="18"/>
        </w:rPr>
        <w:t>Maresch</w:t>
      </w:r>
      <w:proofErr w:type="spellEnd"/>
      <w:r w:rsidRPr="001752D3">
        <w:rPr>
          <w:sz w:val="18"/>
          <w:szCs w:val="18"/>
        </w:rPr>
        <w:t xml:space="preserve"> závod </w:t>
      </w:r>
      <w:proofErr w:type="spellStart"/>
      <w:r w:rsidR="001752D3" w:rsidRPr="001752D3">
        <w:rPr>
          <w:sz w:val="18"/>
          <w:szCs w:val="18"/>
        </w:rPr>
        <w:t>Retz</w:t>
      </w:r>
      <w:proofErr w:type="spellEnd"/>
      <w:r w:rsidRPr="001752D3">
        <w:rPr>
          <w:sz w:val="18"/>
          <w:szCs w:val="18"/>
        </w:rPr>
        <w:t xml:space="preserve"> </w:t>
      </w:r>
    </w:p>
    <w:p w:rsidR="002D6B63" w:rsidRDefault="007352C6" w:rsidP="001752D3">
      <w:pPr>
        <w:spacing w:after="77" w:line="249" w:lineRule="auto"/>
        <w:ind w:right="2126"/>
      </w:pPr>
      <w:r>
        <w:rPr>
          <w:sz w:val="20"/>
        </w:rPr>
        <w:t>1)</w:t>
      </w:r>
      <w:r>
        <w:rPr>
          <w:sz w:val="20"/>
        </w:rPr>
        <w:tab/>
      </w:r>
      <w:r>
        <w:rPr>
          <w:sz w:val="20"/>
          <w:u w:val="single" w:color="000000"/>
        </w:rPr>
        <w:t>Specifické požadavky:</w:t>
      </w:r>
    </w:p>
    <w:p w:rsidR="002D6B63" w:rsidRDefault="007352C6">
      <w:pPr>
        <w:numPr>
          <w:ilvl w:val="0"/>
          <w:numId w:val="3"/>
        </w:numPr>
        <w:ind w:right="194" w:hanging="350"/>
      </w:pPr>
      <w:r>
        <w:t>kvalitativní požadavky podle „Rakouských uzancí v obchodu s dřívím 1973".</w:t>
      </w:r>
    </w:p>
    <w:p w:rsidR="002D6B63" w:rsidRDefault="007352C6">
      <w:pPr>
        <w:numPr>
          <w:ilvl w:val="1"/>
          <w:numId w:val="3"/>
        </w:numPr>
        <w:ind w:right="388" w:hanging="341"/>
      </w:pPr>
      <w:r>
        <w:t xml:space="preserve">čerstvá, zdravá a rovná hmota, dobře odvětvená, bez zabarvení. V případě znečištění řezné plochy (čep, čelo) kamen, písek, bláto bude účtována srážka — </w:t>
      </w:r>
      <w:r w:rsidRPr="001752D3">
        <w:rPr>
          <w:highlight w:val="black"/>
        </w:rPr>
        <w:t>270</w:t>
      </w:r>
      <w:r>
        <w:t>CZK/m3 (všechny sortimenty), extrémně znečištěné kusy mohou být přejímáno jako Br.</w:t>
      </w:r>
    </w:p>
    <w:p w:rsidR="002D6B63" w:rsidRDefault="007352C6">
      <w:pPr>
        <w:numPr>
          <w:ilvl w:val="0"/>
          <w:numId w:val="3"/>
        </w:numPr>
        <w:spacing w:after="78" w:line="248" w:lineRule="auto"/>
        <w:ind w:right="194" w:hanging="350"/>
      </w:pPr>
      <w:r>
        <w:t>průmyslové výřezy jehličnaté SMRK do stanice RETZ:</w:t>
      </w:r>
    </w:p>
    <w:p w:rsidR="002D6B63" w:rsidRDefault="007352C6">
      <w:pPr>
        <w:numPr>
          <w:ilvl w:val="1"/>
          <w:numId w:val="3"/>
        </w:numPr>
        <w:spacing w:after="66"/>
        <w:ind w:right="388" w:hanging="341"/>
      </w:pPr>
      <w:r>
        <w:t xml:space="preserve">výřezy 4m, (5m) minimální čep 17 cm+ na tenčím konci bez kůry </w:t>
      </w:r>
      <w:r>
        <w:rPr>
          <w:noProof/>
        </w:rPr>
        <w:drawing>
          <wp:inline distT="0" distB="0" distL="0" distR="0">
            <wp:extent cx="39624" cy="39630"/>
            <wp:effectExtent l="0" t="0" r="0" b="0"/>
            <wp:docPr id="21521" name="Picture 21521"/>
            <wp:cNvGraphicFramePr/>
            <a:graphic xmlns:a="http://schemas.openxmlformats.org/drawingml/2006/main">
              <a:graphicData uri="http://schemas.openxmlformats.org/drawingml/2006/picture">
                <pic:pic xmlns:pic="http://schemas.openxmlformats.org/drawingml/2006/picture">
                  <pic:nvPicPr>
                    <pic:cNvPr id="21521" name="Picture 21521"/>
                    <pic:cNvPicPr/>
                  </pic:nvPicPr>
                  <pic:blipFill>
                    <a:blip r:embed="rId11"/>
                    <a:stretch>
                      <a:fillRect/>
                    </a:stretch>
                  </pic:blipFill>
                  <pic:spPr>
                    <a:xfrm>
                      <a:off x="0" y="0"/>
                      <a:ext cx="39624" cy="39630"/>
                    </a:xfrm>
                    <a:prstGeom prst="rect">
                      <a:avLst/>
                    </a:prstGeom>
                  </pic:spPr>
                </pic:pic>
              </a:graphicData>
            </a:graphic>
          </wp:inline>
        </w:drawing>
      </w:r>
      <w:r>
        <w:t xml:space="preserve"> max. středová tloušťka je 59 cm </w:t>
      </w:r>
      <w:proofErr w:type="spellStart"/>
      <w:r>
        <w:t>b.k</w:t>
      </w:r>
      <w:proofErr w:type="spellEnd"/>
      <w:r>
        <w:t xml:space="preserve">., u celých délek je to maximální středová tloušťka 4 nebo 5 m výřezu po manipulaci, </w:t>
      </w:r>
      <w:r>
        <w:rPr>
          <w:noProof/>
        </w:rPr>
        <w:drawing>
          <wp:inline distT="0" distB="0" distL="0" distR="0">
            <wp:extent cx="42672" cy="42678"/>
            <wp:effectExtent l="0" t="0" r="0" b="0"/>
            <wp:docPr id="21522" name="Picture 21522"/>
            <wp:cNvGraphicFramePr/>
            <a:graphic xmlns:a="http://schemas.openxmlformats.org/drawingml/2006/main">
              <a:graphicData uri="http://schemas.openxmlformats.org/drawingml/2006/picture">
                <pic:pic xmlns:pic="http://schemas.openxmlformats.org/drawingml/2006/picture">
                  <pic:nvPicPr>
                    <pic:cNvPr id="21522" name="Picture 21522"/>
                    <pic:cNvPicPr/>
                  </pic:nvPicPr>
                  <pic:blipFill>
                    <a:blip r:embed="rId12"/>
                    <a:stretch>
                      <a:fillRect/>
                    </a:stretch>
                  </pic:blipFill>
                  <pic:spPr>
                    <a:xfrm>
                      <a:off x="0" y="0"/>
                      <a:ext cx="42672" cy="42678"/>
                    </a:xfrm>
                    <a:prstGeom prst="rect">
                      <a:avLst/>
                    </a:prstGeom>
                  </pic:spPr>
                </pic:pic>
              </a:graphicData>
            </a:graphic>
          </wp:inline>
        </w:drawing>
      </w:r>
      <w:r>
        <w:t xml:space="preserve"> dlouhé dříví SM lze dodávat v těchto délkách: 8, 9, IO, 12, 13 a 14 m, min. čep 17cm </w:t>
      </w:r>
      <w:proofErr w:type="spellStart"/>
      <w:r>
        <w:t>b.k</w:t>
      </w:r>
      <w:proofErr w:type="spellEnd"/>
      <w:r>
        <w:t xml:space="preserve">. nejtenčího kusu, nadměrek nejméně 3 96, ne délka 11 m. V případě dlouhého dříví: délka 8 až 14 m, kdy bude čep menší jak 17cm </w:t>
      </w:r>
      <w:proofErr w:type="spellStart"/>
      <w:r>
        <w:t>b.k</w:t>
      </w:r>
      <w:proofErr w:type="spellEnd"/>
      <w:r>
        <w:t>. nejtenčího kusu, budou tyto kusy fakturované za cenu vlákniny.</w:t>
      </w:r>
    </w:p>
    <w:p w:rsidR="002D6B63" w:rsidRDefault="007352C6">
      <w:pPr>
        <w:numPr>
          <w:ilvl w:val="1"/>
          <w:numId w:val="3"/>
        </w:numPr>
        <w:spacing w:after="153" w:line="248" w:lineRule="auto"/>
        <w:ind w:right="388" w:hanging="341"/>
      </w:pPr>
      <w:r>
        <w:t>3m SM výřezy na smlouvu 85 je možno dodávat jako souběh do 3% z dodaného množství (hodnoceno na konci kvartálu)</w:t>
      </w:r>
    </w:p>
    <w:p w:rsidR="002D6B63" w:rsidRDefault="007352C6">
      <w:pPr>
        <w:numPr>
          <w:ilvl w:val="1"/>
          <w:numId w:val="3"/>
        </w:numPr>
        <w:ind w:right="388" w:hanging="341"/>
      </w:pPr>
      <w:r>
        <w:t xml:space="preserve">Výřezy SM v tloušťkových stupních 4a + v délce 5m budou fakturovány jako </w:t>
      </w:r>
      <w:proofErr w:type="spellStart"/>
      <w:r>
        <w:t>cx</w:t>
      </w:r>
      <w:proofErr w:type="spellEnd"/>
      <w:r>
        <w:t>.</w:t>
      </w:r>
    </w:p>
    <w:p w:rsidR="002D6B63" w:rsidRDefault="007352C6">
      <w:pPr>
        <w:spacing w:after="48" w:line="248" w:lineRule="auto"/>
        <w:ind w:left="2088" w:right="1574" w:hanging="946"/>
      </w:pPr>
      <w:r>
        <w:t xml:space="preserve">C. průmyslové výřezy jehličnaté BOROVICE — pouze výřezy 4 ml - pouze 1. a 4. kvartál (dle platné kvartální smlouvy) </w:t>
      </w:r>
      <w:r>
        <w:rPr>
          <w:noProof/>
        </w:rPr>
        <w:drawing>
          <wp:inline distT="0" distB="0" distL="0" distR="0">
            <wp:extent cx="39624" cy="36581"/>
            <wp:effectExtent l="0" t="0" r="0" b="0"/>
            <wp:docPr id="21524" name="Picture 21524"/>
            <wp:cNvGraphicFramePr/>
            <a:graphic xmlns:a="http://schemas.openxmlformats.org/drawingml/2006/main">
              <a:graphicData uri="http://schemas.openxmlformats.org/drawingml/2006/picture">
                <pic:pic xmlns:pic="http://schemas.openxmlformats.org/drawingml/2006/picture">
                  <pic:nvPicPr>
                    <pic:cNvPr id="21524" name="Picture 21524"/>
                    <pic:cNvPicPr/>
                  </pic:nvPicPr>
                  <pic:blipFill>
                    <a:blip r:embed="rId13"/>
                    <a:stretch>
                      <a:fillRect/>
                    </a:stretch>
                  </pic:blipFill>
                  <pic:spPr>
                    <a:xfrm>
                      <a:off x="0" y="0"/>
                      <a:ext cx="39624" cy="36581"/>
                    </a:xfrm>
                    <a:prstGeom prst="rect">
                      <a:avLst/>
                    </a:prstGeom>
                  </pic:spPr>
                </pic:pic>
              </a:graphicData>
            </a:graphic>
          </wp:inline>
        </w:drawing>
      </w:r>
      <w:r>
        <w:t xml:space="preserve"> </w:t>
      </w:r>
      <w:r w:rsidR="001752D3">
        <w:t xml:space="preserve">               </w:t>
      </w:r>
      <w:r>
        <w:t xml:space="preserve">čep 17 cm+ na slabším konci bez kůry, max. střed. tloušťka 59cm </w:t>
      </w:r>
      <w:proofErr w:type="spellStart"/>
      <w:r>
        <w:t>b.k</w:t>
      </w:r>
      <w:proofErr w:type="spellEnd"/>
      <w:r>
        <w:t>,</w:t>
      </w:r>
    </w:p>
    <w:p w:rsidR="002D6B63" w:rsidRDefault="007352C6">
      <w:pPr>
        <w:ind w:left="2131" w:right="2986"/>
      </w:pPr>
      <w:r>
        <w:t xml:space="preserve">• </w:t>
      </w:r>
      <w:r>
        <w:tab/>
        <w:t xml:space="preserve">výřezy Borovice jiné délky než 4m budou fakturovány za ceny vlákniny </w:t>
      </w:r>
      <w:r>
        <w:rPr>
          <w:noProof/>
        </w:rPr>
        <w:drawing>
          <wp:inline distT="0" distB="0" distL="0" distR="0">
            <wp:extent cx="39624" cy="39629"/>
            <wp:effectExtent l="0" t="0" r="0" b="0"/>
            <wp:docPr id="21525" name="Picture 21525"/>
            <wp:cNvGraphicFramePr/>
            <a:graphic xmlns:a="http://schemas.openxmlformats.org/drawingml/2006/main">
              <a:graphicData uri="http://schemas.openxmlformats.org/drawingml/2006/picture">
                <pic:pic xmlns:pic="http://schemas.openxmlformats.org/drawingml/2006/picture">
                  <pic:nvPicPr>
                    <pic:cNvPr id="21525" name="Picture 21525"/>
                    <pic:cNvPicPr/>
                  </pic:nvPicPr>
                  <pic:blipFill>
                    <a:blip r:embed="rId14"/>
                    <a:stretch>
                      <a:fillRect/>
                    </a:stretch>
                  </pic:blipFill>
                  <pic:spPr>
                    <a:xfrm>
                      <a:off x="0" y="0"/>
                      <a:ext cx="39624" cy="39629"/>
                    </a:xfrm>
                    <a:prstGeom prst="rect">
                      <a:avLst/>
                    </a:prstGeom>
                  </pic:spPr>
                </pic:pic>
              </a:graphicData>
            </a:graphic>
          </wp:inline>
        </w:drawing>
      </w:r>
      <w:r>
        <w:tab/>
        <w:t>hmotu nelze dodávat v celých délkách!</w:t>
      </w:r>
    </w:p>
    <w:p w:rsidR="002D6B63" w:rsidRDefault="007352C6">
      <w:pPr>
        <w:numPr>
          <w:ilvl w:val="0"/>
          <w:numId w:val="4"/>
        </w:numPr>
        <w:spacing w:after="12" w:line="248" w:lineRule="auto"/>
        <w:ind w:right="0" w:hanging="360"/>
      </w:pPr>
      <w:r>
        <w:t>průmyslové výřezy jehličnaté MODŘÍN do stanice RETZ</w:t>
      </w:r>
    </w:p>
    <w:p w:rsidR="002D6B63" w:rsidRDefault="007352C6">
      <w:pPr>
        <w:numPr>
          <w:ilvl w:val="2"/>
          <w:numId w:val="5"/>
        </w:numPr>
        <w:ind w:right="986"/>
      </w:pPr>
      <w:r>
        <w:t>MD pouze výřezy 4 a 5m, ne dlouhé dříví</w:t>
      </w:r>
    </w:p>
    <w:p w:rsidR="002D6B63" w:rsidRDefault="007352C6">
      <w:pPr>
        <w:numPr>
          <w:ilvl w:val="2"/>
          <w:numId w:val="5"/>
        </w:numPr>
        <w:spacing w:after="49"/>
        <w:ind w:right="986"/>
      </w:pPr>
      <w:r>
        <w:t xml:space="preserve">výřezy jiných délek než 4 a 5m budou fakturovány za cenu vlákniny dle platné cenové matice </w:t>
      </w:r>
      <w:r>
        <w:rPr>
          <w:noProof/>
        </w:rPr>
        <w:drawing>
          <wp:inline distT="0" distB="0" distL="0" distR="0">
            <wp:extent cx="39624" cy="39630"/>
            <wp:effectExtent l="0" t="0" r="0" b="0"/>
            <wp:docPr id="21526" name="Picture 21526"/>
            <wp:cNvGraphicFramePr/>
            <a:graphic xmlns:a="http://schemas.openxmlformats.org/drawingml/2006/main">
              <a:graphicData uri="http://schemas.openxmlformats.org/drawingml/2006/picture">
                <pic:pic xmlns:pic="http://schemas.openxmlformats.org/drawingml/2006/picture">
                  <pic:nvPicPr>
                    <pic:cNvPr id="21526" name="Picture 21526"/>
                    <pic:cNvPicPr/>
                  </pic:nvPicPr>
                  <pic:blipFill>
                    <a:blip r:embed="rId15"/>
                    <a:stretch>
                      <a:fillRect/>
                    </a:stretch>
                  </pic:blipFill>
                  <pic:spPr>
                    <a:xfrm>
                      <a:off x="0" y="0"/>
                      <a:ext cx="39624" cy="39630"/>
                    </a:xfrm>
                    <a:prstGeom prst="rect">
                      <a:avLst/>
                    </a:prstGeom>
                  </pic:spPr>
                </pic:pic>
              </a:graphicData>
            </a:graphic>
          </wp:inline>
        </w:drawing>
      </w:r>
      <w:r>
        <w:t xml:space="preserve"> ostatní dle kvartální kupní smlouvy</w:t>
      </w:r>
    </w:p>
    <w:p w:rsidR="002D6B63" w:rsidRDefault="007352C6">
      <w:pPr>
        <w:numPr>
          <w:ilvl w:val="0"/>
          <w:numId w:val="4"/>
        </w:numPr>
        <w:ind w:right="0" w:hanging="360"/>
      </w:pPr>
      <w:r>
        <w:t xml:space="preserve">průmyslové výřezy jehličnaté JEDLE v kvalitách AB/C — budou fakturovány se srážkou </w:t>
      </w:r>
      <w:r w:rsidRPr="001752D3">
        <w:rPr>
          <w:highlight w:val="black"/>
        </w:rPr>
        <w:t>250</w:t>
      </w:r>
      <w:r>
        <w:t>,-Kč z platné cenové matice smrku (85)</w:t>
      </w:r>
    </w:p>
    <w:p w:rsidR="002D6B63" w:rsidRDefault="007352C6">
      <w:pPr>
        <w:numPr>
          <w:ilvl w:val="0"/>
          <w:numId w:val="4"/>
        </w:numPr>
        <w:spacing w:after="12" w:line="248" w:lineRule="auto"/>
        <w:ind w:right="0" w:hanging="360"/>
      </w:pPr>
      <w:r>
        <w:t>Srážky:</w:t>
      </w:r>
    </w:p>
    <w:p w:rsidR="002D6B63" w:rsidRDefault="007352C6">
      <w:pPr>
        <w:numPr>
          <w:ilvl w:val="1"/>
          <w:numId w:val="4"/>
        </w:numPr>
        <w:spacing w:after="40"/>
        <w:ind w:right="388"/>
      </w:pPr>
      <w:r>
        <w:t xml:space="preserve">Smrk — dlouhé dříví (8, 9, 10, 12m) bude fakturován s paušální srážkou na manipulaci — </w:t>
      </w:r>
      <w:r w:rsidRPr="001752D3">
        <w:rPr>
          <w:highlight w:val="black"/>
        </w:rPr>
        <w:t>50</w:t>
      </w:r>
      <w:r>
        <w:t>CZK/m3 (</w:t>
      </w:r>
      <w:r w:rsidRPr="001752D3">
        <w:rPr>
          <w:highlight w:val="black"/>
        </w:rPr>
        <w:t>2</w:t>
      </w:r>
      <w:r>
        <w:t>EUR/m3) z cen dle platné cenové matice.</w:t>
      </w:r>
    </w:p>
    <w:p w:rsidR="002D6B63" w:rsidRDefault="007352C6">
      <w:pPr>
        <w:numPr>
          <w:ilvl w:val="1"/>
          <w:numId w:val="4"/>
        </w:numPr>
        <w:spacing w:after="12" w:line="248" w:lineRule="auto"/>
        <w:ind w:right="388"/>
      </w:pPr>
      <w:r>
        <w:t xml:space="preserve">Přesílená hmota SM, JD, BO, MD - 59cm </w:t>
      </w:r>
      <w:proofErr w:type="spellStart"/>
      <w:r>
        <w:t>b.k</w:t>
      </w:r>
      <w:proofErr w:type="spellEnd"/>
      <w:r>
        <w:t>. + bude fakturována jako vláknina</w:t>
      </w:r>
    </w:p>
    <w:p w:rsidR="002D6B63" w:rsidRDefault="007352C6">
      <w:pPr>
        <w:numPr>
          <w:ilvl w:val="1"/>
          <w:numId w:val="4"/>
        </w:numPr>
        <w:ind w:right="388"/>
      </w:pPr>
      <w:r>
        <w:t>Výřezy SM 3m — max. do 3% z dodaného množství, v případě překročení (vyhodnoceno na konci kvartálu) bude dříví nad rámec 3% fakturováno: kvalita AB/</w:t>
      </w:r>
      <w:proofErr w:type="spellStart"/>
      <w:r>
        <w:t>Cjako</w:t>
      </w:r>
      <w:proofErr w:type="spellEnd"/>
      <w:r>
        <w:t xml:space="preserve"> </w:t>
      </w:r>
      <w:proofErr w:type="spellStart"/>
      <w:r>
        <w:t>Cx</w:t>
      </w:r>
      <w:proofErr w:type="spellEnd"/>
      <w:r>
        <w:t xml:space="preserve">-Br, kvalita </w:t>
      </w:r>
      <w:proofErr w:type="spellStart"/>
      <w:r>
        <w:t>Cx</w:t>
      </w:r>
      <w:proofErr w:type="spellEnd"/>
      <w:r>
        <w:t>-Br, KH jako vláknina.</w:t>
      </w:r>
    </w:p>
    <w:p w:rsidR="002D6B63" w:rsidRDefault="007352C6">
      <w:pPr>
        <w:numPr>
          <w:ilvl w:val="1"/>
          <w:numId w:val="4"/>
        </w:numPr>
        <w:ind w:right="388"/>
      </w:pPr>
      <w:r>
        <w:t>Dříví s obsahem kovu cena vlákniny dle cenové matice</w:t>
      </w:r>
    </w:p>
    <w:p w:rsidR="002D6B63" w:rsidRDefault="007352C6">
      <w:pPr>
        <w:numPr>
          <w:ilvl w:val="1"/>
          <w:numId w:val="4"/>
        </w:numPr>
        <w:spacing w:after="12" w:line="248" w:lineRule="auto"/>
        <w:ind w:right="388"/>
      </w:pPr>
      <w:r>
        <w:t>Špinavé dříví — srážka -</w:t>
      </w:r>
      <w:r w:rsidRPr="001752D3">
        <w:rPr>
          <w:highlight w:val="black"/>
        </w:rPr>
        <w:t>270</w:t>
      </w:r>
      <w:r>
        <w:t xml:space="preserve">CZK/m3 nebo </w:t>
      </w:r>
      <w:r w:rsidR="001752D3" w:rsidRPr="001752D3">
        <w:rPr>
          <w:highlight w:val="black"/>
        </w:rPr>
        <w:t>O</w:t>
      </w:r>
      <w:r w:rsidRPr="001752D3">
        <w:rPr>
          <w:highlight w:val="black"/>
        </w:rPr>
        <w:t>I</w:t>
      </w:r>
      <w:r>
        <w:t>EUR/m3</w:t>
      </w:r>
    </w:p>
    <w:p w:rsidR="002D6B63" w:rsidRDefault="007352C6">
      <w:pPr>
        <w:ind w:left="1526" w:right="388"/>
      </w:pPr>
      <w:r>
        <w:t>-Příměs smrku a jedle v ucelené dodávce modřínu bude fakturována za ceny CX/BR dle cenové matice modřínu 4m.</w:t>
      </w:r>
    </w:p>
    <w:p w:rsidR="002D6B63" w:rsidRDefault="007352C6">
      <w:pPr>
        <w:ind w:left="1536" w:right="388"/>
      </w:pPr>
      <w:r>
        <w:t>-Příměs modřínu v ucelené dodávce smrku nebo jedle bude fakturována za cenu CX/BR smrku.</w:t>
      </w:r>
    </w:p>
    <w:p w:rsidR="002D6B63" w:rsidRDefault="007352C6">
      <w:pPr>
        <w:ind w:left="1526" w:right="388"/>
      </w:pPr>
      <w:r>
        <w:t>-Příměs modřínu 3m v ucelených dodávkách bude fakturována za cenu vlákniny dle cenové matice.</w:t>
      </w:r>
    </w:p>
    <w:p w:rsidR="002D6B63" w:rsidRDefault="007352C6">
      <w:pPr>
        <w:ind w:left="1517" w:right="388"/>
      </w:pPr>
      <w:r>
        <w:t>-Příměs borovice v ucelených dodávkách smrku, modřínu i jedle bude fakturována za cenu vlákniny smrku dle cenové matice</w:t>
      </w:r>
    </w:p>
    <w:p w:rsidR="002D6B63" w:rsidRDefault="007352C6">
      <w:pPr>
        <w:ind w:left="1507" w:right="388"/>
      </w:pPr>
      <w:r>
        <w:t>-Příměsi v ucelené dodávce borovice budou fakturovány za cenu vlákniny borovice dle cenové matice</w:t>
      </w:r>
    </w:p>
    <w:p w:rsidR="002D6B63" w:rsidRDefault="007352C6">
      <w:pPr>
        <w:spacing w:after="87" w:line="248" w:lineRule="auto"/>
        <w:ind w:left="1483" w:right="0" w:hanging="341"/>
      </w:pPr>
      <w:r>
        <w:rPr>
          <w:noProof/>
        </w:rPr>
        <w:drawing>
          <wp:inline distT="0" distB="0" distL="0" distR="0">
            <wp:extent cx="73152" cy="70114"/>
            <wp:effectExtent l="0" t="0" r="0" b="0"/>
            <wp:docPr id="77007" name="Picture 77007"/>
            <wp:cNvGraphicFramePr/>
            <a:graphic xmlns:a="http://schemas.openxmlformats.org/drawingml/2006/main">
              <a:graphicData uri="http://schemas.openxmlformats.org/drawingml/2006/picture">
                <pic:pic xmlns:pic="http://schemas.openxmlformats.org/drawingml/2006/picture">
                  <pic:nvPicPr>
                    <pic:cNvPr id="77007" name="Picture 77007"/>
                    <pic:cNvPicPr/>
                  </pic:nvPicPr>
                  <pic:blipFill>
                    <a:blip r:embed="rId16"/>
                    <a:stretch>
                      <a:fillRect/>
                    </a:stretch>
                  </pic:blipFill>
                  <pic:spPr>
                    <a:xfrm>
                      <a:off x="0" y="0"/>
                      <a:ext cx="73152" cy="70114"/>
                    </a:xfrm>
                    <a:prstGeom prst="rect">
                      <a:avLst/>
                    </a:prstGeom>
                  </pic:spPr>
                </pic:pic>
              </a:graphicData>
            </a:graphic>
          </wp:inline>
        </w:drawing>
      </w:r>
      <w:r>
        <w:t>— podíl průmyslového dříví (vláknina FH) nesmí překročit 5% v jedné dodávce. V případě vysokého podílu průmyslového dříví v jedné dodávce může být dodávka kupujícím odmítnuta, resp. je kupující oprávněn vyúčtovat celou dodávku za ceny průmyslového dříví a zásilku přeposlat do papírenských závodů</w:t>
      </w:r>
    </w:p>
    <w:p w:rsidR="002D6B63" w:rsidRDefault="007352C6">
      <w:pPr>
        <w:spacing w:after="42" w:line="248" w:lineRule="auto"/>
        <w:ind w:left="1492" w:right="0" w:hanging="350"/>
      </w:pPr>
      <w:r>
        <w:t xml:space="preserve">h. Podíl kvalit AB/C musí být minimálně 60%! Pokud podíl kvalit </w:t>
      </w:r>
      <w:proofErr w:type="spellStart"/>
      <w:r>
        <w:t>cx</w:t>
      </w:r>
      <w:proofErr w:type="spellEnd"/>
      <w:r>
        <w:t>, Br, KH překročí 40%, má kupující právo odstoupit od smlouvy resp. odmítnout další dodávky</w:t>
      </w:r>
    </w:p>
    <w:p w:rsidR="002D6B63" w:rsidRDefault="007352C6">
      <w:pPr>
        <w:spacing w:after="193"/>
        <w:ind w:left="561" w:right="388"/>
      </w:pPr>
      <w:r>
        <w:rPr>
          <w:u w:val="single" w:color="000000"/>
        </w:rPr>
        <w:t>Nadměrek u všech sortimentů</w:t>
      </w:r>
      <w:r>
        <w:t xml:space="preserve"> ve výřezech je 2%. V celých délkách je nadměrek 3 96. 4m výřezy mohou být dodávány v délkách 408-431cm +/- 1% tolerance měřícího zařízení. Výřezy 5m mohou být dodávány v délkách 510-525cm +/- 1% tolerance měřícího zařízení. Výřezy s větším nadměrkem než 5,31m+ budou přebírány jako kvalita </w:t>
      </w:r>
      <w:proofErr w:type="spellStart"/>
      <w:r>
        <w:t>cx</w:t>
      </w:r>
      <w:proofErr w:type="spellEnd"/>
      <w:r>
        <w:t xml:space="preserve">. V případě zastoupení </w:t>
      </w:r>
      <w:proofErr w:type="spellStart"/>
      <w:r>
        <w:t>cx</w:t>
      </w:r>
      <w:proofErr w:type="spellEnd"/>
      <w:r>
        <w:t xml:space="preserve"> víc než 5% v dodávce na základě délky 5,31m+ - bude fakturováno jako vláknina. Výřezy kratší než 404cm budou </w:t>
      </w:r>
      <w:proofErr w:type="spellStart"/>
      <w:r>
        <w:t>kubírovány</w:t>
      </w:r>
      <w:proofErr w:type="spellEnd"/>
      <w:r>
        <w:t xml:space="preserve"> jako 3m, výřezy kratší než 505cm budou </w:t>
      </w:r>
      <w:proofErr w:type="spellStart"/>
      <w:r>
        <w:t>kubírovány</w:t>
      </w:r>
      <w:proofErr w:type="spellEnd"/>
      <w:r>
        <w:t xml:space="preserve"> jako 4m.</w:t>
      </w:r>
    </w:p>
    <w:p w:rsidR="002D6B63" w:rsidRDefault="007352C6">
      <w:pPr>
        <w:pStyle w:val="Nadpis3"/>
        <w:tabs>
          <w:tab w:val="center" w:pos="264"/>
          <w:tab w:val="center" w:pos="1236"/>
        </w:tabs>
        <w:spacing w:after="38"/>
        <w:ind w:left="0" w:firstLine="0"/>
      </w:pPr>
      <w:r>
        <w:rPr>
          <w:u w:val="none"/>
        </w:rPr>
        <w:tab/>
        <w:t>2)</w:t>
      </w:r>
      <w:r>
        <w:rPr>
          <w:u w:val="none"/>
        </w:rPr>
        <w:tab/>
      </w:r>
      <w:r>
        <w:t>Elektronická přejímka</w:t>
      </w:r>
    </w:p>
    <w:p w:rsidR="002D6B63" w:rsidRDefault="007352C6">
      <w:pPr>
        <w:spacing w:after="188"/>
        <w:ind w:left="561" w:right="388"/>
      </w:pPr>
      <w:r>
        <w:t xml:space="preserve">3D elektronické měření výřezů v kůře. Při přejímce dodávek výřezů i celých délek se u přejímky v </w:t>
      </w:r>
      <w:proofErr w:type="spellStart"/>
      <w:r>
        <w:t>Retzu</w:t>
      </w:r>
      <w:proofErr w:type="spellEnd"/>
      <w:r>
        <w:t xml:space="preserve"> posuzuje kvalita a měří středový průměr. Čela musí být rovně sříznutá a čistá. Z dříví je nutno odstranit plastové štítky, výřezy s plastovým štítkem budou převzaty jako kvalita </w:t>
      </w:r>
      <w:proofErr w:type="spellStart"/>
      <w:r>
        <w:t>cx</w:t>
      </w:r>
      <w:proofErr w:type="spellEnd"/>
      <w:r>
        <w:t xml:space="preserve">, nebo může být uplatněna cenová srážka </w:t>
      </w:r>
      <w:r w:rsidRPr="001752D3">
        <w:rPr>
          <w:highlight w:val="black"/>
        </w:rPr>
        <w:t>2200</w:t>
      </w:r>
      <w:r>
        <w:t xml:space="preserve"> Kč za dodávku. V ceníku neuvedené dřeviny a dřevo s kameny na čele budou převzaty jako vláknina. Při nakládce se nesmí používat hřeby ani jiné kovové předměty. Dráty lze použít jen výjimečně, zejména k provázání klanic. Dodávka je splněna přejímkou u konečného příjemce. K výpočtu objemu jsou použity </w:t>
      </w:r>
      <w:proofErr w:type="spellStart"/>
      <w:r>
        <w:t>Peintingerovy</w:t>
      </w:r>
      <w:proofErr w:type="spellEnd"/>
      <w:r>
        <w:t xml:space="preserve"> </w:t>
      </w:r>
      <w:proofErr w:type="spellStart"/>
      <w:r>
        <w:t>kubírovací</w:t>
      </w:r>
      <w:proofErr w:type="spellEnd"/>
      <w:r>
        <w:t xml:space="preserve"> tabulky — měřeno u kůře. Pro orientační prostorový výpočet objemu expedované kulatiny se používá koeficient 0,62; V případě, že přílohou k dokladům potřebným pro expedici nebude kusová konsignace, musí být na každém dodacím listu / specifikaci uveden celý výpočet prostorového objemu, tzn. délka x šířka x výška x 0,62 a také počet kusů v dodávce. V případě, že tento výpočet nebude uveden a v příloze nebude ani kusová konsignace, zaniká prodávajícímu právo na množstevní reklamaci. K dodávce musí být přiložený správný DODACÍ LIST — ZÁMĚR, vystavený pro danou dodávku systémem ”</w:t>
      </w:r>
      <w:proofErr w:type="spellStart"/>
      <w:r>
        <w:t>Wood</w:t>
      </w:r>
      <w:proofErr w:type="spellEnd"/>
      <w:r>
        <w:t xml:space="preserve"> </w:t>
      </w:r>
      <w:proofErr w:type="spellStart"/>
      <w:r>
        <w:t>Accept</w:t>
      </w:r>
      <w:proofErr w:type="spellEnd"/>
      <w:r>
        <w:t xml:space="preserve"> - dojezdový dispečink”. U dodávky bez správného dodacího listu s nedostatečnou identifikací dodávky pro fakturaci se prodlužuje lhůta k vystavení daňového dokladu na 21 dnů od DUZP a u dodávky může být z důvodu vysokých nákladů na přiřazování uplatněna srážka </w:t>
      </w:r>
      <w:r w:rsidRPr="001752D3">
        <w:rPr>
          <w:highlight w:val="black"/>
        </w:rPr>
        <w:t>5 00</w:t>
      </w:r>
      <w:r>
        <w:t xml:space="preserve">Kč za dodávku. Pro výpočet konsignovaného množství u BO, MD je nutno používat tabulky pro výpočet objemu borových oddenků!!! Konečný příjemce umožní prodávajícímu účast na přejímce dodávané kulatiny, je potřebná tel./e-mail. žádost — Ing. Holešovský — +420 602 766 258/ </w:t>
      </w:r>
      <w:r>
        <w:rPr>
          <w:u w:val="single" w:color="000000"/>
        </w:rPr>
        <w:t>jan.holesovsky@wood-paper.cz)</w:t>
      </w:r>
    </w:p>
    <w:p w:rsidR="002D6B63" w:rsidRDefault="007352C6">
      <w:pPr>
        <w:pStyle w:val="Nadpis3"/>
        <w:tabs>
          <w:tab w:val="center" w:pos="259"/>
          <w:tab w:val="center" w:pos="1735"/>
        </w:tabs>
        <w:spacing w:after="41"/>
        <w:ind w:left="0" w:firstLine="0"/>
      </w:pPr>
      <w:r>
        <w:rPr>
          <w:u w:val="none"/>
        </w:rPr>
        <w:tab/>
        <w:t>3)</w:t>
      </w:r>
      <w:r>
        <w:rPr>
          <w:u w:val="none"/>
        </w:rPr>
        <w:tab/>
      </w:r>
      <w:r>
        <w:t>Přejímka, přechod vlastnického práva</w:t>
      </w:r>
    </w:p>
    <w:p w:rsidR="002D6B63" w:rsidRDefault="007352C6">
      <w:pPr>
        <w:ind w:left="561" w:right="388"/>
      </w:pPr>
      <w:r>
        <w:t xml:space="preserve">Povinnost prodávajícího odevzdat dříví je splněna v okamžiku ukončení přejímky dříví v místě plnění — tj. v areálu Hl </w:t>
      </w:r>
      <w:proofErr w:type="spellStart"/>
      <w:r>
        <w:t>Maresch</w:t>
      </w:r>
      <w:proofErr w:type="spellEnd"/>
      <w:r>
        <w:t xml:space="preserve"> - </w:t>
      </w:r>
      <w:proofErr w:type="spellStart"/>
      <w:r>
        <w:t>Retz</w:t>
      </w:r>
      <w:proofErr w:type="spellEnd"/>
      <w:r>
        <w:t xml:space="preserve"> osobou provádějící přejímku. Vlastnické právo na kupujícího přechází převzetím zboží </w:t>
      </w:r>
      <w:proofErr w:type="spellStart"/>
      <w:r>
        <w:t>Holzindustrie</w:t>
      </w:r>
      <w:proofErr w:type="spellEnd"/>
      <w:r>
        <w:t xml:space="preserve"> </w:t>
      </w:r>
      <w:proofErr w:type="spellStart"/>
      <w:r>
        <w:t>Maresch</w:t>
      </w:r>
      <w:proofErr w:type="spellEnd"/>
      <w:r>
        <w:t xml:space="preserve"> </w:t>
      </w:r>
      <w:proofErr w:type="spellStart"/>
      <w:r>
        <w:t>GmbH</w:t>
      </w:r>
      <w:proofErr w:type="spellEnd"/>
      <w:r>
        <w:t xml:space="preserve">, </w:t>
      </w:r>
      <w:proofErr w:type="spellStart"/>
      <w:r>
        <w:t>Breiten</w:t>
      </w:r>
      <w:proofErr w:type="spellEnd"/>
      <w:r>
        <w:t xml:space="preserve"> 1, 2070 </w:t>
      </w:r>
      <w:proofErr w:type="spellStart"/>
      <w:r>
        <w:t>Retz</w:t>
      </w:r>
      <w:proofErr w:type="spellEnd"/>
      <w:r>
        <w:t xml:space="preserve">, Rakousko (konečný příjemce) prostřednictvím ukončené elektronické přejímky v závodě Hl </w:t>
      </w:r>
      <w:proofErr w:type="spellStart"/>
      <w:r>
        <w:t>Maresch</w:t>
      </w:r>
      <w:proofErr w:type="spellEnd"/>
      <w:r>
        <w:t xml:space="preserve"> </w:t>
      </w:r>
      <w:proofErr w:type="spellStart"/>
      <w:r>
        <w:t>Retz</w:t>
      </w:r>
      <w:proofErr w:type="spellEnd"/>
      <w:r>
        <w:t>. Prodávající bere na vědomí, že místo plnění dle této smlouvy se nachází mimo území České republiky a bere na vědomí právní důsledky, které z této skutečnosti vyplývají. Pro stanovení kupní ceny je rozhodné množství dle přejímky konečného příjemce odběratele, která je prováděna podle rakouských předpisů.</w:t>
      </w:r>
    </w:p>
    <w:p w:rsidR="002D6B63" w:rsidRDefault="007352C6">
      <w:pPr>
        <w:pStyle w:val="Nadpis3"/>
        <w:tabs>
          <w:tab w:val="center" w:pos="300"/>
          <w:tab w:val="center" w:pos="1572"/>
        </w:tabs>
        <w:ind w:left="0" w:firstLine="0"/>
      </w:pPr>
      <w:r>
        <w:rPr>
          <w:u w:val="none"/>
        </w:rPr>
        <w:tab/>
        <w:t>4)</w:t>
      </w:r>
      <w:r>
        <w:rPr>
          <w:u w:val="none"/>
        </w:rPr>
        <w:tab/>
      </w:r>
      <w:r>
        <w:t>Fakturace a platební podmínky</w:t>
      </w:r>
    </w:p>
    <w:p w:rsidR="002D6B63" w:rsidRDefault="007352C6">
      <w:pPr>
        <w:ind w:left="561" w:right="388"/>
      </w:pPr>
      <w:r>
        <w:t xml:space="preserve">DUZP je datum vystavení faktury konečným příjemcem dříví (Hl </w:t>
      </w:r>
      <w:proofErr w:type="spellStart"/>
      <w:r>
        <w:t>Maresch</w:t>
      </w:r>
      <w:proofErr w:type="spellEnd"/>
      <w:r>
        <w:t xml:space="preserve"> </w:t>
      </w:r>
      <w:proofErr w:type="spellStart"/>
      <w:r>
        <w:t>GmbH</w:t>
      </w:r>
      <w:proofErr w:type="spellEnd"/>
      <w:r>
        <w:t xml:space="preserve">). Fakturace probíhá následovně: do 15ti kalendářních dnů od DUZP vystaví kupující na základě přejímky konečného příjemce jménem prodávajícího fakturu (daňový doklad) a jeho kopii zašle prodávajícímu. Kupující (odběratel) má povinnost vystavit a odeslat </w:t>
      </w:r>
      <w:proofErr w:type="spellStart"/>
      <w:r>
        <w:t>samofakturu</w:t>
      </w:r>
      <w:proofErr w:type="spellEnd"/>
      <w:r>
        <w:t xml:space="preserve"> (daňový doklad) do 15ti kalendářních dnů od data uskutečnění zdanitelného plnění. Pro účely vystavování faktur se sjednává samostatná fakturační řada. </w:t>
      </w:r>
      <w:r>
        <w:rPr>
          <w:u w:val="single" w:color="000000"/>
        </w:rPr>
        <w:t xml:space="preserve">Číslo </w:t>
      </w:r>
      <w:proofErr w:type="spellStart"/>
      <w:r>
        <w:rPr>
          <w:u w:val="single" w:color="000000"/>
        </w:rPr>
        <w:t>samofaktu!Y</w:t>
      </w:r>
      <w:proofErr w:type="spellEnd"/>
      <w:r>
        <w:rPr>
          <w:u w:val="single" w:color="000000"/>
        </w:rPr>
        <w:t xml:space="preserve">., kterou vystavuje WOOD &amp; PAPER </w:t>
      </w:r>
      <w:proofErr w:type="spellStart"/>
      <w:r>
        <w:rPr>
          <w:u w:val="single" w:color="000000"/>
        </w:rPr>
        <w:t>a.s.z</w:t>
      </w:r>
      <w:proofErr w:type="spellEnd"/>
      <w:r>
        <w:rPr>
          <w:u w:val="single" w:color="000000"/>
        </w:rPr>
        <w:t xml:space="preserve"> je evidenčním číslem dokladu, které vstupuje do kontrolního hlášení zasílané na finanční úřad.</w:t>
      </w:r>
      <w:r>
        <w:t xml:space="preserve"> Cena dopravy může po vzájemné dohodě na faktuře být odečtena od </w:t>
      </w:r>
      <w:r>
        <w:lastRenderedPageBreak/>
        <w:t xml:space="preserve">ceny dřeva. Splatnost faktury je 35 dní od data vystavení faktury, nebo 14 dní za podmínky 2% skonta. Smlouva může stanovit i jinou dobu splatnosti. Úhrady faktur budou prováděny hromadnými platbami vždy 5., 10., 15., 20., 25., 30. nebo 31. daného měsíce, nejpozději vždy do 6 kalendářních dnů od data splatnosti uvedeného na faktuře. Platba v tomto časovém intervalu nebude považována za pozdní úhradu. Po dobu prvních 6 kalendářních dnů po splatnosti faktury nemá prodávající nárok na zaplacení úroku z prodlení. V případě prodlení větším než 6 dnů po lhůtě splatnosti může být prodávajícím </w:t>
      </w:r>
      <w:r w:rsidR="001752D3">
        <w:t>úč</w:t>
      </w:r>
      <w:r>
        <w:t>tován úrok 0,05% z dlužné částky za každý den prodlení. Kupující vyhotoví jedenkrát měsíčně seznam vystavených faktur za uplynulý měsíc, který prodávající odsouhlasí a neprodleně odešle zpět kupujícímu.</w:t>
      </w:r>
    </w:p>
    <w:p w:rsidR="002D6B63" w:rsidRDefault="007352C6">
      <w:pPr>
        <w:ind w:left="561" w:right="388"/>
      </w:pPr>
      <w:r>
        <w:t xml:space="preserve">V případě souhlasu smluvních stran, mohou být faktury či jiné daňové doklady budou zasílány v elektronické podobě elektronickou poštou (emailem) na ujednanou adresu a to opatřené zaručeným elektronickým podpisem založeným na kvalifikovaném certifikátu ve smyslu zákona č. 227/2000 Sb., o elektronickém podpisu a o změně některých dalších zákonů, ve znění pozdějších předpisů. Smluvní strany souhlasí s tím, že faktura je považována za doručenou druhému účastníkovi dnem, kdy ji první účastník odešle v elektronické podobě na uvedenou emailovou adresu druhého účastníka. Faktury v papírové podobě nebudou zasílány. Spol. </w:t>
      </w:r>
      <w:proofErr w:type="spellStart"/>
      <w:r>
        <w:t>Wood</w:t>
      </w:r>
      <w:proofErr w:type="spellEnd"/>
      <w:r>
        <w:t xml:space="preserve"> &amp; </w:t>
      </w:r>
      <w:proofErr w:type="spellStart"/>
      <w:r>
        <w:t>Paper</w:t>
      </w:r>
      <w:proofErr w:type="spellEnd"/>
      <w:r>
        <w:t xml:space="preserve"> a.s. má právo kdykoliv v průběhu trvání smluvního vztahu namísto daňového dokladu v elektronické podobě zaslat doklad v podobě listinné.</w:t>
      </w:r>
    </w:p>
    <w:p w:rsidR="002D6B63" w:rsidRDefault="007352C6">
      <w:pPr>
        <w:ind w:left="561" w:right="388"/>
      </w:pPr>
      <w:r>
        <w:t>V případě vyplácení kvartálního, ročního nebo mimořádného bonusu se tento bude vztahovat pouze na objem dříví bez vlákninového dříví a dříví se železem.</w:t>
      </w:r>
    </w:p>
    <w:p w:rsidR="002D6B63" w:rsidRDefault="007352C6">
      <w:pPr>
        <w:ind w:left="561" w:right="388"/>
      </w:pPr>
      <w:r>
        <w:t xml:space="preserve">Je-li prodávající plátce daně z přidané hodnoty (DPH), je závazek kupujícího zaplatit kupní cenu splněn také v případě, že kupující plní na účet zveřejněný podle </w:t>
      </w:r>
      <w:proofErr w:type="spellStart"/>
      <w:r>
        <w:t>ust</w:t>
      </w:r>
      <w:proofErr w:type="spellEnd"/>
      <w:r>
        <w:t xml:space="preserve">. 5 98 zákona č. 235/2004 Sb., o dani z přidané hodnoty, ve znění pozdějších předpisů (dále jen „zákon o DPH”). Je-li prodávající plátce DPH, je závazek kupujícího zaplatit kupní cenu v jeho části odpovídající DPH splněn také v případě, že kupující uhradí za prodávajícího DPH v souladu s </w:t>
      </w:r>
      <w:proofErr w:type="spellStart"/>
      <w:r>
        <w:t>ust</w:t>
      </w:r>
      <w:proofErr w:type="spellEnd"/>
      <w:r>
        <w:t xml:space="preserve">. 109a zákona o DPH na účet příslušného správce daně prodávajícího. Stane-li se kupující ručitelem podle </w:t>
      </w:r>
      <w:proofErr w:type="spellStart"/>
      <w:r>
        <w:t>ust</w:t>
      </w:r>
      <w:proofErr w:type="spellEnd"/>
      <w:r>
        <w:t>. 109 zákona o DPH, je závazek kupujícího zaplatit kupní cenu v jeho části odpovídající DPH splněn také v případě, že kupující tuto část uhradí na účet příslušného správce daně prodávajícího.</w:t>
      </w:r>
    </w:p>
    <w:p w:rsidR="002D6B63" w:rsidRDefault="007352C6">
      <w:pPr>
        <w:pStyle w:val="Nadpis3"/>
        <w:tabs>
          <w:tab w:val="center" w:pos="298"/>
          <w:tab w:val="center" w:pos="1248"/>
        </w:tabs>
        <w:ind w:left="0" w:firstLine="0"/>
      </w:pPr>
      <w:r>
        <w:rPr>
          <w:u w:val="none"/>
        </w:rPr>
        <w:tab/>
        <w:t>5)</w:t>
      </w:r>
      <w:r>
        <w:rPr>
          <w:u w:val="none"/>
        </w:rPr>
        <w:tab/>
      </w:r>
      <w:r>
        <w:t>Přeprava po železnici</w:t>
      </w:r>
    </w:p>
    <w:p w:rsidR="002D6B63" w:rsidRDefault="007352C6">
      <w:pPr>
        <w:ind w:left="561" w:right="388"/>
      </w:pPr>
      <w:r>
        <w:t xml:space="preserve">Pro všechny smluvní železniční dodávky jsou závazné „Všeobecné podmínky ČD </w:t>
      </w:r>
      <w:proofErr w:type="spellStart"/>
      <w:r>
        <w:t>Cargo</w:t>
      </w:r>
      <w:proofErr w:type="spellEnd"/>
      <w:r>
        <w:t xml:space="preserve"> a.s.” (VP ČD </w:t>
      </w:r>
      <w:proofErr w:type="spellStart"/>
      <w:r>
        <w:t>Cargo</w:t>
      </w:r>
      <w:proofErr w:type="spellEnd"/>
      <w:r>
        <w:t xml:space="preserve">) vyhlášené společností ČD </w:t>
      </w:r>
      <w:proofErr w:type="spellStart"/>
      <w:r>
        <w:t>Cargo</w:t>
      </w:r>
      <w:proofErr w:type="spellEnd"/>
      <w:r>
        <w:t xml:space="preserve"> a.s. Jankovcova 1569/2c 170 OO Praha 7 , IČ 28196678 a dále zejména dokumenty na které odkazují : „ Smluvní přepravní podmínky ČD </w:t>
      </w:r>
      <w:proofErr w:type="spellStart"/>
      <w:r>
        <w:t>Cargo</w:t>
      </w:r>
      <w:proofErr w:type="spellEnd"/>
      <w:r>
        <w:t xml:space="preserve"> a.s. „ (SPP) </w:t>
      </w:r>
      <w:r>
        <w:rPr>
          <w:noProof/>
        </w:rPr>
        <w:drawing>
          <wp:inline distT="0" distB="0" distL="0" distR="0">
            <wp:extent cx="24384" cy="30485"/>
            <wp:effectExtent l="0" t="0" r="0" b="0"/>
            <wp:docPr id="29708" name="Picture 29708"/>
            <wp:cNvGraphicFramePr/>
            <a:graphic xmlns:a="http://schemas.openxmlformats.org/drawingml/2006/main">
              <a:graphicData uri="http://schemas.openxmlformats.org/drawingml/2006/picture">
                <pic:pic xmlns:pic="http://schemas.openxmlformats.org/drawingml/2006/picture">
                  <pic:nvPicPr>
                    <pic:cNvPr id="29708" name="Picture 29708"/>
                    <pic:cNvPicPr/>
                  </pic:nvPicPr>
                  <pic:blipFill>
                    <a:blip r:embed="rId17"/>
                    <a:stretch>
                      <a:fillRect/>
                    </a:stretch>
                  </pic:blipFill>
                  <pic:spPr>
                    <a:xfrm>
                      <a:off x="0" y="0"/>
                      <a:ext cx="24384" cy="30485"/>
                    </a:xfrm>
                    <a:prstGeom prst="rect">
                      <a:avLst/>
                    </a:prstGeom>
                  </pic:spPr>
                </pic:pic>
              </a:graphicData>
            </a:graphic>
          </wp:inline>
        </w:drawing>
      </w:r>
      <w:r>
        <w:t xml:space="preserve">„Tarif ČD </w:t>
      </w:r>
      <w:proofErr w:type="spellStart"/>
      <w:r>
        <w:t>Cargo</w:t>
      </w:r>
      <w:proofErr w:type="spellEnd"/>
      <w:r>
        <w:t xml:space="preserve">” (TVZ), „nakládací směrnice UIC” (www.uic.org) , „Úmluva o mezinárodní železniční přepravě „ (COTIF) v platném znění , „Jednotné právní předpisy” (JPP) pro smlouvu o mezinárodní </w:t>
      </w:r>
      <w:proofErr w:type="spellStart"/>
      <w:r>
        <w:t>železční</w:t>
      </w:r>
      <w:proofErr w:type="spellEnd"/>
      <w:r>
        <w:t xml:space="preserve"> přepravě zboží , „Přípojek B k Úmluvě (CIM) v případě mezinárodních přeprav. Aktuální znění všech těchto dokumentů je přístupné na internetových stránkách společnosti ČD </w:t>
      </w:r>
      <w:proofErr w:type="spellStart"/>
      <w:r>
        <w:t>Cargo</w:t>
      </w:r>
      <w:proofErr w:type="spellEnd"/>
      <w:r>
        <w:t xml:space="preserve"> a.s. (link www.cd.cargo.cz Smluvní strany prohlašují, že před podpisem kupní smlouvy se s aktuálním zněním všech těchto dokumentů seznámily, s jeho obsahem souhlasí a zároveň se zavazují v případě změn se s novým zněním seznámit a tato znění dodržovat. Smluvní strany berou na vědomí, že společnost ČD </w:t>
      </w:r>
      <w:proofErr w:type="spellStart"/>
      <w:r>
        <w:t>Cargo</w:t>
      </w:r>
      <w:proofErr w:type="spellEnd"/>
      <w:r>
        <w:t xml:space="preserve"> a.s., která je dopravcem předmětu smlouvy, je oprávněna požadovat přepravné za uskutečněnou přepravu předmětu smlouvy ve výši dovozného, poplatků doplňujících a částek stanovených dle aktuálního TVZ. S ohledem na uvedené jsou smluvní strany povinny dodržovat pravidla pro přepravu předmětu smlouvy po železnici</w:t>
      </w:r>
    </w:p>
    <w:p w:rsidR="002D6B63" w:rsidRDefault="007352C6">
      <w:pPr>
        <w:spacing w:after="15" w:line="259" w:lineRule="auto"/>
        <w:ind w:left="8093" w:right="0" w:firstLine="0"/>
        <w:jc w:val="left"/>
      </w:pPr>
      <w:r>
        <w:rPr>
          <w:noProof/>
        </w:rPr>
        <w:drawing>
          <wp:inline distT="0" distB="0" distL="0" distR="0">
            <wp:extent cx="274320" cy="9146"/>
            <wp:effectExtent l="0" t="0" r="0" b="0"/>
            <wp:docPr id="29763" name="Picture 29763"/>
            <wp:cNvGraphicFramePr/>
            <a:graphic xmlns:a="http://schemas.openxmlformats.org/drawingml/2006/main">
              <a:graphicData uri="http://schemas.openxmlformats.org/drawingml/2006/picture">
                <pic:pic xmlns:pic="http://schemas.openxmlformats.org/drawingml/2006/picture">
                  <pic:nvPicPr>
                    <pic:cNvPr id="29763" name="Picture 29763"/>
                    <pic:cNvPicPr/>
                  </pic:nvPicPr>
                  <pic:blipFill>
                    <a:blip r:embed="rId18"/>
                    <a:stretch>
                      <a:fillRect/>
                    </a:stretch>
                  </pic:blipFill>
                  <pic:spPr>
                    <a:xfrm>
                      <a:off x="0" y="0"/>
                      <a:ext cx="274320" cy="9146"/>
                    </a:xfrm>
                    <a:prstGeom prst="rect">
                      <a:avLst/>
                    </a:prstGeom>
                  </pic:spPr>
                </pic:pic>
              </a:graphicData>
            </a:graphic>
          </wp:inline>
        </w:drawing>
      </w:r>
    </w:p>
    <w:p w:rsidR="002D6B63" w:rsidRDefault="007352C6">
      <w:pPr>
        <w:spacing w:after="132"/>
        <w:ind w:left="561" w:right="388"/>
      </w:pPr>
      <w:r>
        <w:t>stanovená v TVZ tak, aby nedocházelo k navyšování přepravného, v opačném případě je smluvní strana, která navýšení přepravného porušením pravidel pro přepravu dle TVZ zapříčinila, povinna uhradit takto vzniklé vícenáklady.</w:t>
      </w:r>
    </w:p>
    <w:p w:rsidR="002D6B63" w:rsidRDefault="007352C6">
      <w:pPr>
        <w:pStyle w:val="Nadpis4"/>
      </w:pPr>
      <w:r>
        <w:t>Minimální vytížení železničních vagonů</w:t>
      </w:r>
    </w:p>
    <w:tbl>
      <w:tblPr>
        <w:tblStyle w:val="TableGrid"/>
        <w:tblW w:w="6853" w:type="dxa"/>
        <w:tblInd w:w="1693" w:type="dxa"/>
        <w:tblCellMar>
          <w:top w:w="53" w:type="dxa"/>
          <w:bottom w:w="17" w:type="dxa"/>
        </w:tblCellMar>
        <w:tblLook w:val="04A0" w:firstRow="1" w:lastRow="0" w:firstColumn="1" w:lastColumn="0" w:noHBand="0" w:noVBand="1"/>
      </w:tblPr>
      <w:tblGrid>
        <w:gridCol w:w="2890"/>
        <w:gridCol w:w="862"/>
        <w:gridCol w:w="1211"/>
        <w:gridCol w:w="1890"/>
      </w:tblGrid>
      <w:tr w:rsidR="002D6B63">
        <w:trPr>
          <w:trHeight w:val="1479"/>
        </w:trPr>
        <w:tc>
          <w:tcPr>
            <w:tcW w:w="3083" w:type="dxa"/>
            <w:tcBorders>
              <w:top w:val="single" w:sz="2" w:space="0" w:color="000000"/>
              <w:left w:val="single" w:sz="2" w:space="0" w:color="000000"/>
              <w:bottom w:val="single" w:sz="2" w:space="0" w:color="000000"/>
              <w:right w:val="nil"/>
            </w:tcBorders>
          </w:tcPr>
          <w:p w:rsidR="002D6B63" w:rsidRDefault="007352C6">
            <w:pPr>
              <w:spacing w:after="0" w:line="259" w:lineRule="auto"/>
              <w:ind w:left="26" w:right="0" w:firstLine="0"/>
              <w:jc w:val="left"/>
            </w:pPr>
            <w:r>
              <w:rPr>
                <w:sz w:val="14"/>
              </w:rPr>
              <w:t xml:space="preserve">(české) vagóny RS a </w:t>
            </w:r>
            <w:proofErr w:type="spellStart"/>
            <w:r>
              <w:rPr>
                <w:sz w:val="14"/>
              </w:rPr>
              <w:t>Ea</w:t>
            </w:r>
            <w:proofErr w:type="spellEnd"/>
            <w:r>
              <w:rPr>
                <w:sz w:val="14"/>
              </w:rPr>
              <w:t>(s), Res, EANOS</w:t>
            </w:r>
          </w:p>
          <w:p w:rsidR="002D6B63" w:rsidRDefault="007352C6">
            <w:pPr>
              <w:spacing w:after="0" w:line="259" w:lineRule="auto"/>
              <w:ind w:left="21" w:right="0" w:firstLine="0"/>
              <w:jc w:val="left"/>
            </w:pPr>
            <w:r>
              <w:rPr>
                <w:sz w:val="18"/>
              </w:rPr>
              <w:t>SM4a5 m</w:t>
            </w:r>
          </w:p>
          <w:p w:rsidR="002D6B63" w:rsidRDefault="007352C6">
            <w:pPr>
              <w:spacing w:after="2" w:line="259" w:lineRule="auto"/>
              <w:ind w:left="21" w:right="0" w:firstLine="0"/>
              <w:jc w:val="left"/>
            </w:pPr>
            <w:r>
              <w:rPr>
                <w:sz w:val="14"/>
              </w:rPr>
              <w:t>SM 8m+</w:t>
            </w:r>
          </w:p>
          <w:p w:rsidR="002D6B63" w:rsidRDefault="007352C6">
            <w:pPr>
              <w:spacing w:after="0" w:line="259" w:lineRule="auto"/>
              <w:ind w:left="21" w:right="0" w:firstLine="0"/>
              <w:jc w:val="left"/>
            </w:pPr>
            <w:r>
              <w:rPr>
                <w:sz w:val="14"/>
              </w:rPr>
              <w:t>SM 4 a 5 m EANOS</w:t>
            </w:r>
          </w:p>
          <w:p w:rsidR="002D6B63" w:rsidRDefault="007352C6">
            <w:pPr>
              <w:spacing w:after="0" w:line="259" w:lineRule="auto"/>
              <w:ind w:left="21" w:right="0" w:firstLine="0"/>
              <w:jc w:val="left"/>
            </w:pPr>
            <w:r>
              <w:rPr>
                <w:sz w:val="14"/>
              </w:rPr>
              <w:t>Srážka za nedoložení vagonu:</w:t>
            </w:r>
          </w:p>
          <w:p w:rsidR="002D6B63" w:rsidRDefault="007352C6">
            <w:pPr>
              <w:spacing w:after="0" w:line="259" w:lineRule="auto"/>
              <w:ind w:left="26" w:right="0" w:firstLine="0"/>
            </w:pPr>
            <w:r>
              <w:rPr>
                <w:sz w:val="14"/>
              </w:rPr>
              <w:t xml:space="preserve">Do vagonů typu ROOS doporučujeme ložit 2x hráň 5m a </w:t>
            </w:r>
          </w:p>
          <w:p w:rsidR="002D6B63" w:rsidRDefault="007352C6">
            <w:pPr>
              <w:spacing w:after="8" w:line="259" w:lineRule="auto"/>
              <w:ind w:left="26" w:right="0" w:firstLine="0"/>
              <w:jc w:val="left"/>
            </w:pPr>
            <w:r>
              <w:rPr>
                <w:sz w:val="14"/>
              </w:rPr>
              <w:t>•</w:t>
            </w:r>
            <w:proofErr w:type="spellStart"/>
            <w:r>
              <w:rPr>
                <w:sz w:val="14"/>
              </w:rPr>
              <w:t>eho</w:t>
            </w:r>
            <w:proofErr w:type="spellEnd"/>
            <w:r>
              <w:rPr>
                <w:sz w:val="14"/>
              </w:rPr>
              <w:t xml:space="preserve"> zadržení na hranici!!! Celé délky pro tento vagon </w:t>
            </w:r>
          </w:p>
          <w:p w:rsidR="002D6B63" w:rsidRDefault="007352C6">
            <w:pPr>
              <w:spacing w:after="0" w:line="259" w:lineRule="auto"/>
              <w:ind w:left="16" w:right="-29" w:firstLine="0"/>
              <w:jc w:val="left"/>
            </w:pPr>
            <w:proofErr w:type="spellStart"/>
            <w:r>
              <w:rPr>
                <w:sz w:val="14"/>
              </w:rPr>
              <w:t>Va</w:t>
            </w:r>
            <w:proofErr w:type="spellEnd"/>
            <w:r>
              <w:rPr>
                <w:sz w:val="14"/>
              </w:rPr>
              <w:t xml:space="preserve"> ony EANOS do </w:t>
            </w:r>
            <w:proofErr w:type="spellStart"/>
            <w:r>
              <w:rPr>
                <w:sz w:val="14"/>
              </w:rPr>
              <w:t>oručujeme</w:t>
            </w:r>
            <w:proofErr w:type="spellEnd"/>
            <w:r>
              <w:rPr>
                <w:sz w:val="14"/>
              </w:rPr>
              <w:t xml:space="preserve"> ložit hráněmi 4-5-5 anebo </w:t>
            </w:r>
          </w:p>
        </w:tc>
        <w:tc>
          <w:tcPr>
            <w:tcW w:w="514" w:type="dxa"/>
            <w:tcBorders>
              <w:top w:val="single" w:sz="2" w:space="0" w:color="000000"/>
              <w:left w:val="nil"/>
              <w:bottom w:val="single" w:sz="2" w:space="0" w:color="000000"/>
              <w:right w:val="nil"/>
            </w:tcBorders>
            <w:vAlign w:val="bottom"/>
          </w:tcPr>
          <w:p w:rsidR="002D6B63" w:rsidRDefault="007352C6">
            <w:pPr>
              <w:spacing w:after="36" w:line="259" w:lineRule="auto"/>
              <w:ind w:left="5" w:right="0" w:firstLine="0"/>
              <w:jc w:val="left"/>
            </w:pPr>
            <w:r>
              <w:rPr>
                <w:sz w:val="14"/>
              </w:rPr>
              <w:t>38</w:t>
            </w:r>
          </w:p>
          <w:p w:rsidR="002D6B63" w:rsidRDefault="007352C6">
            <w:pPr>
              <w:spacing w:after="0" w:line="259" w:lineRule="auto"/>
              <w:ind w:left="5" w:right="0" w:firstLine="0"/>
              <w:jc w:val="left"/>
            </w:pPr>
            <w:r>
              <w:rPr>
                <w:sz w:val="14"/>
              </w:rPr>
              <w:t>38</w:t>
            </w:r>
          </w:p>
          <w:p w:rsidR="002D6B63" w:rsidRDefault="007352C6">
            <w:pPr>
              <w:spacing w:after="12" w:line="259" w:lineRule="auto"/>
              <w:ind w:right="0" w:firstLine="0"/>
              <w:jc w:val="left"/>
            </w:pPr>
            <w:r>
              <w:rPr>
                <w:sz w:val="14"/>
              </w:rPr>
              <w:t>44</w:t>
            </w:r>
          </w:p>
          <w:p w:rsidR="002D6B63" w:rsidRDefault="007352C6">
            <w:pPr>
              <w:spacing w:after="6" w:line="259" w:lineRule="auto"/>
              <w:ind w:right="0" w:firstLine="0"/>
              <w:jc w:val="left"/>
            </w:pPr>
            <w:r>
              <w:rPr>
                <w:sz w:val="14"/>
              </w:rPr>
              <w:t>410</w:t>
            </w:r>
          </w:p>
          <w:p w:rsidR="002D6B63" w:rsidRDefault="007352C6">
            <w:pPr>
              <w:spacing w:after="14" w:line="229" w:lineRule="auto"/>
              <w:ind w:left="-106" w:right="-331" w:firstLine="0"/>
              <w:jc w:val="right"/>
            </w:pPr>
            <w:r>
              <w:rPr>
                <w:sz w:val="14"/>
              </w:rPr>
              <w:t>2x 4m a nedoporučujeme.</w:t>
            </w:r>
          </w:p>
          <w:p w:rsidR="002D6B63" w:rsidRDefault="007352C6">
            <w:pPr>
              <w:spacing w:after="0" w:line="259" w:lineRule="auto"/>
              <w:ind w:left="62" w:right="0" w:firstLine="0"/>
              <w:jc w:val="left"/>
            </w:pPr>
            <w:r>
              <w:rPr>
                <w:sz w:val="14"/>
              </w:rPr>
              <w:t xml:space="preserve">4-4-5, </w:t>
            </w:r>
          </w:p>
        </w:tc>
        <w:tc>
          <w:tcPr>
            <w:tcW w:w="1260" w:type="dxa"/>
            <w:tcBorders>
              <w:top w:val="single" w:sz="2" w:space="0" w:color="000000"/>
              <w:left w:val="nil"/>
              <w:bottom w:val="single" w:sz="2" w:space="0" w:color="000000"/>
              <w:right w:val="nil"/>
            </w:tcBorders>
            <w:vAlign w:val="bottom"/>
          </w:tcPr>
          <w:p w:rsidR="002D6B63" w:rsidRDefault="007352C6">
            <w:pPr>
              <w:spacing w:after="0" w:line="250" w:lineRule="auto"/>
              <w:ind w:right="218" w:firstLine="0"/>
            </w:pPr>
            <w:r>
              <w:rPr>
                <w:sz w:val="14"/>
              </w:rPr>
              <w:t>m</w:t>
            </w:r>
            <w:r>
              <w:rPr>
                <w:sz w:val="14"/>
                <w:vertAlign w:val="superscript"/>
              </w:rPr>
              <w:t xml:space="preserve">3 </w:t>
            </w:r>
            <w:r>
              <w:rPr>
                <w:sz w:val="14"/>
              </w:rPr>
              <w:t>/ vagón RS, EAS m</w:t>
            </w:r>
            <w:r>
              <w:rPr>
                <w:sz w:val="14"/>
                <w:vertAlign w:val="superscript"/>
              </w:rPr>
              <w:t xml:space="preserve">3 </w:t>
            </w:r>
            <w:r>
              <w:rPr>
                <w:sz w:val="14"/>
              </w:rPr>
              <w:t>/ vagón RS, EAS m</w:t>
            </w:r>
            <w:r>
              <w:rPr>
                <w:sz w:val="14"/>
                <w:vertAlign w:val="superscript"/>
              </w:rPr>
              <w:t xml:space="preserve">3 </w:t>
            </w:r>
            <w:r>
              <w:rPr>
                <w:sz w:val="14"/>
              </w:rPr>
              <w:t>/ vagón EANOS</w:t>
            </w:r>
          </w:p>
          <w:p w:rsidR="002D6B63" w:rsidRDefault="007352C6">
            <w:pPr>
              <w:spacing w:after="158" w:line="261" w:lineRule="auto"/>
              <w:ind w:left="-48" w:right="-142" w:firstLine="48"/>
              <w:jc w:val="left"/>
            </w:pPr>
            <w:r>
              <w:rPr>
                <w:sz w:val="14"/>
              </w:rPr>
              <w:t xml:space="preserve">KČ/m3 ložit pouze do výšky klanic, </w:t>
            </w:r>
          </w:p>
          <w:p w:rsidR="002D6B63" w:rsidRDefault="007352C6">
            <w:pPr>
              <w:spacing w:after="0" w:line="259" w:lineRule="auto"/>
              <w:ind w:left="-96" w:right="0" w:firstLine="0"/>
              <w:jc w:val="left"/>
            </w:pPr>
            <w:proofErr w:type="spellStart"/>
            <w:r>
              <w:rPr>
                <w:sz w:val="14"/>
              </w:rPr>
              <w:t>inak</w:t>
            </w:r>
            <w:proofErr w:type="spellEnd"/>
            <w:r>
              <w:rPr>
                <w:sz w:val="14"/>
              </w:rPr>
              <w:t xml:space="preserve"> hrozí sankce za </w:t>
            </w:r>
          </w:p>
        </w:tc>
        <w:tc>
          <w:tcPr>
            <w:tcW w:w="1996" w:type="dxa"/>
            <w:tcBorders>
              <w:top w:val="single" w:sz="2" w:space="0" w:color="000000"/>
              <w:left w:val="nil"/>
              <w:bottom w:val="single" w:sz="2" w:space="0" w:color="000000"/>
              <w:right w:val="single" w:sz="2" w:space="0" w:color="000000"/>
            </w:tcBorders>
          </w:tcPr>
          <w:p w:rsidR="002D6B63" w:rsidRDefault="007352C6">
            <w:pPr>
              <w:spacing w:after="15" w:line="259" w:lineRule="auto"/>
              <w:ind w:left="22" w:right="0" w:firstLine="0"/>
              <w:jc w:val="left"/>
            </w:pPr>
            <w:r>
              <w:rPr>
                <w:sz w:val="14"/>
              </w:rPr>
              <w:t>Klanicové speciály</w:t>
            </w:r>
          </w:p>
          <w:p w:rsidR="002D6B63" w:rsidRDefault="007352C6">
            <w:pPr>
              <w:tabs>
                <w:tab w:val="center" w:pos="1445"/>
              </w:tabs>
              <w:spacing w:after="34" w:line="259" w:lineRule="auto"/>
              <w:ind w:right="0" w:firstLine="0"/>
              <w:jc w:val="left"/>
            </w:pPr>
            <w:r>
              <w:rPr>
                <w:sz w:val="14"/>
              </w:rPr>
              <w:t>RNOOSS-ZU</w:t>
            </w:r>
            <w:r>
              <w:rPr>
                <w:sz w:val="14"/>
              </w:rPr>
              <w:tab/>
              <w:t>54 rn</w:t>
            </w:r>
            <w:r>
              <w:rPr>
                <w:sz w:val="14"/>
                <w:vertAlign w:val="superscript"/>
              </w:rPr>
              <w:t xml:space="preserve">3 </w:t>
            </w:r>
            <w:r>
              <w:rPr>
                <w:sz w:val="14"/>
              </w:rPr>
              <w:t>/ vagón</w:t>
            </w:r>
          </w:p>
          <w:p w:rsidR="002D6B63" w:rsidRDefault="007352C6">
            <w:pPr>
              <w:tabs>
                <w:tab w:val="center" w:pos="1445"/>
              </w:tabs>
              <w:spacing w:after="0" w:line="259" w:lineRule="auto"/>
              <w:ind w:right="0" w:firstLine="0"/>
              <w:jc w:val="left"/>
            </w:pPr>
            <w:r>
              <w:rPr>
                <w:sz w:val="14"/>
              </w:rPr>
              <w:t>SGNSS/ROS</w:t>
            </w:r>
            <w:r>
              <w:rPr>
                <w:sz w:val="14"/>
              </w:rPr>
              <w:tab/>
              <w:t>55 rn</w:t>
            </w:r>
            <w:r>
              <w:rPr>
                <w:sz w:val="14"/>
                <w:vertAlign w:val="superscript"/>
              </w:rPr>
              <w:t xml:space="preserve">3 </w:t>
            </w:r>
            <w:r>
              <w:rPr>
                <w:sz w:val="14"/>
              </w:rPr>
              <w:t>/ vagón</w:t>
            </w:r>
          </w:p>
          <w:p w:rsidR="002D6B63" w:rsidRDefault="007352C6">
            <w:pPr>
              <w:spacing w:line="259" w:lineRule="auto"/>
              <w:ind w:right="155" w:firstLine="0"/>
              <w:jc w:val="right"/>
            </w:pPr>
            <w:r>
              <w:rPr>
                <w:sz w:val="14"/>
              </w:rPr>
              <w:t>47 rn</w:t>
            </w:r>
            <w:r>
              <w:rPr>
                <w:sz w:val="14"/>
                <w:vertAlign w:val="superscript"/>
              </w:rPr>
              <w:t xml:space="preserve">3 </w:t>
            </w:r>
            <w:r>
              <w:rPr>
                <w:sz w:val="14"/>
              </w:rPr>
              <w:t>/ vagón</w:t>
            </w:r>
          </w:p>
          <w:p w:rsidR="002D6B63" w:rsidRDefault="007352C6">
            <w:pPr>
              <w:spacing w:after="152" w:line="232" w:lineRule="auto"/>
              <w:ind w:left="170" w:right="0" w:hanging="144"/>
            </w:pPr>
            <w:r>
              <w:rPr>
                <w:sz w:val="14"/>
              </w:rPr>
              <w:t>ROOS 50 m</w:t>
            </w:r>
            <w:r>
              <w:rPr>
                <w:sz w:val="14"/>
                <w:vertAlign w:val="superscript"/>
              </w:rPr>
              <w:t xml:space="preserve">3 </w:t>
            </w:r>
            <w:r>
              <w:rPr>
                <w:sz w:val="14"/>
              </w:rPr>
              <w:t>/ vagón jinak hrozí přetížení vagonu a</w:t>
            </w:r>
          </w:p>
          <w:p w:rsidR="002D6B63" w:rsidRDefault="007352C6">
            <w:pPr>
              <w:spacing w:after="0" w:line="259" w:lineRule="auto"/>
              <w:ind w:left="-218" w:right="0" w:firstLine="0"/>
              <w:jc w:val="left"/>
            </w:pPr>
            <w:r>
              <w:rPr>
                <w:sz w:val="14"/>
              </w:rPr>
              <w:t>nedoložení!!!</w:t>
            </w:r>
          </w:p>
        </w:tc>
      </w:tr>
    </w:tbl>
    <w:p w:rsidR="002D6B63" w:rsidRDefault="007352C6">
      <w:pPr>
        <w:ind w:left="561" w:right="388"/>
      </w:pPr>
      <w:r>
        <w:t xml:space="preserve">U železničních dodávek na dodací paritě FCA vagon, kupující hradí pouze dovozné z železniční odesílací stanice prodávajícího, ostatní náklady nese prodávající dle podmínek v TVZ. Prodávající je před realizací plnění kupní smlouvy povinen informovat a zaslat kupujícímu seznam odesílacích železničních stanic, ze kterých bude realizovat smluvní vagónové dodávky, (WOOD &amp; PAPER - M. Cechová tel. 546418211, e-mail adresa: </w:t>
      </w:r>
      <w:r>
        <w:rPr>
          <w:u w:val="single" w:color="000000"/>
        </w:rPr>
        <w:t>logistika@wood-paper.cz</w:t>
      </w:r>
      <w:r>
        <w:t xml:space="preserve">. Prodávající se zavazuje objednat vagony a podat je k přepravě do </w:t>
      </w:r>
      <w:proofErr w:type="spellStart"/>
      <w:r>
        <w:t>Holzindustrie</w:t>
      </w:r>
      <w:proofErr w:type="spellEnd"/>
      <w:r>
        <w:t xml:space="preserve"> </w:t>
      </w:r>
      <w:proofErr w:type="spellStart"/>
      <w:r>
        <w:t>Maresch</w:t>
      </w:r>
      <w:proofErr w:type="spellEnd"/>
      <w:r>
        <w:t xml:space="preserve"> </w:t>
      </w:r>
      <w:proofErr w:type="spellStart"/>
      <w:r>
        <w:t>GmbH</w:t>
      </w:r>
      <w:proofErr w:type="spellEnd"/>
      <w:r>
        <w:t xml:space="preserve"> u dopravce ČD </w:t>
      </w:r>
      <w:proofErr w:type="spellStart"/>
      <w:r>
        <w:t>Cargo</w:t>
      </w:r>
      <w:proofErr w:type="spellEnd"/>
      <w:r>
        <w:t xml:space="preserve"> a.s. na nákladní list pro mezinárodní přepravu (dále jen „NLO. Prodávající je povinen vyplnit nákladní list CIM (NL) dle příslušného vzoru uvedeného na internetových stránkách společnosti WOOD &amp; PAPER a.s. (link </w:t>
      </w:r>
      <w:r>
        <w:rPr>
          <w:u w:val="single" w:color="000000"/>
        </w:rPr>
        <w:t>www.wood-paper.cz</w:t>
      </w:r>
      <w:r>
        <w:t xml:space="preserve">, v záložce dispečink </w:t>
      </w:r>
      <w:proofErr w:type="spellStart"/>
      <w:r>
        <w:t>Maresch</w:t>
      </w:r>
      <w:proofErr w:type="spellEnd"/>
      <w:r>
        <w:t xml:space="preserve">) v souladu s podmínkami kupní dle VP ČD </w:t>
      </w:r>
      <w:proofErr w:type="spellStart"/>
      <w:r>
        <w:t>Cargo</w:t>
      </w:r>
      <w:proofErr w:type="spellEnd"/>
      <w:r>
        <w:t xml:space="preserve">. Prodávající je povinen ložit dříví do řádně vyčištěných dopravních prostředků. Prodávající je povinen nakládat předmět smlouvy do vagónů do jejich předepsané max. únosnosti uvedené na vagonu dle typu vagónu a železniční tratě v místě nakládky. Bude-li dopravcem kontrolním vážením smluvní dodávky zjištěno, že skutečná hmotnost zboží ve vagóně je vyšší než předepsaná a povolená max. únosnost vagónu, mohou být prodávajícímu přeúčtovány všechny vícenáklady s tím spojené. Prodávající bere na vědomí, že dopravce ČD </w:t>
      </w:r>
      <w:proofErr w:type="spellStart"/>
      <w:r>
        <w:t>Cargo</w:t>
      </w:r>
      <w:proofErr w:type="spellEnd"/>
      <w:r>
        <w:t xml:space="preserve"> a.s. vyhlašuje od 1. 1. 2014 ve vytipovaných železničních stanicích „Zvláštní přepravní podmínky” (dále jen „ZPP"), na základě kterých je stanoven minimální počet vozů podaných k přepravě k jedné obsluze stanice a výše poplatku doplňujícího (PD) ke každému vozu uvedenému v nákladním listu (Kč/vůz) v případě nesplnění minimálního počtů vozů. Prodávající se dohodl s kupujícím, že přebírá odpovědnost, hradí tyto PD a souhlasí s přeúčtováním ze strany prodávajícího v případě nesplnění stanovených podmínek. ZPP včetně přílohy s vytipovanými stanicemi jsou na internetových stránkách kupujícího (</w:t>
      </w:r>
      <w:r>
        <w:rPr>
          <w:u w:val="single" w:color="000000"/>
        </w:rPr>
        <w:t>www.wood-paper.cz</w:t>
      </w:r>
      <w:r>
        <w:t>). Prodávající odesílá jednotlivé vagóny nebo skupiny 3-5 vagonů zapsané do jednoho NL, včetně dodávek s různým sortimentem na každém vagónu přičemž míchání sortimentů v jednom vagonu je povoleno za podmínky (1 hráň pouze 1 sortiment, dodací list zvlášť ke každému sortimentu). Pokud bude smluvní dodávka ze strany konečného příjemce odmítnuta, potom prodávající se zavazuje uhradit všechny přepravní náklady s tím spojené (např. vrácení, přesměrování dodávky). Při použití rakouských vagonů — „klanicových speciálů”, musí být provedena nakládka a odeslání do 24 hod. po přistavení do stanice.</w:t>
      </w:r>
    </w:p>
    <w:p w:rsidR="002D6B63" w:rsidRDefault="007352C6">
      <w:pPr>
        <w:ind w:left="561" w:right="388"/>
      </w:pPr>
      <w:r>
        <w:t>Kupující s prodávajícím se dohodli, že prodávající může realizovat část smluvních dodávek nebo celý objem dříví po železnici, a to na základě podmínek stanovených kupujícím. Kupující si vyhrazuje právo vyúčtovat prodávajícímu všechny náklady, související s realizací plnění kupní smlouvy vzniklé z důvodu porušení podmínek ujednaných v kupní smlouvě nebo TFP WP.</w:t>
      </w:r>
    </w:p>
    <w:p w:rsidR="002D6B63" w:rsidRDefault="007352C6">
      <w:pPr>
        <w:pStyle w:val="Nadpis3"/>
        <w:ind w:left="211"/>
      </w:pPr>
      <w:r>
        <w:rPr>
          <w:u w:val="none"/>
        </w:rPr>
        <w:t xml:space="preserve">6) </w:t>
      </w:r>
      <w:r>
        <w:t>Přeprava po silnici</w:t>
      </w:r>
    </w:p>
    <w:p w:rsidR="002D6B63" w:rsidRDefault="007352C6">
      <w:pPr>
        <w:spacing w:after="251"/>
        <w:ind w:left="561" w:right="388"/>
      </w:pPr>
      <w:r>
        <w:t xml:space="preserve">Není-li sjednáno jinak, zajišťuje přepravu zboží z odvozního místa do místa plnění na svůj náklad kupující prostřednictvím třetí osoby — dopravce. Prodávající se zavazuje na svůj náklad připravit dříví určené k přepravě na jedno konkrétní místo (max. 3 skládky v blízkosti), které musí být dopravně přístupné pro standardní silniční nákladní dopravní prostředky — odvozní místo. V případě, že bude dříví k nakládce rozloženo na více jak 3 místech a </w:t>
      </w:r>
      <w:r>
        <w:rPr>
          <w:noProof/>
        </w:rPr>
        <w:drawing>
          <wp:inline distT="0" distB="0" distL="0" distR="0">
            <wp:extent cx="3048" cy="3048"/>
            <wp:effectExtent l="0" t="0" r="0" b="0"/>
            <wp:docPr id="37786" name="Picture 37786"/>
            <wp:cNvGraphicFramePr/>
            <a:graphic xmlns:a="http://schemas.openxmlformats.org/drawingml/2006/main">
              <a:graphicData uri="http://schemas.openxmlformats.org/drawingml/2006/picture">
                <pic:pic xmlns:pic="http://schemas.openxmlformats.org/drawingml/2006/picture">
                  <pic:nvPicPr>
                    <pic:cNvPr id="37786" name="Picture 37786"/>
                    <pic:cNvPicPr/>
                  </pic:nvPicPr>
                  <pic:blipFill>
                    <a:blip r:embed="rId19"/>
                    <a:stretch>
                      <a:fillRect/>
                    </a:stretch>
                  </pic:blipFill>
                  <pic:spPr>
                    <a:xfrm>
                      <a:off x="0" y="0"/>
                      <a:ext cx="3048" cy="3048"/>
                    </a:xfrm>
                    <a:prstGeom prst="rect">
                      <a:avLst/>
                    </a:prstGeom>
                  </pic:spPr>
                </pic:pic>
              </a:graphicData>
            </a:graphic>
          </wp:inline>
        </w:drawing>
      </w:r>
      <w:r>
        <w:t xml:space="preserve">doba nutná pro nakládku dříví na silniční vozidlo dopravce překročí 1 hodinu, může být prodávajícímu vyúčtován více náklad v souvislosti s nakládkou dříví v poměrné výši určené dopravcem. Podmínky přepravy musí být odsouhlaseny s oddělením logistiky kupujícího (email: </w:t>
      </w:r>
      <w:r>
        <w:rPr>
          <w:u w:val="single" w:color="000000"/>
        </w:rPr>
        <w:t xml:space="preserve">logistika@wood-paper.cz, </w:t>
      </w:r>
      <w:r>
        <w:rPr>
          <w:noProof/>
        </w:rPr>
        <w:drawing>
          <wp:inline distT="0" distB="0" distL="0" distR="0">
            <wp:extent cx="3049" cy="12194"/>
            <wp:effectExtent l="0" t="0" r="0" b="0"/>
            <wp:docPr id="37787" name="Picture 37787"/>
            <wp:cNvGraphicFramePr/>
            <a:graphic xmlns:a="http://schemas.openxmlformats.org/drawingml/2006/main">
              <a:graphicData uri="http://schemas.openxmlformats.org/drawingml/2006/picture">
                <pic:pic xmlns:pic="http://schemas.openxmlformats.org/drawingml/2006/picture">
                  <pic:nvPicPr>
                    <pic:cNvPr id="37787" name="Picture 37787"/>
                    <pic:cNvPicPr/>
                  </pic:nvPicPr>
                  <pic:blipFill>
                    <a:blip r:embed="rId20"/>
                    <a:stretch>
                      <a:fillRect/>
                    </a:stretch>
                  </pic:blipFill>
                  <pic:spPr>
                    <a:xfrm>
                      <a:off x="0" y="0"/>
                      <a:ext cx="3049" cy="12194"/>
                    </a:xfrm>
                    <a:prstGeom prst="rect">
                      <a:avLst/>
                    </a:prstGeom>
                  </pic:spPr>
                </pic:pic>
              </a:graphicData>
            </a:graphic>
          </wp:inline>
        </w:drawing>
      </w:r>
      <w:r>
        <w:t>Ing. Přichystal 602 671 340 Ing. Valach 602 671 338, Ing. Šafař 601 326 164). Požadavky na silniční přepravy je nutno nahlásit kupujícímu nejpozději do pátku 9:00 hod. na celý následující kalendářní týden. V případě, že prodávající má vlastní dopravní prostředky (LKW) je možno tyto po dohodě použít, platí však, že prodávající dodá vlastními LKW veškeré smluvní množství z této smlouvy dle podmínek kupujícího. Prodávající v tomto případě vstupuje do práv a povinností dopravce upravených samostatnou smlouvou o přepravě věci. Z důvodu právní jistoty smluvní strany výslovně prohlašují, že převzetí zboží třetí osobou — dopravcem — k přepravě nemá vliv na přechod vlastnického práva k dříví z prodávajícího na kupujícího, k němuž dochází v souladu s ujednáním stran okamžikem odevzdání dříví, tj. ukončením přejímky v místě plnění.</w:t>
      </w:r>
    </w:p>
    <w:p w:rsidR="002D6B63" w:rsidRDefault="007352C6">
      <w:pPr>
        <w:ind w:left="672" w:right="388"/>
      </w:pPr>
      <w:r>
        <w:lastRenderedPageBreak/>
        <w:t>Ložení a přeprava je dovolena pouze do silničních nákladních prostředků a návěsů se speciální konstrukcí určenou pro přepravu kmenového dříví schváleného typu dle silničních předpisů a platných podmínek pro nákladní dopravu (zákon č. 56/2001 Sb., o podmínkách provozu vozidel na pozemních komunikacích, zákon č. 111/1994 Sb. o silniční dopravě, Vyhláška č. 341/2002 Sb., o schvalování technické způsobilosti a o technických podmínkách provozu vozidel na pozemních komunikacích.</w:t>
      </w:r>
    </w:p>
    <w:p w:rsidR="002D6B63" w:rsidRDefault="007352C6">
      <w:pPr>
        <w:ind w:left="667" w:right="388"/>
      </w:pPr>
      <w:r>
        <w:t xml:space="preserve">Úhrada smluvní ceny přepravy - dopravné za smluvní dodávky dříví bude provedena za každý změřený a v dodacím listu/CMR firmou Hl MARESCH </w:t>
      </w:r>
      <w:proofErr w:type="spellStart"/>
      <w:r>
        <w:t>GmbH</w:t>
      </w:r>
      <w:proofErr w:type="spellEnd"/>
      <w:r>
        <w:t xml:space="preserve"> z přejímky potvrzený m3 dříví (</w:t>
      </w:r>
      <w:proofErr w:type="spellStart"/>
      <w:r>
        <w:t>plnometrický</w:t>
      </w:r>
      <w:proofErr w:type="spellEnd"/>
      <w:r>
        <w:t xml:space="preserve"> objem). Výše smluvní ceny přepravy je dána především podle kilometrické silniční vzdálenosti (dále jen „KM”) z odvozního místa nakládky do </w:t>
      </w:r>
      <w:proofErr w:type="spellStart"/>
      <w:r>
        <w:t>Retzu</w:t>
      </w:r>
      <w:proofErr w:type="spellEnd"/>
      <w:r>
        <w:t xml:space="preserve"> na dřevosklad konečného příjemce </w:t>
      </w:r>
      <w:proofErr w:type="spellStart"/>
      <w:r>
        <w:t>Holzindustrie</w:t>
      </w:r>
      <w:proofErr w:type="spellEnd"/>
      <w:r>
        <w:t xml:space="preserve"> </w:t>
      </w:r>
      <w:proofErr w:type="spellStart"/>
      <w:r>
        <w:t>Maresch</w:t>
      </w:r>
      <w:proofErr w:type="spellEnd"/>
      <w:r>
        <w:t xml:space="preserve"> </w:t>
      </w:r>
      <w:proofErr w:type="spellStart"/>
      <w:r>
        <w:t>GmbH</w:t>
      </w:r>
      <w:proofErr w:type="spellEnd"/>
      <w:r>
        <w:t xml:space="preserve">. Místem nakládky dřevní hmoty se rozumí nejbližší obec k (odvoznímu) místu nakládky prodávajícího přičemž je možné použít pouze takový „název obce”, který je obsažen v platné databázi obcí ČR společnosti </w:t>
      </w:r>
      <w:proofErr w:type="spellStart"/>
      <w:r>
        <w:t>Wood</w:t>
      </w:r>
      <w:proofErr w:type="spellEnd"/>
      <w:r>
        <w:t xml:space="preserve"> &amp; </w:t>
      </w:r>
      <w:proofErr w:type="spellStart"/>
      <w:r>
        <w:t>Paper</w:t>
      </w:r>
      <w:proofErr w:type="spellEnd"/>
      <w:r>
        <w:t xml:space="preserve">, která je umístěna na internetových stránkách www.wood-paper.cz (Obec je zde dále definována názvem, okresem a identifikačním číslem obce a doplněna o km vzdálenost do </w:t>
      </w:r>
      <w:proofErr w:type="spellStart"/>
      <w:r>
        <w:t>Retzu</w:t>
      </w:r>
      <w:proofErr w:type="spellEnd"/>
      <w:r>
        <w:t>).</w:t>
      </w:r>
    </w:p>
    <w:p w:rsidR="002D6B63" w:rsidRDefault="007352C6">
      <w:pPr>
        <w:ind w:left="677" w:right="388"/>
      </w:pPr>
      <w:r>
        <w:t xml:space="preserve">Tento údaj „název obce s jejím okresem” musí být zapsán do dodacího listu kolonka „místo odeslání, kraj” a na přepravní doklad CMR a v </w:t>
      </w:r>
      <w:proofErr w:type="spellStart"/>
      <w:r>
        <w:t>Retzu</w:t>
      </w:r>
      <w:proofErr w:type="spellEnd"/>
      <w:r>
        <w:t xml:space="preserve"> do el. přejímkového systému u konečného příjemce. V případě, že tyto údaje budou navzájem v rozporu, nebo nebudou na požadovaných místech uvedeny, potom kupující není povinen hradit dopravné.</w:t>
      </w:r>
    </w:p>
    <w:p w:rsidR="002D6B63" w:rsidRDefault="007352C6">
      <w:pPr>
        <w:ind w:left="677" w:right="388"/>
      </w:pPr>
      <w:r>
        <w:t>Dopravce je povinen ložit náklad pouze za přítomnosti určené osoby prodávajícího (např. pracovník na pozici lesník, expedient). Dopravce je povinen převzít k nákladu všechny doklady od prodávajícího, zejména dodací list. Dopravce je povinen ke každé dodávce vyplnit nákladní list CMR (v kolonce č. 4 uvedené odvozní místo prodávajícího a v kolonce č. 5 číslo kupní smlouvy prodávajícího) a tento potvrzený prodávajícím předat v jeho nezměněné formě na přejímce dříví konečnému příjemci, a to i v případech překládky dříví. Dopravce souhlasí, s tím že pokud nepředá příslušné a správně vyplněné doklady u vykládky, nemusí být tato dodávka považována za smluvní přepravu a dopravci nevznikne právo na úhradu ceny přepravného.</w:t>
      </w:r>
    </w:p>
    <w:p w:rsidR="002D6B63" w:rsidRDefault="007352C6">
      <w:pPr>
        <w:ind w:left="696" w:right="388"/>
      </w:pPr>
      <w:r>
        <w:t xml:space="preserve">Prodávající bere na vědomí, že každý dopravce je povinen ke každé smluvní přepravě dříví doložit a přímo od své monitorovací společnosti zabezpečit přenos elektronických souborů dat o trase (GPS data) na emailovou adresu: </w:t>
      </w:r>
      <w:r>
        <w:rPr>
          <w:u w:val="single" w:color="000000"/>
        </w:rPr>
        <w:t>gps@wood-paper.cz</w:t>
      </w:r>
      <w:r>
        <w:t xml:space="preserve"> kupujícího. Předání informací provede přímo monitorovací společnost dopravce kupujícímu v předem ujednané formě a specifikaci. Specifikace souboru dat o trase (GPS data) jsou uvedeny v dokumentu: „Specifikace struktury souborů pro projekt Kontrola odvozní vzdálenosti od 1.1. 2019” umístěných na internetových stránkách http://www.wood-paper.cz/logistika/</w:t>
      </w:r>
    </w:p>
    <w:p w:rsidR="002D6B63" w:rsidRDefault="007352C6">
      <w:pPr>
        <w:ind w:left="686" w:right="388"/>
      </w:pPr>
      <w:r>
        <w:t xml:space="preserve">Prodávající podpisem kupní smlouvy souhlasí s poskytnutím a dalším zpracováním shora uvedených elektronických souborů společnosti WOOD &amp; PAPER a.s. , Hlína 18,66491, zapsaná u Krajského soudu v Brně spisová značka B 3439. a jím pověřeným subjektům, společnosti </w:t>
      </w:r>
      <w:proofErr w:type="spellStart"/>
      <w:r>
        <w:t>Aplitax</w:t>
      </w:r>
      <w:proofErr w:type="spellEnd"/>
      <w:r>
        <w:t xml:space="preserve"> s.r.o. a </w:t>
      </w:r>
      <w:r>
        <w:rPr>
          <w:noProof/>
        </w:rPr>
        <w:drawing>
          <wp:inline distT="0" distB="0" distL="0" distR="0">
            <wp:extent cx="21336" cy="30484"/>
            <wp:effectExtent l="0" t="0" r="0" b="0"/>
            <wp:docPr id="37788" name="Picture 37788"/>
            <wp:cNvGraphicFramePr/>
            <a:graphic xmlns:a="http://schemas.openxmlformats.org/drawingml/2006/main">
              <a:graphicData uri="http://schemas.openxmlformats.org/drawingml/2006/picture">
                <pic:pic xmlns:pic="http://schemas.openxmlformats.org/drawingml/2006/picture">
                  <pic:nvPicPr>
                    <pic:cNvPr id="37788" name="Picture 37788"/>
                    <pic:cNvPicPr/>
                  </pic:nvPicPr>
                  <pic:blipFill>
                    <a:blip r:embed="rId21"/>
                    <a:stretch>
                      <a:fillRect/>
                    </a:stretch>
                  </pic:blipFill>
                  <pic:spPr>
                    <a:xfrm>
                      <a:off x="0" y="0"/>
                      <a:ext cx="21336" cy="30484"/>
                    </a:xfrm>
                    <a:prstGeom prst="rect">
                      <a:avLst/>
                    </a:prstGeom>
                  </pic:spPr>
                </pic:pic>
              </a:graphicData>
            </a:graphic>
          </wp:inline>
        </w:drawing>
      </w:r>
      <w:r>
        <w:t xml:space="preserve">Slovanská alej 1993/28, 326 OO Plzeň, IČ 28023927, a společnosti HOLZINDUSTRIE MARESCH </w:t>
      </w:r>
      <w:proofErr w:type="spellStart"/>
      <w:r>
        <w:t>GmbH</w:t>
      </w:r>
      <w:proofErr w:type="spellEnd"/>
      <w:r>
        <w:t xml:space="preserve">, </w:t>
      </w:r>
      <w:proofErr w:type="spellStart"/>
      <w:r>
        <w:t>Breiten</w:t>
      </w:r>
      <w:proofErr w:type="spellEnd"/>
      <w:r>
        <w:t xml:space="preserve"> 1, PLZ 2070 </w:t>
      </w:r>
      <w:proofErr w:type="spellStart"/>
      <w:r>
        <w:t>Retz</w:t>
      </w:r>
      <w:proofErr w:type="spellEnd"/>
      <w:r>
        <w:t>, Rakousko.</w:t>
      </w:r>
    </w:p>
    <w:p w:rsidR="002D6B63" w:rsidRDefault="007352C6">
      <w:pPr>
        <w:ind w:left="691" w:right="388"/>
      </w:pPr>
      <w:r>
        <w:t>Kupující si vyhrazuje právo kdykoli nahlédnout do tachografických dokladů dopravního prostředku (LKW), kterým byla smluvní dodávka doručena ke konečnému příjemci za účelem provedení kontroly a vzájemného porovnání údajů s dodacím listem, CMR. Dopravce je povinen předložit všechny požadované podklady. V případě že se údaje nebudou shodovat, nebo kupující neobdrží všechny podklady, nebude uhrazeno za tyto dodávky dopravné.</w:t>
      </w:r>
    </w:p>
    <w:p w:rsidR="002D6B63" w:rsidRDefault="007352C6">
      <w:pPr>
        <w:ind w:left="691" w:right="388"/>
      </w:pPr>
      <w:r>
        <w:t xml:space="preserve">Kupující je oprávněn po dopravci požadovat smluvní pokutu ve výši </w:t>
      </w:r>
      <w:r w:rsidRPr="007352C6">
        <w:rPr>
          <w:highlight w:val="black"/>
        </w:rPr>
        <w:t>1.000</w:t>
      </w:r>
      <w:r>
        <w:t xml:space="preserve"> Kč za každou přepravu, ke které nebyly požadované soubory dat GPS o trase dodávky řádně dodány a v případě neobdržení poskytování informací GPS o trase dodávky i bez ohledu na již udělenou smluvní pokutu je kupující oprávněn po dopravci i nadále vyžadovat prokázání uvedeného místa nakládky a trasy ke konečnému příjemci. Pokud toto nebude dopravcem věrohodně doloženo, je kupující oprávněn uhradit dopravné za takovou dodávku pouze ve výši jako by byla uskutečněna z prvního tarifního pásma (21-30 km Hl </w:t>
      </w:r>
      <w:proofErr w:type="spellStart"/>
      <w:r>
        <w:t>Maresch</w:t>
      </w:r>
      <w:proofErr w:type="spellEnd"/>
      <w:r>
        <w:t xml:space="preserve"> </w:t>
      </w:r>
      <w:proofErr w:type="spellStart"/>
      <w:r>
        <w:t>GmbH</w:t>
      </w:r>
      <w:proofErr w:type="spellEnd"/>
      <w:r>
        <w:t>), a to i zpětně.</w:t>
      </w:r>
    </w:p>
    <w:p w:rsidR="002D6B63" w:rsidRDefault="007352C6">
      <w:pPr>
        <w:ind w:left="696" w:right="388"/>
      </w:pPr>
      <w:r>
        <w:t xml:space="preserve">Ložení a přeprava je dovolena pouze do silničních nákladních prostředků a návěsů se speciální konstrukcí určenou pro přepravu kmenového dříví schváleného typu dle silničních předpisů a platných podmínek pro nákladní dopravu (zákon č. 56/2001 Sb., o podmínkách provozu vozidel na pozemních komunikacích, zákon č. 111/1994 Sb. o silniční dopravě, Vyhláška č. 341/2014 </w:t>
      </w:r>
      <w:proofErr w:type="spellStart"/>
      <w:r>
        <w:t>Sb</w:t>
      </w:r>
      <w:proofErr w:type="spellEnd"/>
      <w:r>
        <w:t xml:space="preserve"> ., o schvalování technické způsobilosti a o technických podmínkách provozu vozidel na pozemních komunikacích. Každý dopravce se zavazuje dodržovat obecně závazné právní předpisy o provozu na veřejných a účelových komunikacích v souladu se zákonem č. 361/2000 Sb. dále zákon č. 168/1999 </w:t>
      </w:r>
      <w:proofErr w:type="spellStart"/>
      <w:r>
        <w:t>Sb</w:t>
      </w:r>
      <w:proofErr w:type="spellEnd"/>
      <w:r>
        <w:t xml:space="preserve">, o pojištění odpovědnosti za škodu způsobenou provozem vozidla ve znění pozdějších předpisů. Dopravce se zavazuje zajistit pojištění odpovědnosti za škody způsobené jeho provozní činností platné po celou dobu platnosti této smlouvy. Výše pojištění vzhledem k jedné škodní události musí odpovídat minimálně částce </w:t>
      </w:r>
      <w:r w:rsidRPr="007352C6">
        <w:rPr>
          <w:highlight w:val="black"/>
        </w:rPr>
        <w:t>50.000</w:t>
      </w:r>
      <w:r>
        <w:t>,- Kč.</w:t>
      </w:r>
    </w:p>
    <w:p w:rsidR="002D6B63" w:rsidRDefault="007352C6">
      <w:pPr>
        <w:spacing w:after="119"/>
        <w:ind w:left="710" w:right="326"/>
      </w:pPr>
      <w:r>
        <w:t>Pro všechny dopravce platí povinnost dodržování vnitřních předpisů konečného příjemce jeho zaměstnanci a všemi jeho obchodními partnery. Pro případ porušení těchto povinností se dopravce zavazuje uhradit kupujícímu smluvní pokutu ve výši až 15 000,- Kč za každý jednotlivý případ zjištění porušení povinností z těchto předpisů a tohoto ujednání vyplývajících, bez dotčení práva na náhradu škody. Zboží musí být přepravováno s odbornou péčí a ve smluvené lhůtě. Dopravce nese odpovědnost za ztrátu a škodu na přepravovaném zboží, jež vznikla po jejím převzetí od prodávajícího až do jejího vydání konečnému příjemci nebo nedodržením smluvních podmínek. Pro případ vzniku škody na zásilce platí obdobně ustanovení 2566 a násl. zákona č. 89/2012 Sb., občanského zákoníku, ve znění pozdějších předpisů. Dopravce je povinen dodržovat maximální přípustný náklad naložený na dopravním prostředku dopravce.</w:t>
      </w:r>
    </w:p>
    <w:p w:rsidR="002D6B63" w:rsidRDefault="007352C6">
      <w:pPr>
        <w:pStyle w:val="Nadpis3"/>
        <w:tabs>
          <w:tab w:val="center" w:pos="382"/>
          <w:tab w:val="center" w:pos="3898"/>
        </w:tabs>
        <w:ind w:left="0" w:firstLine="0"/>
      </w:pPr>
      <w:r>
        <w:rPr>
          <w:u w:val="none"/>
        </w:rPr>
        <w:tab/>
        <w:t>7)</w:t>
      </w:r>
      <w:r>
        <w:rPr>
          <w:u w:val="none"/>
        </w:rPr>
        <w:tab/>
      </w:r>
      <w:r>
        <w:t xml:space="preserve">Přeprava - internetová aplikace </w:t>
      </w:r>
      <w:proofErr w:type="spellStart"/>
      <w:r>
        <w:t>WoodAccept</w:t>
      </w:r>
      <w:proofErr w:type="spellEnd"/>
      <w:r>
        <w:t xml:space="preserve"> - Dispečink MARESCH do </w:t>
      </w:r>
      <w:proofErr w:type="spellStart"/>
      <w:r>
        <w:t>Holzindustrie</w:t>
      </w:r>
      <w:proofErr w:type="spellEnd"/>
      <w:r>
        <w:t xml:space="preserve"> </w:t>
      </w:r>
      <w:proofErr w:type="spellStart"/>
      <w:r>
        <w:t>Maresch</w:t>
      </w:r>
      <w:proofErr w:type="spellEnd"/>
      <w:r>
        <w:t xml:space="preserve"> </w:t>
      </w:r>
      <w:proofErr w:type="spellStart"/>
      <w:r>
        <w:t>GmbH</w:t>
      </w:r>
      <w:proofErr w:type="spellEnd"/>
    </w:p>
    <w:p w:rsidR="002D6B63" w:rsidRDefault="007352C6">
      <w:pPr>
        <w:spacing w:after="101"/>
        <w:ind w:left="734" w:right="312"/>
      </w:pPr>
      <w:r>
        <w:t xml:space="preserve">Pro všechny smluvní dodávky ke konečnému příjemci </w:t>
      </w:r>
      <w:proofErr w:type="spellStart"/>
      <w:r>
        <w:t>Holzindustrie</w:t>
      </w:r>
      <w:proofErr w:type="spellEnd"/>
      <w:r>
        <w:t xml:space="preserve"> </w:t>
      </w:r>
      <w:proofErr w:type="spellStart"/>
      <w:r>
        <w:t>Maresch</w:t>
      </w:r>
      <w:proofErr w:type="spellEnd"/>
      <w:r>
        <w:t xml:space="preserve"> </w:t>
      </w:r>
      <w:proofErr w:type="spellStart"/>
      <w:r>
        <w:t>GmbH</w:t>
      </w:r>
      <w:proofErr w:type="spellEnd"/>
      <w:r>
        <w:t xml:space="preserve"> je používána internetová aplikace „</w:t>
      </w:r>
      <w:proofErr w:type="spellStart"/>
      <w:r>
        <w:t>WoodAccept</w:t>
      </w:r>
      <w:proofErr w:type="spellEnd"/>
      <w:r>
        <w:t xml:space="preserve">” - dispečink MARESCH, která je umístěna na internetových stránkách kupujícího, na www.wood-paper.cz /Dispečink </w:t>
      </w:r>
      <w:proofErr w:type="spellStart"/>
      <w:r>
        <w:t>Maresch</w:t>
      </w:r>
      <w:proofErr w:type="spellEnd"/>
      <w:r>
        <w:t>/</w:t>
      </w:r>
      <w:proofErr w:type="spellStart"/>
      <w:r>
        <w:t>Wood</w:t>
      </w:r>
      <w:proofErr w:type="spellEnd"/>
      <w:r>
        <w:t xml:space="preserve"> </w:t>
      </w:r>
      <w:proofErr w:type="spellStart"/>
      <w:r>
        <w:t>Accept</w:t>
      </w:r>
      <w:proofErr w:type="spellEnd"/>
      <w:r>
        <w:t>. Prodávající je povinen ke každé dodávce vystavovat a přikládat dodací list - záměr (prefix MA ) vystavený pro danou dodávku systémem „</w:t>
      </w:r>
      <w:proofErr w:type="spellStart"/>
      <w:r>
        <w:t>Wood</w:t>
      </w:r>
      <w:proofErr w:type="spellEnd"/>
      <w:r>
        <w:t xml:space="preserve"> </w:t>
      </w:r>
      <w:proofErr w:type="spellStart"/>
      <w:r>
        <w:t>Accept</w:t>
      </w:r>
      <w:proofErr w:type="spellEnd"/>
      <w:r>
        <w:t xml:space="preserve">—dojezdový </w:t>
      </w:r>
      <w:proofErr w:type="spellStart"/>
      <w:r>
        <w:t>dispečink”.Dodávky</w:t>
      </w:r>
      <w:proofErr w:type="spellEnd"/>
      <w:r>
        <w:t xml:space="preserve"> dříví bez platného záměru budou považován za neobjednané dříví, u kterého si kupující vyhrazuje právo uplatni slevu ze sjednané ceny ve výši 500Kč/m3, případně dodávku zcela odmítnout. Prodávající potvrzuje, že je s tímto systémem plně seznámen. Pokud vystavení dodacího listu - záměru v tomto systému není z technických důvodů možné, pak je prodávající povinen vystavit a přiložit vlastní dodací list, a to originál u vagónových dodávek a originál + </w:t>
      </w:r>
      <w:proofErr w:type="spellStart"/>
      <w:r>
        <w:t>l.kopie</w:t>
      </w:r>
      <w:proofErr w:type="spellEnd"/>
      <w:r>
        <w:t xml:space="preserve"> u osových dodávek. Na dodacím listu musí být především uvedeno množství dříví, číslo kupní smlouvy, číslo prodávajícího a označení sortimentu. V dispečinku </w:t>
      </w:r>
      <w:proofErr w:type="spellStart"/>
      <w:r>
        <w:t>Maresch</w:t>
      </w:r>
      <w:proofErr w:type="spellEnd"/>
      <w:r>
        <w:t xml:space="preserve"> je vedena evidence všech kupních smluv s vyhodnocením jejich plnění a evidence všech přejímek. V případě železniční přepravy je prodávající povinen doplnit číslo záměru z aplikace </w:t>
      </w:r>
      <w:proofErr w:type="spellStart"/>
      <w:r>
        <w:t>Wood</w:t>
      </w:r>
      <w:proofErr w:type="spellEnd"/>
      <w:r>
        <w:t xml:space="preserve"> </w:t>
      </w:r>
      <w:proofErr w:type="spellStart"/>
      <w:r>
        <w:t>Accept</w:t>
      </w:r>
      <w:proofErr w:type="spellEnd"/>
      <w:r>
        <w:t xml:space="preserve"> do nákl. listu kolonka č. 15.</w:t>
      </w:r>
    </w:p>
    <w:p w:rsidR="002D6B63" w:rsidRDefault="007352C6">
      <w:pPr>
        <w:pStyle w:val="Nadpis3"/>
        <w:tabs>
          <w:tab w:val="center" w:pos="259"/>
          <w:tab w:val="center" w:pos="878"/>
        </w:tabs>
        <w:ind w:left="0" w:firstLine="0"/>
      </w:pPr>
      <w:r>
        <w:rPr>
          <w:u w:val="none"/>
        </w:rPr>
        <w:tab/>
        <w:t>8)</w:t>
      </w:r>
      <w:r>
        <w:rPr>
          <w:u w:val="none"/>
        </w:rPr>
        <w:tab/>
      </w:r>
      <w:r>
        <w:t>Certifikace</w:t>
      </w:r>
    </w:p>
    <w:p w:rsidR="002D6B63" w:rsidRDefault="007352C6">
      <w:pPr>
        <w:ind w:left="561" w:right="388"/>
      </w:pPr>
      <w:r>
        <w:t xml:space="preserve">Prodávající podpisem kvartální kupní smlouvy potvrzuje, </w:t>
      </w:r>
      <w:proofErr w:type="spellStart"/>
      <w:r>
        <w:t>ževeškeré</w:t>
      </w:r>
      <w:proofErr w:type="spellEnd"/>
      <w:r>
        <w:t xml:space="preserve"> dříví nepochází z neakceptovatelných zdrojů definovaných Politikou udržitelného hospodaření v lesích, plné znění těchto dokumentů je na internetových stránkách </w:t>
      </w:r>
      <w:r>
        <w:rPr>
          <w:u w:val="single" w:color="000000"/>
        </w:rPr>
        <w:t>www.wood-paper.cz</w:t>
      </w:r>
      <w:r>
        <w:t>.</w:t>
      </w:r>
    </w:p>
    <w:p w:rsidR="002D6B63" w:rsidRDefault="007352C6">
      <w:pPr>
        <w:numPr>
          <w:ilvl w:val="0"/>
          <w:numId w:val="6"/>
        </w:numPr>
        <w:ind w:right="388"/>
      </w:pPr>
      <w:r>
        <w:t>dřeviny i původ (stát/region), z nichž se dodávka sestává, identifikuje na průvodní dokumentaci.</w:t>
      </w:r>
    </w:p>
    <w:p w:rsidR="002D6B63" w:rsidRDefault="007352C6">
      <w:pPr>
        <w:numPr>
          <w:ilvl w:val="0"/>
          <w:numId w:val="6"/>
        </w:numPr>
        <w:ind w:right="388"/>
      </w:pPr>
      <w:r>
        <w:t>Udržuje v aktuálním stavu informace a přiměřené důkazy (nebo přístup k nim) o přesném vymezení konkrétního území, ze kterého surovina pochází, a to nejméně na úroveň lesního hospodářského celku, a o celém dodavatelském řetězci. K těmto informacím a důkazům poskytne kupujícímu přístup.</w:t>
      </w:r>
    </w:p>
    <w:p w:rsidR="002D6B63" w:rsidRDefault="007352C6">
      <w:pPr>
        <w:numPr>
          <w:ilvl w:val="0"/>
          <w:numId w:val="6"/>
        </w:numPr>
        <w:ind w:right="388"/>
      </w:pPr>
      <w:r>
        <w:t>Vlastní spolehlivé důkazy o shodě s požadavky na legálnost ve vazbě na státní správu včetně schváleného povolení k těžbě nebo platný a schválený lesní hospodářský plán a vůči státním orgánům existuje stav absence jakékoliv neshody</w:t>
      </w:r>
    </w:p>
    <w:p w:rsidR="002D6B63" w:rsidRDefault="007352C6">
      <w:pPr>
        <w:numPr>
          <w:ilvl w:val="0"/>
          <w:numId w:val="6"/>
        </w:numPr>
        <w:ind w:right="388"/>
      </w:pPr>
      <w:r>
        <w:t>Souhlasí s auditem dodavatelského řetězce až na úroveň lesního porostu za účelem prokázání, že veškeré dodávané dříví splňuje Minimální standardy a Politiku udržitelného hospodaření v lesích, a to buď zaměstnancem kupujícího, nebo jinou pověřenou osobou</w:t>
      </w:r>
    </w:p>
    <w:p w:rsidR="002D6B63" w:rsidRDefault="007352C6">
      <w:pPr>
        <w:numPr>
          <w:ilvl w:val="0"/>
          <w:numId w:val="6"/>
        </w:numPr>
        <w:ind w:right="388"/>
      </w:pPr>
      <w:r>
        <w:t>Dodávky dříví nepochází od dodavatelů nebo lesních hospodářských celků, které jsou zapsány na „Seznamu problematických území a dodavatelů" nebo zavede opatření, která jsou pro tato území/dodavatele stanovena tímto „Seznamem”. Důkazy o úspěšném zavedení těchto opatření poskytne kupujícímu před zahájením těchto dodávek.</w:t>
      </w:r>
    </w:p>
    <w:p w:rsidR="002D6B63" w:rsidRDefault="007352C6">
      <w:pPr>
        <w:ind w:left="561" w:right="388"/>
      </w:pPr>
      <w:r>
        <w:rPr>
          <w:noProof/>
        </w:rPr>
        <w:drawing>
          <wp:anchor distT="0" distB="0" distL="114300" distR="114300" simplePos="0" relativeHeight="251663360" behindDoc="0" locked="0" layoutInCell="1" allowOverlap="0">
            <wp:simplePos x="0" y="0"/>
            <wp:positionH relativeFrom="page">
              <wp:posOffset>6598920</wp:posOffset>
            </wp:positionH>
            <wp:positionV relativeFrom="page">
              <wp:posOffset>195100</wp:posOffset>
            </wp:positionV>
            <wp:extent cx="463297" cy="54872"/>
            <wp:effectExtent l="0" t="0" r="0" b="0"/>
            <wp:wrapTopAndBottom/>
            <wp:docPr id="42588" name="Picture 42588"/>
            <wp:cNvGraphicFramePr/>
            <a:graphic xmlns:a="http://schemas.openxmlformats.org/drawingml/2006/main">
              <a:graphicData uri="http://schemas.openxmlformats.org/drawingml/2006/picture">
                <pic:pic xmlns:pic="http://schemas.openxmlformats.org/drawingml/2006/picture">
                  <pic:nvPicPr>
                    <pic:cNvPr id="42588" name="Picture 42588"/>
                    <pic:cNvPicPr/>
                  </pic:nvPicPr>
                  <pic:blipFill>
                    <a:blip r:embed="rId22"/>
                    <a:stretch>
                      <a:fillRect/>
                    </a:stretch>
                  </pic:blipFill>
                  <pic:spPr>
                    <a:xfrm>
                      <a:off x="0" y="0"/>
                      <a:ext cx="463297" cy="54872"/>
                    </a:xfrm>
                    <a:prstGeom prst="rect">
                      <a:avLst/>
                    </a:prstGeom>
                  </pic:spPr>
                </pic:pic>
              </a:graphicData>
            </a:graphic>
          </wp:anchor>
        </w:drawing>
      </w:r>
      <w:r>
        <w:t xml:space="preserve">Smluvní strany se dohodly, že prodávající, který obdržel v rámci pravidel právoplatnou certifikaci lesů, neprodleně zašle kupujícímu kopii certifikátu. Prodávající se zároveň zavazuje oznámit kupujícímu % PEFC certifikovaného dříví pro daný měsíc či období nebo dodávky certifikovaného dříví PEFC </w:t>
      </w:r>
      <w:r>
        <w:rPr>
          <w:noProof/>
        </w:rPr>
        <w:drawing>
          <wp:inline distT="0" distB="0" distL="0" distR="0">
            <wp:extent cx="3048" cy="3048"/>
            <wp:effectExtent l="0" t="0" r="0" b="0"/>
            <wp:docPr id="42558" name="Picture 42558"/>
            <wp:cNvGraphicFramePr/>
            <a:graphic xmlns:a="http://schemas.openxmlformats.org/drawingml/2006/main">
              <a:graphicData uri="http://schemas.openxmlformats.org/drawingml/2006/picture">
                <pic:pic xmlns:pic="http://schemas.openxmlformats.org/drawingml/2006/picture">
                  <pic:nvPicPr>
                    <pic:cNvPr id="42558" name="Picture 42558"/>
                    <pic:cNvPicPr/>
                  </pic:nvPicPr>
                  <pic:blipFill>
                    <a:blip r:embed="rId23"/>
                    <a:stretch>
                      <a:fillRect/>
                    </a:stretch>
                  </pic:blipFill>
                  <pic:spPr>
                    <a:xfrm>
                      <a:off x="0" y="0"/>
                      <a:ext cx="3048" cy="3048"/>
                    </a:xfrm>
                    <a:prstGeom prst="rect">
                      <a:avLst/>
                    </a:prstGeom>
                  </pic:spPr>
                </pic:pic>
              </a:graphicData>
            </a:graphic>
          </wp:inline>
        </w:drawing>
      </w:r>
      <w:r>
        <w:t xml:space="preserve">označit křížkem v určené kolonce dodacího listu (každá takto označená dodávka musí obsahovat 100 % certifikovaného dříví)a neprodleně pro odeslání dodávky zaslat jednu kopii kupujícímu. Pokud prodávající sděluje kupujícímu % certifikovaného dříví, činí tak předem, nejpozději do </w:t>
      </w:r>
      <w:r>
        <w:lastRenderedPageBreak/>
        <w:t>5. dne v měsíci nebo období, pro které je dané procento v platnosti. Procento certifikované dříví sdělí prodávající formou čestného prohlášení e-mailem (radka.zakova@wood.paper.cz)nebo poštou na adresu kupujícího.</w:t>
      </w:r>
    </w:p>
    <w:p w:rsidR="002D6B63" w:rsidRDefault="007352C6">
      <w:pPr>
        <w:spacing w:after="173"/>
        <w:ind w:left="561" w:right="388"/>
      </w:pPr>
      <w:r>
        <w:t>Prodávající dále prohlašuje, že je v souladu s novou směrnicí EU 995/2010 0 umísťování dřeva a výrobků na trh.</w:t>
      </w:r>
    </w:p>
    <w:p w:rsidR="002D6B63" w:rsidRDefault="007352C6">
      <w:pPr>
        <w:pStyle w:val="Nadpis3"/>
        <w:tabs>
          <w:tab w:val="center" w:pos="259"/>
          <w:tab w:val="center" w:pos="1603"/>
        </w:tabs>
        <w:ind w:left="0" w:firstLine="0"/>
      </w:pPr>
      <w:r>
        <w:rPr>
          <w:u w:val="none"/>
        </w:rPr>
        <w:tab/>
        <w:t>9)</w:t>
      </w:r>
      <w:r>
        <w:rPr>
          <w:u w:val="none"/>
        </w:rPr>
        <w:tab/>
      </w:r>
      <w:r>
        <w:t xml:space="preserve">Informování konečného </w:t>
      </w:r>
      <w:proofErr w:type="spellStart"/>
      <w:r>
        <w:t>příiemce</w:t>
      </w:r>
      <w:proofErr w:type="spellEnd"/>
    </w:p>
    <w:p w:rsidR="002D6B63" w:rsidRDefault="007352C6">
      <w:pPr>
        <w:spacing w:after="98"/>
        <w:ind w:left="561" w:right="470"/>
      </w:pPr>
      <w:r>
        <w:t>S ohledem na sjednaný způsob plnění, zejména přejímku prováděnou konečným příjemcem s účinky pro výkon práv a plnění povinností mezi kupujícím a prodávajícím a organizaci přepravy, považují smluvní strany za nezbytné zpřístupnit konečnému příjemci obsah kupní smlouvy, včetně těchto podmínek , a to i v podobě poskytnutí kopie vyhotovení kupní smlouvy, včetně údajů představující obchodní tajemství a uvedených osobních údajů. Kupující je k takovému informování konečného příjemce oprávněn a prodávající s tím souhlasí a je srozuměn s důsledky z toho plynoucími.</w:t>
      </w:r>
    </w:p>
    <w:p w:rsidR="002D6B63" w:rsidRDefault="007352C6">
      <w:pPr>
        <w:pStyle w:val="Nadpis3"/>
        <w:ind w:left="211"/>
      </w:pPr>
      <w:r>
        <w:rPr>
          <w:u w:val="none"/>
        </w:rPr>
        <w:t xml:space="preserve">10) </w:t>
      </w:r>
      <w:r>
        <w:t>Závěrečná ustanovení</w:t>
      </w:r>
    </w:p>
    <w:p w:rsidR="002D6B63" w:rsidRDefault="007352C6">
      <w:pPr>
        <w:ind w:left="561" w:right="388"/>
      </w:pPr>
      <w:r>
        <w:t xml:space="preserve">Při úplném nebo částečném zastavení provozu pily v místě plnění způsobené vyšší mocí nebo požárem, je kupující oprávněn jednostranně odstoupit od kupní smlouvy, nedojde-li k jiné dohodě prodávajícího a kupujícího. V případě nepříznivých klimatických podmínek a následných rozsáhlých kalamit (např. větrných, sněhových, hmyzích) nebo při jiných podstatných změnách na trzích řeziva a kulatin a konečně též v případě omezení výroby v závodě Hl </w:t>
      </w:r>
      <w:proofErr w:type="spellStart"/>
      <w:r>
        <w:t>Maresch</w:t>
      </w:r>
      <w:proofErr w:type="spellEnd"/>
      <w:r>
        <w:t xml:space="preserve"> vzhledem ke zhoršené situaci na trhu s řezivem, není kupující povinen odebrat nasmlouvané množství dříví a je oprávněn vyzvat prodávajícího k jednání o změně kupní smlouvy. Nedojde-li mezi účastníky k dohodě o množství a ceně dříví formou uzavření dodatku ke kupní smlouvě, má kupující nebo prodávající právo od kupní smlouvy odstoupit.</w:t>
      </w:r>
    </w:p>
    <w:p w:rsidR="002D6B63" w:rsidRDefault="007352C6">
      <w:pPr>
        <w:ind w:left="561" w:right="388"/>
      </w:pPr>
      <w:r>
        <w:t xml:space="preserve">Pro všechny případy odstoupení od kupní smlouvy se </w:t>
      </w:r>
      <w:proofErr w:type="spellStart"/>
      <w:r>
        <w:t>sjendávají</w:t>
      </w:r>
      <w:proofErr w:type="spellEnd"/>
      <w:r>
        <w:t xml:space="preserve"> účinky odstoupení tak, že odstoupením od smlouvy se závazek zrušuje ke dni účinnosti odstoupení.</w:t>
      </w:r>
    </w:p>
    <w:p w:rsidR="002D6B63" w:rsidRDefault="007352C6">
      <w:pPr>
        <w:spacing w:after="148"/>
        <w:ind w:left="561" w:right="388"/>
      </w:pPr>
      <w:r>
        <w:t>Smluvní strany souhlasí se zasíláním obchodních sdělení a informací týkajících se vzájemné obchodní spolupráce elektronickou poštou.</w:t>
      </w:r>
    </w:p>
    <w:p w:rsidR="002D6B63" w:rsidRDefault="007352C6">
      <w:pPr>
        <w:ind w:left="561" w:right="388"/>
      </w:pPr>
      <w:r>
        <w:t>Tyto Technické, fakturační a přepravní podmínky platí pro I.Q 2019.</w:t>
      </w:r>
    </w:p>
    <w:sectPr w:rsidR="002D6B63">
      <w:pgSz w:w="12240" w:h="16860"/>
      <w:pgMar w:top="427" w:right="1070" w:bottom="499" w:left="73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6pt;height:6pt" coordsize="" o:spt="100" o:bullet="t" adj="0,,0" path="" stroked="f">
        <v:stroke joinstyle="miter"/>
        <v:imagedata r:id="rId1" o:title="image25"/>
        <v:formulas/>
        <v:path o:connecttype="segments"/>
      </v:shape>
    </w:pict>
  </w:numPicBullet>
  <w:abstractNum w:abstractNumId="0" w15:restartNumberingAfterBreak="0">
    <w:nsid w:val="03E76622"/>
    <w:multiLevelType w:val="hybridMultilevel"/>
    <w:tmpl w:val="E94C8C2C"/>
    <w:lvl w:ilvl="0" w:tplc="034A6CA4">
      <w:start w:val="1"/>
      <w:numFmt w:val="lowerLetter"/>
      <w:lvlText w:val="%1)"/>
      <w:lvlJc w:val="left"/>
      <w:pPr>
        <w:ind w:left="5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D88C48">
      <w:start w:val="1"/>
      <w:numFmt w:val="lowerLetter"/>
      <w:lvlText w:val="%2"/>
      <w:lvlJc w:val="left"/>
      <w:pPr>
        <w:ind w:left="14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8E8ED0E">
      <w:start w:val="1"/>
      <w:numFmt w:val="lowerRoman"/>
      <w:lvlText w:val="%3"/>
      <w:lvlJc w:val="left"/>
      <w:pPr>
        <w:ind w:left="22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82EBAC">
      <w:start w:val="1"/>
      <w:numFmt w:val="decimal"/>
      <w:lvlText w:val="%4"/>
      <w:lvlJc w:val="left"/>
      <w:pPr>
        <w:ind w:left="29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8ABE00">
      <w:start w:val="1"/>
      <w:numFmt w:val="lowerLetter"/>
      <w:lvlText w:val="%5"/>
      <w:lvlJc w:val="left"/>
      <w:pPr>
        <w:ind w:left="3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14C37BA">
      <w:start w:val="1"/>
      <w:numFmt w:val="lowerRoman"/>
      <w:lvlText w:val="%6"/>
      <w:lvlJc w:val="left"/>
      <w:pPr>
        <w:ind w:left="4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F280E0">
      <w:start w:val="1"/>
      <w:numFmt w:val="decimal"/>
      <w:lvlText w:val="%7"/>
      <w:lvlJc w:val="left"/>
      <w:pPr>
        <w:ind w:left="5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1168BFE">
      <w:start w:val="1"/>
      <w:numFmt w:val="lowerLetter"/>
      <w:lvlText w:val="%8"/>
      <w:lvlJc w:val="left"/>
      <w:pPr>
        <w:ind w:left="5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AA693CE">
      <w:start w:val="1"/>
      <w:numFmt w:val="lowerRoman"/>
      <w:lvlText w:val="%9"/>
      <w:lvlJc w:val="left"/>
      <w:pPr>
        <w:ind w:left="6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4B7ED2"/>
    <w:multiLevelType w:val="hybridMultilevel"/>
    <w:tmpl w:val="332C8560"/>
    <w:lvl w:ilvl="0" w:tplc="50262CA4">
      <w:start w:val="1"/>
      <w:numFmt w:val="decimal"/>
      <w:lvlText w:val="%1."/>
      <w:lvlJc w:val="left"/>
      <w:pPr>
        <w:ind w:left="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B0101E">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CAE0C4">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783F7E">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6EE090">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B2368C">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87154">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C68E8">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8AAB4">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8D04CC"/>
    <w:multiLevelType w:val="hybridMultilevel"/>
    <w:tmpl w:val="58DC608E"/>
    <w:lvl w:ilvl="0" w:tplc="9B08EDC6">
      <w:start w:val="6"/>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2BCD4">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E2B70">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E2AFDC">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40190">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C7272">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A7888">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44C440">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B011B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05326B"/>
    <w:multiLevelType w:val="hybridMultilevel"/>
    <w:tmpl w:val="F828CF08"/>
    <w:lvl w:ilvl="0" w:tplc="EDFED6B6">
      <w:start w:val="1"/>
      <w:numFmt w:val="lowerLetter"/>
      <w:lvlText w:val="%1."/>
      <w:lvlJc w:val="left"/>
      <w:pPr>
        <w:ind w:left="1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DEB528">
      <w:start w:val="1"/>
      <w:numFmt w:val="bullet"/>
      <w:lvlText w:val="•"/>
      <w:lvlPicBulletId w:val="0"/>
      <w:lvlJc w:val="left"/>
      <w:pPr>
        <w:ind w:left="2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30EFC4E">
      <w:start w:val="1"/>
      <w:numFmt w:val="bullet"/>
      <w:lvlText w:val="▪"/>
      <w:lvlJc w:val="left"/>
      <w:pPr>
        <w:ind w:left="33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73824B2">
      <w:start w:val="1"/>
      <w:numFmt w:val="bullet"/>
      <w:lvlText w:val="•"/>
      <w:lvlJc w:val="left"/>
      <w:pPr>
        <w:ind w:left="40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20474DE">
      <w:start w:val="1"/>
      <w:numFmt w:val="bullet"/>
      <w:lvlText w:val="o"/>
      <w:lvlJc w:val="left"/>
      <w:pPr>
        <w:ind w:left="48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CBA883A">
      <w:start w:val="1"/>
      <w:numFmt w:val="bullet"/>
      <w:lvlText w:val="▪"/>
      <w:lvlJc w:val="left"/>
      <w:pPr>
        <w:ind w:left="55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09A1AC8">
      <w:start w:val="1"/>
      <w:numFmt w:val="bullet"/>
      <w:lvlText w:val="•"/>
      <w:lvlJc w:val="left"/>
      <w:pPr>
        <w:ind w:left="62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AE4346C">
      <w:start w:val="1"/>
      <w:numFmt w:val="bullet"/>
      <w:lvlText w:val="o"/>
      <w:lvlJc w:val="left"/>
      <w:pPr>
        <w:ind w:left="69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A964D14">
      <w:start w:val="1"/>
      <w:numFmt w:val="bullet"/>
      <w:lvlText w:val="▪"/>
      <w:lvlJc w:val="left"/>
      <w:pPr>
        <w:ind w:left="76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93C7B8C"/>
    <w:multiLevelType w:val="hybridMultilevel"/>
    <w:tmpl w:val="F790E360"/>
    <w:lvl w:ilvl="0" w:tplc="884C6A1A">
      <w:start w:val="4"/>
      <w:numFmt w:val="lowerLetter"/>
      <w:lvlText w:val="%1."/>
      <w:lvlJc w:val="left"/>
      <w:pPr>
        <w:ind w:left="15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414B6EC">
      <w:start w:val="1"/>
      <w:numFmt w:val="bullet"/>
      <w:lvlText w:val="-"/>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F206FE">
      <w:start w:val="1"/>
      <w:numFmt w:val="bullet"/>
      <w:lvlText w:val="▪"/>
      <w:lvlJc w:val="left"/>
      <w:pPr>
        <w:ind w:left="2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AEE600">
      <w:start w:val="1"/>
      <w:numFmt w:val="bullet"/>
      <w:lvlText w:val="•"/>
      <w:lvlJc w:val="left"/>
      <w:pPr>
        <w:ind w:left="3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FECFA4">
      <w:start w:val="1"/>
      <w:numFmt w:val="bullet"/>
      <w:lvlText w:val="o"/>
      <w:lvlJc w:val="left"/>
      <w:pPr>
        <w:ind w:left="3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D8F4FC">
      <w:start w:val="1"/>
      <w:numFmt w:val="bullet"/>
      <w:lvlText w:val="▪"/>
      <w:lvlJc w:val="left"/>
      <w:pPr>
        <w:ind w:left="4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2A8B5C">
      <w:start w:val="1"/>
      <w:numFmt w:val="bullet"/>
      <w:lvlText w:val="•"/>
      <w:lvlJc w:val="left"/>
      <w:pPr>
        <w:ind w:left="5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B8D82A">
      <w:start w:val="1"/>
      <w:numFmt w:val="bullet"/>
      <w:lvlText w:val="o"/>
      <w:lvlJc w:val="left"/>
      <w:pPr>
        <w:ind w:left="6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0C88E2">
      <w:start w:val="1"/>
      <w:numFmt w:val="bullet"/>
      <w:lvlText w:val="▪"/>
      <w:lvlJc w:val="left"/>
      <w:pPr>
        <w:ind w:left="6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06B35E1"/>
    <w:multiLevelType w:val="hybridMultilevel"/>
    <w:tmpl w:val="90C6A482"/>
    <w:lvl w:ilvl="0" w:tplc="9C72626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76D05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E89710">
      <w:start w:val="1"/>
      <w:numFmt w:val="bullet"/>
      <w:lvlRestart w:val="0"/>
      <w:lvlText w:val="•"/>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E1B14">
      <w:start w:val="1"/>
      <w:numFmt w:val="bullet"/>
      <w:lvlText w:val="•"/>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46EC0">
      <w:start w:val="1"/>
      <w:numFmt w:val="bullet"/>
      <w:lvlText w:val="o"/>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2E7D8C">
      <w:start w:val="1"/>
      <w:numFmt w:val="bullet"/>
      <w:lvlText w:val="▪"/>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8F624">
      <w:start w:val="1"/>
      <w:numFmt w:val="bullet"/>
      <w:lvlText w:val="•"/>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EEBD46">
      <w:start w:val="1"/>
      <w:numFmt w:val="bullet"/>
      <w:lvlText w:val="o"/>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E882B0">
      <w:start w:val="1"/>
      <w:numFmt w:val="bullet"/>
      <w:lvlText w:val="▪"/>
      <w:lvlJc w:val="left"/>
      <w:pPr>
        <w:ind w:left="6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e9ARqM0DbMULv4RA/YZXK5a3e8wwIOfP4UwHZbphuNd7eaf81rVq+WyyQlYyisd+Vnzcy8Uu8mVyFWz+dmgCtA==" w:salt="bmTy0WR0WyF1RUryUbust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63"/>
    <w:rsid w:val="001752D3"/>
    <w:rsid w:val="002558FF"/>
    <w:rsid w:val="002D6B63"/>
    <w:rsid w:val="007352C6"/>
    <w:rsid w:val="00CD32EC"/>
    <w:rsid w:val="00D364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181DA-BB67-418B-BA41-53FE4C19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7" w:lineRule="auto"/>
      <w:ind w:right="130"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0"/>
      <w:ind w:left="34"/>
      <w:outlineLvl w:val="0"/>
    </w:pPr>
    <w:rPr>
      <w:rFonts w:ascii="Times New Roman" w:eastAsia="Times New Roman" w:hAnsi="Times New Roman" w:cs="Times New Roman"/>
      <w:color w:val="000000"/>
      <w:sz w:val="36"/>
    </w:rPr>
  </w:style>
  <w:style w:type="paragraph" w:styleId="Nadpis2">
    <w:name w:val="heading 2"/>
    <w:next w:val="Normln"/>
    <w:link w:val="Nadpis2Char"/>
    <w:uiPriority w:val="9"/>
    <w:unhideWhenUsed/>
    <w:qFormat/>
    <w:pPr>
      <w:keepNext/>
      <w:keepLines/>
      <w:spacing w:after="0"/>
      <w:ind w:left="1454" w:right="1042"/>
      <w:outlineLvl w:val="1"/>
    </w:pPr>
    <w:rPr>
      <w:rFonts w:ascii="Calibri" w:eastAsia="Calibri" w:hAnsi="Calibri" w:cs="Calibri"/>
      <w:color w:val="000000"/>
      <w:sz w:val="24"/>
    </w:rPr>
  </w:style>
  <w:style w:type="paragraph" w:styleId="Nadpis3">
    <w:name w:val="heading 3"/>
    <w:next w:val="Normln"/>
    <w:link w:val="Nadpis3Char"/>
    <w:uiPriority w:val="9"/>
    <w:unhideWhenUsed/>
    <w:qFormat/>
    <w:pPr>
      <w:keepNext/>
      <w:keepLines/>
      <w:spacing w:after="4"/>
      <w:ind w:left="216" w:hanging="10"/>
      <w:outlineLvl w:val="2"/>
    </w:pPr>
    <w:rPr>
      <w:rFonts w:ascii="Times New Roman" w:eastAsia="Times New Roman" w:hAnsi="Times New Roman" w:cs="Times New Roman"/>
      <w:color w:val="000000"/>
      <w:sz w:val="16"/>
      <w:u w:val="single" w:color="000000"/>
    </w:rPr>
  </w:style>
  <w:style w:type="paragraph" w:styleId="Nadpis4">
    <w:name w:val="heading 4"/>
    <w:next w:val="Normln"/>
    <w:link w:val="Nadpis4Char"/>
    <w:uiPriority w:val="9"/>
    <w:unhideWhenUsed/>
    <w:qFormat/>
    <w:pPr>
      <w:keepNext/>
      <w:keepLines/>
      <w:spacing w:after="0"/>
      <w:ind w:left="648"/>
      <w:outlineLvl w:val="3"/>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color w:val="000000"/>
      <w:sz w:val="14"/>
      <w:u w:val="single" w:color="000000"/>
    </w:rPr>
  </w:style>
  <w:style w:type="character" w:customStyle="1" w:styleId="Nadpis3Char">
    <w:name w:val="Nadpis 3 Char"/>
    <w:link w:val="Nadpis3"/>
    <w:rPr>
      <w:rFonts w:ascii="Times New Roman" w:eastAsia="Times New Roman" w:hAnsi="Times New Roman" w:cs="Times New Roman"/>
      <w:color w:val="000000"/>
      <w:sz w:val="16"/>
      <w:u w:val="single" w:color="000000"/>
    </w:rPr>
  </w:style>
  <w:style w:type="character" w:customStyle="1" w:styleId="Nadpis2Char">
    <w:name w:val="Nadpis 2 Char"/>
    <w:link w:val="Nadpis2"/>
    <w:rPr>
      <w:rFonts w:ascii="Calibri" w:eastAsia="Calibri" w:hAnsi="Calibri" w:cs="Calibri"/>
      <w:color w:val="000000"/>
      <w:sz w:val="24"/>
    </w:rPr>
  </w:style>
  <w:style w:type="character" w:customStyle="1" w:styleId="Nadpis1Char">
    <w:name w:val="Nadpis 1 Char"/>
    <w:link w:val="Nadpis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5339</Words>
  <Characters>31503</Characters>
  <Application>Microsoft Office Word</Application>
  <DocSecurity>8</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2019-01-30T11:07:00Z</dcterms:created>
  <dcterms:modified xsi:type="dcterms:W3CDTF">2019-01-30T11:08:00Z</dcterms:modified>
</cp:coreProperties>
</file>