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6E" w:rsidRDefault="00180D28">
      <w:pPr>
        <w:spacing w:after="156" w:line="259" w:lineRule="auto"/>
        <w:ind w:right="0"/>
        <w:jc w:val="left"/>
      </w:pPr>
      <w:r>
        <w:rPr>
          <w:noProof/>
        </w:rPr>
        <w:drawing>
          <wp:inline distT="0" distB="0" distL="0" distR="0">
            <wp:extent cx="866796" cy="780807"/>
            <wp:effectExtent l="0" t="0" r="0" b="0"/>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6"/>
                    <a:stretch>
                      <a:fillRect/>
                    </a:stretch>
                  </pic:blipFill>
                  <pic:spPr>
                    <a:xfrm>
                      <a:off x="0" y="0"/>
                      <a:ext cx="866796" cy="780807"/>
                    </a:xfrm>
                    <a:prstGeom prst="rect">
                      <a:avLst/>
                    </a:prstGeom>
                  </pic:spPr>
                </pic:pic>
              </a:graphicData>
            </a:graphic>
          </wp:inline>
        </w:drawing>
      </w:r>
      <w:r>
        <w:rPr>
          <w:sz w:val="30"/>
        </w:rPr>
        <w:t xml:space="preserve"> ŘEDITELSTVÍ SILNIC A DÁLNIC CR</w:t>
      </w:r>
    </w:p>
    <w:p w:rsidR="0048516E" w:rsidRDefault="00180D28">
      <w:pPr>
        <w:pStyle w:val="Nadpis1"/>
      </w:pPr>
      <w:r>
        <w:t>OBJEDNÁVKA</w:t>
      </w:r>
    </w:p>
    <w:p w:rsidR="0048516E" w:rsidRDefault="00180D28">
      <w:pPr>
        <w:spacing w:after="83" w:line="259" w:lineRule="auto"/>
        <w:jc w:val="center"/>
      </w:pPr>
      <w:r>
        <w:t>číslo objednávky: 29ZA-002079</w:t>
      </w:r>
    </w:p>
    <w:tbl>
      <w:tblPr>
        <w:tblStyle w:val="TableGrid"/>
        <w:tblW w:w="9824" w:type="dxa"/>
        <w:tblInd w:w="-673" w:type="dxa"/>
        <w:tblCellMar>
          <w:top w:w="0" w:type="dxa"/>
          <w:left w:w="0" w:type="dxa"/>
          <w:bottom w:w="0" w:type="dxa"/>
          <w:right w:w="0" w:type="dxa"/>
        </w:tblCellMar>
        <w:tblLook w:val="04A0" w:firstRow="1" w:lastRow="0" w:firstColumn="1" w:lastColumn="0" w:noHBand="0" w:noVBand="1"/>
      </w:tblPr>
      <w:tblGrid>
        <w:gridCol w:w="5402"/>
        <w:gridCol w:w="4422"/>
      </w:tblGrid>
      <w:tr w:rsidR="0048516E">
        <w:trPr>
          <w:trHeight w:val="348"/>
        </w:trPr>
        <w:tc>
          <w:tcPr>
            <w:tcW w:w="5402" w:type="dxa"/>
            <w:tcBorders>
              <w:top w:val="nil"/>
              <w:left w:val="nil"/>
              <w:bottom w:val="nil"/>
              <w:right w:val="nil"/>
            </w:tcBorders>
          </w:tcPr>
          <w:p w:rsidR="0048516E" w:rsidRDefault="00180D28">
            <w:pPr>
              <w:spacing w:after="0" w:line="259" w:lineRule="auto"/>
              <w:ind w:right="0"/>
              <w:jc w:val="left"/>
            </w:pPr>
            <w:r>
              <w:rPr>
                <w:sz w:val="26"/>
              </w:rPr>
              <w:t>Objednatel:</w:t>
            </w:r>
          </w:p>
        </w:tc>
        <w:tc>
          <w:tcPr>
            <w:tcW w:w="4422" w:type="dxa"/>
            <w:tcBorders>
              <w:top w:val="nil"/>
              <w:left w:val="nil"/>
              <w:bottom w:val="nil"/>
              <w:right w:val="nil"/>
            </w:tcBorders>
          </w:tcPr>
          <w:p w:rsidR="0048516E" w:rsidRDefault="00180D28">
            <w:pPr>
              <w:spacing w:after="0" w:line="259" w:lineRule="auto"/>
              <w:ind w:left="221" w:right="0"/>
              <w:jc w:val="left"/>
            </w:pPr>
            <w:r>
              <w:rPr>
                <w:sz w:val="26"/>
              </w:rPr>
              <w:t>Dodavatel:</w:t>
            </w:r>
          </w:p>
        </w:tc>
      </w:tr>
      <w:tr w:rsidR="0048516E">
        <w:trPr>
          <w:trHeight w:val="366"/>
        </w:trPr>
        <w:tc>
          <w:tcPr>
            <w:tcW w:w="5402" w:type="dxa"/>
            <w:tcBorders>
              <w:top w:val="nil"/>
              <w:left w:val="nil"/>
              <w:bottom w:val="nil"/>
              <w:right w:val="nil"/>
            </w:tcBorders>
          </w:tcPr>
          <w:p w:rsidR="0048516E" w:rsidRDefault="00180D28">
            <w:pPr>
              <w:spacing w:after="0" w:line="259" w:lineRule="auto"/>
              <w:ind w:right="0"/>
              <w:jc w:val="left"/>
            </w:pPr>
            <w:r>
              <w:t>Ředitelství silnic a dálnic ČR</w:t>
            </w:r>
          </w:p>
        </w:tc>
        <w:tc>
          <w:tcPr>
            <w:tcW w:w="4422" w:type="dxa"/>
            <w:tcBorders>
              <w:top w:val="nil"/>
              <w:left w:val="nil"/>
              <w:bottom w:val="nil"/>
              <w:right w:val="nil"/>
            </w:tcBorders>
          </w:tcPr>
          <w:p w:rsidR="0048516E" w:rsidRDefault="00180D28">
            <w:pPr>
              <w:spacing w:after="0" w:line="259" w:lineRule="auto"/>
              <w:ind w:left="221" w:right="0"/>
              <w:jc w:val="left"/>
            </w:pPr>
            <w:r>
              <w:t>Obchodní jméno: Hantály a.s.</w:t>
            </w:r>
          </w:p>
        </w:tc>
      </w:tr>
      <w:tr w:rsidR="0048516E">
        <w:trPr>
          <w:trHeight w:val="290"/>
        </w:trPr>
        <w:tc>
          <w:tcPr>
            <w:tcW w:w="5402" w:type="dxa"/>
            <w:tcBorders>
              <w:top w:val="nil"/>
              <w:left w:val="nil"/>
              <w:bottom w:val="nil"/>
              <w:right w:val="nil"/>
            </w:tcBorders>
          </w:tcPr>
          <w:p w:rsidR="0048516E" w:rsidRDefault="00180D28">
            <w:pPr>
              <w:spacing w:after="0" w:line="259" w:lineRule="auto"/>
              <w:ind w:left="10" w:right="0"/>
              <w:jc w:val="left"/>
            </w:pPr>
            <w:r>
              <w:t>ssCJD 7 Podivin</w:t>
            </w:r>
          </w:p>
        </w:tc>
        <w:tc>
          <w:tcPr>
            <w:tcW w:w="4422" w:type="dxa"/>
            <w:tcBorders>
              <w:top w:val="nil"/>
              <w:left w:val="nil"/>
              <w:bottom w:val="nil"/>
              <w:right w:val="nil"/>
            </w:tcBorders>
          </w:tcPr>
          <w:p w:rsidR="0048516E" w:rsidRDefault="00180D28">
            <w:pPr>
              <w:spacing w:after="0" w:line="259" w:lineRule="auto"/>
              <w:ind w:right="0"/>
              <w:jc w:val="right"/>
            </w:pPr>
            <w:r>
              <w:t>Adresa:Tovární 22,691 06 Velké Pavlovice</w:t>
            </w:r>
          </w:p>
        </w:tc>
      </w:tr>
      <w:tr w:rsidR="0048516E">
        <w:trPr>
          <w:trHeight w:val="317"/>
        </w:trPr>
        <w:tc>
          <w:tcPr>
            <w:tcW w:w="5402" w:type="dxa"/>
            <w:tcBorders>
              <w:top w:val="nil"/>
              <w:left w:val="nil"/>
              <w:bottom w:val="nil"/>
              <w:right w:val="nil"/>
            </w:tcBorders>
          </w:tcPr>
          <w:p w:rsidR="0048516E" w:rsidRDefault="00180D28">
            <w:pPr>
              <w:spacing w:after="0" w:line="259" w:lineRule="auto"/>
              <w:ind w:right="0"/>
              <w:jc w:val="left"/>
            </w:pPr>
            <w:r>
              <w:t>Bankovní spojení: ČNB</w:t>
            </w:r>
          </w:p>
        </w:tc>
        <w:tc>
          <w:tcPr>
            <w:tcW w:w="4422" w:type="dxa"/>
            <w:tcBorders>
              <w:top w:val="nil"/>
              <w:left w:val="nil"/>
              <w:bottom w:val="nil"/>
              <w:right w:val="nil"/>
            </w:tcBorders>
          </w:tcPr>
          <w:p w:rsidR="0048516E" w:rsidRDefault="00180D28">
            <w:pPr>
              <w:spacing w:after="0" w:line="259" w:lineRule="auto"/>
              <w:ind w:left="231" w:right="0"/>
              <w:jc w:val="left"/>
            </w:pPr>
            <w:r>
              <w:t>ICO: 42324068</w:t>
            </w:r>
          </w:p>
        </w:tc>
      </w:tr>
      <w:tr w:rsidR="0048516E">
        <w:trPr>
          <w:trHeight w:val="288"/>
        </w:trPr>
        <w:tc>
          <w:tcPr>
            <w:tcW w:w="5402" w:type="dxa"/>
            <w:tcBorders>
              <w:top w:val="nil"/>
              <w:left w:val="nil"/>
              <w:bottom w:val="nil"/>
              <w:right w:val="nil"/>
            </w:tcBorders>
          </w:tcPr>
          <w:p w:rsidR="0048516E" w:rsidRDefault="00180D28" w:rsidP="0065768A">
            <w:pPr>
              <w:spacing w:after="0" w:line="259" w:lineRule="auto"/>
              <w:ind w:left="10" w:right="0"/>
              <w:jc w:val="left"/>
            </w:pPr>
            <w:r>
              <w:t xml:space="preserve">číslo účtu: </w:t>
            </w:r>
            <w:r w:rsidR="0065768A" w:rsidRPr="0065768A">
              <w:rPr>
                <w:highlight w:val="black"/>
              </w:rPr>
              <w:t>xxxxxxxxxxxxxxxxxx</w:t>
            </w:r>
          </w:p>
        </w:tc>
        <w:tc>
          <w:tcPr>
            <w:tcW w:w="4422" w:type="dxa"/>
            <w:tcBorders>
              <w:top w:val="nil"/>
              <w:left w:val="nil"/>
              <w:bottom w:val="nil"/>
              <w:right w:val="nil"/>
            </w:tcBorders>
          </w:tcPr>
          <w:p w:rsidR="0048516E" w:rsidRDefault="00180D28">
            <w:pPr>
              <w:spacing w:after="0" w:line="259" w:lineRule="auto"/>
              <w:ind w:left="240" w:right="0"/>
              <w:jc w:val="left"/>
            </w:pPr>
            <w:r>
              <w:t>D</w:t>
            </w:r>
            <w:r>
              <w:t>IČ: CZ4324068</w:t>
            </w:r>
          </w:p>
        </w:tc>
      </w:tr>
      <w:tr w:rsidR="0048516E">
        <w:trPr>
          <w:trHeight w:val="572"/>
        </w:trPr>
        <w:tc>
          <w:tcPr>
            <w:tcW w:w="5402" w:type="dxa"/>
            <w:tcBorders>
              <w:top w:val="nil"/>
              <w:left w:val="nil"/>
              <w:bottom w:val="nil"/>
              <w:right w:val="nil"/>
            </w:tcBorders>
          </w:tcPr>
          <w:p w:rsidR="0048516E" w:rsidRDefault="00180D28">
            <w:pPr>
              <w:spacing w:after="26" w:line="259" w:lineRule="auto"/>
              <w:ind w:left="10" w:right="0"/>
              <w:jc w:val="left"/>
            </w:pPr>
            <w:r>
              <w:t>IČO: 65993390</w:t>
            </w:r>
          </w:p>
          <w:p w:rsidR="0048516E" w:rsidRDefault="00180D28">
            <w:pPr>
              <w:spacing w:after="0" w:line="259" w:lineRule="auto"/>
              <w:ind w:left="10" w:right="0"/>
              <w:jc w:val="left"/>
            </w:pPr>
            <w:r>
              <w:t>DIČ: CZ65993390</w:t>
            </w:r>
            <w:r>
              <w:rPr>
                <w:noProof/>
              </w:rPr>
              <w:drawing>
                <wp:inline distT="0" distB="0" distL="0" distR="0">
                  <wp:extent cx="6104" cy="6100"/>
                  <wp:effectExtent l="0" t="0" r="0" b="0"/>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7"/>
                          <a:stretch>
                            <a:fillRect/>
                          </a:stretch>
                        </pic:blipFill>
                        <pic:spPr>
                          <a:xfrm>
                            <a:off x="0" y="0"/>
                            <a:ext cx="6104" cy="6100"/>
                          </a:xfrm>
                          <a:prstGeom prst="rect">
                            <a:avLst/>
                          </a:prstGeom>
                        </pic:spPr>
                      </pic:pic>
                    </a:graphicData>
                  </a:graphic>
                </wp:inline>
              </w:drawing>
            </w:r>
          </w:p>
        </w:tc>
        <w:tc>
          <w:tcPr>
            <w:tcW w:w="4422" w:type="dxa"/>
            <w:tcBorders>
              <w:top w:val="nil"/>
              <w:left w:val="nil"/>
              <w:bottom w:val="nil"/>
              <w:right w:val="nil"/>
            </w:tcBorders>
          </w:tcPr>
          <w:p w:rsidR="0048516E" w:rsidRDefault="00180D28" w:rsidP="0065768A">
            <w:pPr>
              <w:spacing w:after="0" w:line="259" w:lineRule="auto"/>
              <w:ind w:left="231" w:right="0"/>
              <w:jc w:val="left"/>
            </w:pPr>
            <w:r>
              <w:t xml:space="preserve">Kontaktní osoba: </w:t>
            </w:r>
            <w:r w:rsidR="0065768A" w:rsidRPr="0065768A">
              <w:rPr>
                <w:highlight w:val="black"/>
              </w:rPr>
              <w:t>xxxxxxxxxxxxxxx</w:t>
            </w:r>
          </w:p>
        </w:tc>
      </w:tr>
    </w:tbl>
    <w:p w:rsidR="0048516E" w:rsidRDefault="00180D28">
      <w:pPr>
        <w:spacing w:after="132"/>
        <w:ind w:left="38"/>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rsidR="0048516E" w:rsidRDefault="00180D28">
      <w:pPr>
        <w:spacing w:after="119" w:line="259" w:lineRule="auto"/>
        <w:ind w:left="53" w:right="0" w:hanging="10"/>
        <w:jc w:val="left"/>
      </w:pPr>
      <w:r>
        <w:rPr>
          <w:sz w:val="26"/>
        </w:rPr>
        <w:t>Místo dodání: ssÚD 7</w:t>
      </w:r>
    </w:p>
    <w:p w:rsidR="0048516E" w:rsidRDefault="00180D28">
      <w:pPr>
        <w:spacing w:after="157" w:line="259" w:lineRule="auto"/>
        <w:ind w:left="53" w:right="0" w:hanging="10"/>
        <w:jc w:val="left"/>
      </w:pPr>
      <w:r>
        <w:rPr>
          <w:sz w:val="26"/>
        </w:rPr>
        <w:t xml:space="preserve">Kontaktní osoba Objednatele: </w:t>
      </w:r>
      <w:r w:rsidR="0065768A" w:rsidRPr="0065768A">
        <w:rPr>
          <w:sz w:val="26"/>
          <w:highlight w:val="black"/>
        </w:rPr>
        <w:t>xxxxxxxxxxxxxxxxxxx</w:t>
      </w:r>
    </w:p>
    <w:p w:rsidR="0048516E" w:rsidRDefault="00180D28">
      <w:pPr>
        <w:spacing w:after="169"/>
        <w:ind w:left="120" w:right="0"/>
      </w:pPr>
      <w:r>
        <w:t>Fakturujte: Ředitelství silnic a dálnic CR, SSÚD 7,Bratislavská 867,691 45 Podivín</w:t>
      </w:r>
    </w:p>
    <w:p w:rsidR="0048516E" w:rsidRDefault="00180D28">
      <w:pPr>
        <w:spacing w:after="147"/>
        <w:ind w:left="58" w:right="0"/>
      </w:pPr>
      <w:r>
        <w:t>Obchodní a plateb</w:t>
      </w:r>
      <w:r>
        <w:t>ní podmínky: Objednatel uhradí cenu jednorázovým bankovním převodem na účet Dodavatele uvedený na faktuře, termín splatnosti je stanoven na 30 dnů ode dne doručení faktury Objednateli. Fakturu lze předložit nejdříve po protokolárním převzetí služeb Objedna</w:t>
      </w:r>
      <w:r>
        <w:t>telem bez vad či nedodělků. Faktura musí obsahovat veškeré náležitosti stanovené platnými právními předpisy, číslo objednávky a misto dodání. Objednatel neposkytuje. žádné zálohy na cenu, ani dílčí platby ceny. Potvrzením přijetí (akceptací) této objednávk</w:t>
      </w:r>
      <w:r>
        <w:t>y se Dodavatel zavazuje plnit veškeré povinnosti v této objednávce uvedené. Objednatel výslovně vylučuje akceptaci objednávky Dodavatelem s jakýmikoliv změnami jejího obsahu, k takovému právnímu jednání Dodavatele se nepřihlíží. Dodavatel poskytuje souhlas</w:t>
      </w:r>
      <w:r>
        <w:t xml:space="preserve">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w:t>
      </w:r>
      <w:r>
        <w:t>”), Objednatelem. Objednávka je účinná okamžikem zveřejnění v registru smluv. Objednatel je oprávněn kdykoliv po uzavření objednávky tuto objednávku vypovědět s účinky od doručení písemné výpovědi Dodavateli, a to i bez uvedení důvodu. Výpověď objednávky d</w:t>
      </w:r>
      <w:r>
        <w:t>le předcházející věty nemá vliv na již řádně poskytnuté plnění včetně práv a povinností z něj vyplývajících.</w:t>
      </w:r>
    </w:p>
    <w:p w:rsidR="0048516E" w:rsidRDefault="00180D28">
      <w:pPr>
        <w:spacing w:after="490"/>
        <w:ind w:left="120" w:right="0"/>
      </w:pPr>
      <w:r>
        <w:t>Objednáváme u Vás: 518 odpady — likvidace odpadů</w:t>
      </w:r>
    </w:p>
    <w:p w:rsidR="0048516E" w:rsidRDefault="00180D28">
      <w:pPr>
        <w:spacing w:after="248" w:line="259" w:lineRule="auto"/>
        <w:ind w:left="116" w:right="29" w:hanging="10"/>
        <w:jc w:val="center"/>
      </w:pPr>
      <w:r>
        <w:rPr>
          <w:sz w:val="16"/>
        </w:rPr>
        <w:t>Stránka z 2</w:t>
      </w:r>
    </w:p>
    <w:p w:rsidR="0048516E" w:rsidRDefault="00180D28">
      <w:pPr>
        <w:spacing w:after="130" w:line="259" w:lineRule="auto"/>
        <w:ind w:left="135" w:right="0"/>
        <w:jc w:val="left"/>
      </w:pPr>
      <w:r>
        <w:rPr>
          <w:sz w:val="28"/>
        </w:rPr>
        <w:t>Lhůta pro dodání Či termín dodání: 2019</w:t>
      </w:r>
    </w:p>
    <w:p w:rsidR="0048516E" w:rsidRDefault="00180D28">
      <w:pPr>
        <w:spacing w:after="119" w:line="259" w:lineRule="auto"/>
        <w:ind w:left="145" w:right="0" w:hanging="10"/>
        <w:jc w:val="left"/>
      </w:pPr>
      <w:r>
        <w:rPr>
          <w:sz w:val="26"/>
        </w:rPr>
        <w:lastRenderedPageBreak/>
        <w:t>Celková hodnota objednávky v Kč bez DPH / s DPH:130 000,-/157 300,-</w:t>
      </w:r>
    </w:p>
    <w:p w:rsidR="0048516E" w:rsidRDefault="00180D28">
      <w:pPr>
        <w:spacing w:after="113"/>
        <w:ind w:left="120" w:right="0"/>
      </w:pPr>
      <w:r>
        <w:t xml:space="preserve">V případě akceptace objednávky Objednatele Dodavatel objednávku písemně potvrdí prostřednictvím e-mailu zaslaného do e-mailové schránky Objednatele </w:t>
      </w:r>
      <w:r w:rsidR="0065768A" w:rsidRPr="0065768A">
        <w:rPr>
          <w:highlight w:val="black"/>
        </w:rPr>
        <w:t>xxxxxxxxxxxxxxxxxxxxxxxxxxxxx</w:t>
      </w:r>
      <w:r>
        <w:t xml:space="preserve"> V případě nepo</w:t>
      </w:r>
      <w:r>
        <w:t>tvrzeni akceptace objednávky Objednatele Dodavatelem ve lhůtě 3 pracovních dnů Ode dne odesláni objednávky Objednatelem platí, že Dodavatel objednávku neakceptoval a objednávka je bez dalšího zneplatněna.</w:t>
      </w:r>
    </w:p>
    <w:p w:rsidR="0048516E" w:rsidRDefault="00180D28">
      <w:pPr>
        <w:spacing w:after="142"/>
        <w:ind w:left="120" w:right="0"/>
      </w:pPr>
      <w:r>
        <w:t xml:space="preserve">Nedílnou součásti této objednávky jsou následující </w:t>
      </w:r>
      <w:r>
        <w:t>přílohy:</w:t>
      </w:r>
    </w:p>
    <w:p w:rsidR="0048516E" w:rsidRDefault="00180D28">
      <w:pPr>
        <w:spacing w:after="241"/>
        <w:ind w:left="120" w:right="0"/>
      </w:pPr>
      <w:r>
        <w:t>Příloha č. I — Položkový rozpis ceny</w:t>
      </w:r>
    </w:p>
    <w:p w:rsidR="0048516E" w:rsidRDefault="00180D28">
      <w:pPr>
        <w:ind w:left="120" w:right="0"/>
      </w:pPr>
      <w:r>
        <w:t>V Podivíně dne : 21.I .2()19</w:t>
      </w:r>
    </w:p>
    <w:p w:rsidR="0048516E" w:rsidRDefault="00180D28">
      <w:pPr>
        <w:ind w:left="120" w:right="0"/>
      </w:pPr>
      <w:r>
        <w:t xml:space="preserve">Za Objednatele: </w:t>
      </w:r>
      <w:r w:rsidR="0065768A" w:rsidRPr="0065768A">
        <w:rPr>
          <w:highlight w:val="black"/>
        </w:rPr>
        <w:t>xxxxxxxxxxxxxxxxx</w:t>
      </w:r>
    </w:p>
    <w:p w:rsidR="0048516E" w:rsidRDefault="00180D28">
      <w:pPr>
        <w:tabs>
          <w:tab w:val="center" w:pos="5652"/>
        </w:tabs>
        <w:spacing w:after="7659"/>
        <w:ind w:right="0"/>
        <w:jc w:val="left"/>
      </w:pPr>
      <w:r>
        <w:t xml:space="preserve">Podpis oprávněné </w:t>
      </w:r>
      <w:r>
        <w:t>osob</w:t>
      </w:r>
      <w:r>
        <w:tab/>
      </w:r>
    </w:p>
    <w:p w:rsidR="0048516E" w:rsidRDefault="00180D28">
      <w:pPr>
        <w:spacing w:after="248" w:line="259" w:lineRule="auto"/>
        <w:ind w:left="116" w:right="0" w:hanging="10"/>
        <w:jc w:val="center"/>
      </w:pPr>
      <w:r>
        <w:rPr>
          <w:sz w:val="16"/>
        </w:rPr>
        <w:t>Stránka 2 z 2</w:t>
      </w:r>
    </w:p>
    <w:p w:rsidR="0048516E" w:rsidRDefault="00180D28">
      <w:pPr>
        <w:spacing w:after="0" w:line="259" w:lineRule="auto"/>
        <w:ind w:left="1288" w:right="0"/>
        <w:jc w:val="left"/>
      </w:pPr>
      <w:r>
        <w:rPr>
          <w:sz w:val="34"/>
        </w:rPr>
        <w:t>ESO</w:t>
      </w:r>
    </w:p>
    <w:tbl>
      <w:tblPr>
        <w:tblStyle w:val="TableGrid"/>
        <w:tblpPr w:vertAnchor="text" w:tblpX="3997" w:tblpY="-58"/>
        <w:tblOverlap w:val="never"/>
        <w:tblW w:w="5491" w:type="dxa"/>
        <w:tblInd w:w="0" w:type="dxa"/>
        <w:tblCellMar>
          <w:top w:w="0" w:type="dxa"/>
          <w:left w:w="41" w:type="dxa"/>
          <w:bottom w:w="0" w:type="dxa"/>
          <w:right w:w="10" w:type="dxa"/>
        </w:tblCellMar>
        <w:tblLook w:val="04A0" w:firstRow="1" w:lastRow="0" w:firstColumn="1" w:lastColumn="0" w:noHBand="0" w:noVBand="1"/>
      </w:tblPr>
      <w:tblGrid>
        <w:gridCol w:w="5491"/>
      </w:tblGrid>
      <w:tr w:rsidR="0048516E">
        <w:trPr>
          <w:trHeight w:val="438"/>
        </w:trPr>
        <w:tc>
          <w:tcPr>
            <w:tcW w:w="5491" w:type="dxa"/>
            <w:tcBorders>
              <w:top w:val="single" w:sz="2" w:space="0" w:color="000000"/>
              <w:left w:val="single" w:sz="2" w:space="0" w:color="000000"/>
              <w:bottom w:val="single" w:sz="2" w:space="0" w:color="000000"/>
              <w:right w:val="nil"/>
            </w:tcBorders>
            <w:vAlign w:val="center"/>
          </w:tcPr>
          <w:p w:rsidR="0048516E" w:rsidRDefault="00180D28">
            <w:pPr>
              <w:spacing w:after="0" w:line="259" w:lineRule="auto"/>
              <w:ind w:left="135" w:right="0"/>
              <w:jc w:val="left"/>
            </w:pPr>
            <w:r>
              <w:rPr>
                <w:sz w:val="20"/>
              </w:rPr>
              <w:t>POdnikani v oblasti nakladanł s odpady včetne nebezpečných</w:t>
            </w:r>
          </w:p>
        </w:tc>
      </w:tr>
    </w:tbl>
    <w:p w:rsidR="0048516E" w:rsidRDefault="00180D28">
      <w:pPr>
        <w:pStyle w:val="Nadpis2"/>
      </w:pPr>
      <w:r>
        <w:t>HAN ALY</w:t>
      </w:r>
    </w:p>
    <w:p w:rsidR="0048516E" w:rsidRDefault="00180D28">
      <w:pPr>
        <w:spacing w:after="745"/>
        <w:ind w:left="577" w:right="0" w:hanging="10"/>
        <w:jc w:val="left"/>
      </w:pPr>
      <w:r>
        <w:rPr>
          <w:sz w:val="20"/>
        </w:rPr>
        <w:t>a.s. VELKÉ PAVLOVICE</w:t>
      </w:r>
    </w:p>
    <w:p w:rsidR="0048516E" w:rsidRDefault="00180D28">
      <w:pPr>
        <w:ind w:left="120" w:right="0"/>
      </w:pPr>
      <w:r>
        <w:t>Ředitelství silnic a dálnic ČR</w:t>
      </w:r>
    </w:p>
    <w:p w:rsidR="0048516E" w:rsidRDefault="00180D28">
      <w:pPr>
        <w:ind w:left="120" w:right="0"/>
      </w:pPr>
      <w:r>
        <w:lastRenderedPageBreak/>
        <w:t>Na Pankráci 546/56</w:t>
      </w:r>
    </w:p>
    <w:p w:rsidR="0048516E" w:rsidRDefault="00180D28">
      <w:pPr>
        <w:spacing w:after="606"/>
        <w:ind w:left="120" w:right="0"/>
      </w:pPr>
      <w:r>
        <w:t>Praha 4- Nusle, PSČ 145 OO</w:t>
      </w:r>
    </w:p>
    <w:p w:rsidR="0048516E" w:rsidRDefault="00180D28">
      <w:pPr>
        <w:spacing w:after="534"/>
        <w:ind w:left="120" w:right="0"/>
      </w:pPr>
      <w:r>
        <w:t>CENOVÁ NABÍDKA NA UKLÁDÁNÍ ODPADŮ V ROCE 2019</w:t>
      </w:r>
    </w:p>
    <w:p w:rsidR="0048516E" w:rsidRDefault="00180D28">
      <w:pPr>
        <w:spacing w:after="128"/>
        <w:ind w:left="120" w:right="586"/>
      </w:pPr>
      <w:r>
        <w:t>katalogové cena K&amp;/t rekultivační DPH poplatek</w:t>
      </w:r>
      <w:r>
        <w:rPr>
          <w:noProof/>
        </w:rPr>
        <w:drawing>
          <wp:inline distT="0" distB="0" distL="0" distR="0">
            <wp:extent cx="6104" cy="6100"/>
            <wp:effectExtent l="0" t="0" r="0" b="0"/>
            <wp:docPr id="5945" name="Picture 5945"/>
            <wp:cNvGraphicFramePr/>
            <a:graphic xmlns:a="http://schemas.openxmlformats.org/drawingml/2006/main">
              <a:graphicData uri="http://schemas.openxmlformats.org/drawingml/2006/picture">
                <pic:pic xmlns:pic="http://schemas.openxmlformats.org/drawingml/2006/picture">
                  <pic:nvPicPr>
                    <pic:cNvPr id="5945" name="Picture 5945"/>
                    <pic:cNvPicPr/>
                  </pic:nvPicPr>
                  <pic:blipFill>
                    <a:blip r:embed="rId8"/>
                    <a:stretch>
                      <a:fillRect/>
                    </a:stretch>
                  </pic:blipFill>
                  <pic:spPr>
                    <a:xfrm>
                      <a:off x="0" y="0"/>
                      <a:ext cx="6104" cy="6100"/>
                    </a:xfrm>
                    <a:prstGeom prst="rect">
                      <a:avLst/>
                    </a:prstGeom>
                  </pic:spPr>
                </pic:pic>
              </a:graphicData>
            </a:graphic>
          </wp:inline>
        </w:drawing>
      </w:r>
      <w:r>
        <w:t xml:space="preserve"> cma číslo odpadu m uložení rezerva 21% celkem</w:t>
      </w:r>
    </w:p>
    <w:p w:rsidR="0048516E" w:rsidRDefault="00180D28">
      <w:pPr>
        <w:spacing w:after="223" w:line="258" w:lineRule="auto"/>
        <w:ind w:left="130" w:right="279" w:hanging="10"/>
        <w:jc w:val="left"/>
      </w:pPr>
      <w:r>
        <w:rPr>
          <w:sz w:val="20"/>
        </w:rPr>
        <w:t>SKLÁDKA:</w:t>
      </w:r>
    </w:p>
    <w:p w:rsidR="0048516E" w:rsidRDefault="00180D28">
      <w:pPr>
        <w:tabs>
          <w:tab w:val="center" w:pos="1687"/>
        </w:tabs>
        <w:spacing w:after="2" w:line="258" w:lineRule="auto"/>
        <w:ind w:right="0"/>
        <w:jc w:val="left"/>
      </w:pPr>
      <w:r>
        <w:rPr>
          <w:sz w:val="20"/>
        </w:rPr>
        <w:t>1601 19</w:t>
      </w:r>
      <w:r>
        <w:rPr>
          <w:sz w:val="20"/>
        </w:rPr>
        <w:tab/>
        <w:t>Plasty</w:t>
      </w:r>
    </w:p>
    <w:p w:rsidR="0048516E" w:rsidRDefault="00180D28">
      <w:pPr>
        <w:tabs>
          <w:tab w:val="center" w:pos="2432"/>
          <w:tab w:val="center" w:pos="4018"/>
          <w:tab w:val="center" w:pos="5350"/>
          <w:tab w:val="center" w:pos="7806"/>
        </w:tabs>
        <w:spacing w:after="13" w:line="259" w:lineRule="auto"/>
        <w:ind w:right="0"/>
        <w:jc w:val="left"/>
      </w:pPr>
      <w:r>
        <w:rPr>
          <w:sz w:val="20"/>
        </w:rPr>
        <w:tab/>
      </w:r>
      <w:r>
        <w:rPr>
          <w:sz w:val="20"/>
        </w:rPr>
        <w:t>745,-</w:t>
      </w:r>
      <w:r>
        <w:rPr>
          <w:sz w:val="20"/>
        </w:rPr>
        <w:tab/>
        <w:t>35,-</w:t>
      </w:r>
      <w:r>
        <w:rPr>
          <w:sz w:val="20"/>
        </w:rPr>
        <w:tab/>
        <w:t>163,80</w:t>
      </w:r>
      <w:r>
        <w:rPr>
          <w:sz w:val="20"/>
        </w:rPr>
        <w:tab/>
        <w:t>1443,80</w:t>
      </w:r>
    </w:p>
    <w:p w:rsidR="0048516E" w:rsidRDefault="00180D28">
      <w:pPr>
        <w:tabs>
          <w:tab w:val="center" w:pos="3345"/>
        </w:tabs>
        <w:spacing w:after="2" w:line="258" w:lineRule="auto"/>
        <w:ind w:right="0"/>
        <w:jc w:val="left"/>
      </w:pPr>
      <w:r>
        <w:rPr>
          <w:sz w:val="20"/>
        </w:rPr>
        <w:t>170504</w:t>
      </w:r>
      <w:r>
        <w:rPr>
          <w:sz w:val="20"/>
        </w:rPr>
        <w:tab/>
        <w:t>Zemina a kamení neuvedené pod číslem 17 05 03</w:t>
      </w:r>
    </w:p>
    <w:p w:rsidR="0048516E" w:rsidRDefault="00180D28">
      <w:pPr>
        <w:tabs>
          <w:tab w:val="center" w:pos="5393"/>
          <w:tab w:val="center" w:pos="6681"/>
          <w:tab w:val="center" w:pos="7854"/>
        </w:tabs>
        <w:spacing w:after="13" w:line="259" w:lineRule="auto"/>
        <w:ind w:right="0"/>
        <w:jc w:val="left"/>
      </w:pPr>
      <w:r>
        <w:rPr>
          <w:sz w:val="20"/>
        </w:rPr>
        <w:tab/>
        <w:t>28,35</w:t>
      </w:r>
      <w:r>
        <w:rPr>
          <w:sz w:val="20"/>
        </w:rPr>
        <w:tab/>
        <w:t>0,-</w:t>
      </w:r>
      <w:r>
        <w:rPr>
          <w:sz w:val="20"/>
        </w:rPr>
        <w:tab/>
        <w:t>163,35</w:t>
      </w:r>
    </w:p>
    <w:p w:rsidR="0048516E" w:rsidRDefault="00180D28">
      <w:pPr>
        <w:tabs>
          <w:tab w:val="center" w:pos="2446"/>
        </w:tabs>
        <w:spacing w:after="2" w:line="258" w:lineRule="auto"/>
        <w:ind w:right="0"/>
        <w:jc w:val="left"/>
      </w:pPr>
      <w:r>
        <w:rPr>
          <w:sz w:val="20"/>
        </w:rPr>
        <w:t>2003 01</w:t>
      </w:r>
      <w:r>
        <w:rPr>
          <w:sz w:val="20"/>
        </w:rPr>
        <w:tab/>
        <w:t>Směsný komunální odpad</w:t>
      </w:r>
    </w:p>
    <w:p w:rsidR="0048516E" w:rsidRDefault="00180D28">
      <w:pPr>
        <w:tabs>
          <w:tab w:val="center" w:pos="4023"/>
          <w:tab w:val="center" w:pos="5359"/>
          <w:tab w:val="center" w:pos="6842"/>
          <w:tab w:val="center" w:pos="7758"/>
        </w:tabs>
        <w:spacing w:after="0"/>
        <w:ind w:right="0"/>
        <w:jc w:val="left"/>
      </w:pPr>
      <w:r>
        <w:rPr>
          <w:sz w:val="22"/>
        </w:rPr>
        <w:tab/>
        <w:t>IOC-</w:t>
      </w:r>
      <w:r>
        <w:rPr>
          <w:sz w:val="22"/>
        </w:rPr>
        <w:tab/>
        <w:t>13450</w:t>
      </w:r>
      <w:r>
        <w:rPr>
          <w:sz w:val="22"/>
        </w:rPr>
        <w:tab/>
      </w:r>
      <w:r>
        <w:rPr>
          <w:noProof/>
        </w:rPr>
        <w:drawing>
          <wp:inline distT="0" distB="0" distL="0" distR="0">
            <wp:extent cx="6104" cy="6100"/>
            <wp:effectExtent l="0" t="0" r="0" b="0"/>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9"/>
                    <a:stretch>
                      <a:fillRect/>
                    </a:stretch>
                  </pic:blipFill>
                  <pic:spPr>
                    <a:xfrm>
                      <a:off x="0" y="0"/>
                      <a:ext cx="6104" cy="6100"/>
                    </a:xfrm>
                    <a:prstGeom prst="rect">
                      <a:avLst/>
                    </a:prstGeom>
                  </pic:spPr>
                </pic:pic>
              </a:graphicData>
            </a:graphic>
          </wp:inline>
        </w:drawing>
      </w:r>
      <w:r>
        <w:rPr>
          <w:sz w:val="22"/>
        </w:rPr>
        <w:tab/>
        <w:t>1286,50</w:t>
      </w:r>
    </w:p>
    <w:p w:rsidR="0048516E" w:rsidRDefault="00180D28">
      <w:pPr>
        <w:tabs>
          <w:tab w:val="center" w:pos="2072"/>
        </w:tabs>
        <w:spacing w:after="2" w:line="258" w:lineRule="auto"/>
        <w:ind w:right="0"/>
        <w:jc w:val="left"/>
      </w:pPr>
      <w:r>
        <w:rPr>
          <w:sz w:val="20"/>
        </w:rPr>
        <w:t>200307</w:t>
      </w:r>
      <w:r>
        <w:rPr>
          <w:sz w:val="20"/>
        </w:rPr>
        <w:tab/>
        <w:t>Objemný odpad</w:t>
      </w:r>
    </w:p>
    <w:p w:rsidR="0048516E" w:rsidRDefault="00180D28">
      <w:pPr>
        <w:tabs>
          <w:tab w:val="center" w:pos="2427"/>
          <w:tab w:val="center" w:pos="4018"/>
          <w:tab w:val="center" w:pos="5359"/>
          <w:tab w:val="center" w:pos="7758"/>
        </w:tabs>
        <w:spacing w:after="377"/>
        <w:ind w:right="0"/>
        <w:jc w:val="left"/>
      </w:pPr>
      <w:r>
        <w:rPr>
          <w:sz w:val="22"/>
        </w:rPr>
        <w:tab/>
        <w:t>550-</w:t>
      </w:r>
      <w:r>
        <w:rPr>
          <w:sz w:val="22"/>
        </w:rPr>
        <w:tab/>
        <w:t>100,-</w:t>
      </w:r>
      <w:r>
        <w:rPr>
          <w:sz w:val="22"/>
        </w:rPr>
        <w:tab/>
        <w:t>13450</w:t>
      </w:r>
      <w:r>
        <w:rPr>
          <w:sz w:val="22"/>
        </w:rPr>
        <w:tab/>
        <w:t>128450</w:t>
      </w:r>
    </w:p>
    <w:p w:rsidR="0048516E" w:rsidRDefault="00180D28">
      <w:pPr>
        <w:spacing w:after="154" w:line="259" w:lineRule="auto"/>
        <w:ind w:left="125" w:right="0"/>
        <w:jc w:val="left"/>
      </w:pPr>
      <w:r>
        <w:t>SBĚRNĚ STŘEDISKO ODPADŮ:</w:t>
      </w:r>
    </w:p>
    <w:p w:rsidR="0048516E" w:rsidRDefault="00180D28">
      <w:pPr>
        <w:tabs>
          <w:tab w:val="center" w:pos="2288"/>
        </w:tabs>
        <w:spacing w:after="2" w:line="258" w:lineRule="auto"/>
        <w:ind w:right="0"/>
        <w:jc w:val="left"/>
      </w:pPr>
      <w:r>
        <w:rPr>
          <w:sz w:val="20"/>
        </w:rPr>
        <w:t>1601 03</w:t>
      </w:r>
      <w:r>
        <w:rPr>
          <w:sz w:val="20"/>
        </w:rPr>
        <w:tab/>
        <w:t>Pneumatiky - osobní</w:t>
      </w:r>
    </w:p>
    <w:p w:rsidR="0048516E" w:rsidRDefault="00180D28">
      <w:pPr>
        <w:spacing w:after="2" w:line="258" w:lineRule="auto"/>
        <w:ind w:left="1490" w:right="279" w:firstLine="2374"/>
        <w:jc w:val="left"/>
      </w:pPr>
      <w:r>
        <w:rPr>
          <w:noProof/>
        </w:rPr>
        <w:drawing>
          <wp:anchor distT="0" distB="0" distL="114300" distR="114300" simplePos="0" relativeHeight="251658240" behindDoc="0" locked="0" layoutInCell="1" allowOverlap="0">
            <wp:simplePos x="0" y="0"/>
            <wp:positionH relativeFrom="column">
              <wp:posOffset>4181373</wp:posOffset>
            </wp:positionH>
            <wp:positionV relativeFrom="paragraph">
              <wp:posOffset>1032</wp:posOffset>
            </wp:positionV>
            <wp:extent cx="134293" cy="677106"/>
            <wp:effectExtent l="0" t="0" r="0" b="0"/>
            <wp:wrapSquare wrapText="bothSides"/>
            <wp:docPr id="6052" name="Picture 6052"/>
            <wp:cNvGraphicFramePr/>
            <a:graphic xmlns:a="http://schemas.openxmlformats.org/drawingml/2006/main">
              <a:graphicData uri="http://schemas.openxmlformats.org/drawingml/2006/picture">
                <pic:pic xmlns:pic="http://schemas.openxmlformats.org/drawingml/2006/picture">
                  <pic:nvPicPr>
                    <pic:cNvPr id="6052" name="Picture 6052"/>
                    <pic:cNvPicPr/>
                  </pic:nvPicPr>
                  <pic:blipFill>
                    <a:blip r:embed="rId10"/>
                    <a:stretch>
                      <a:fillRect/>
                    </a:stretch>
                  </pic:blipFill>
                  <pic:spPr>
                    <a:xfrm>
                      <a:off x="0" y="0"/>
                      <a:ext cx="134293" cy="677106"/>
                    </a:xfrm>
                    <a:prstGeom prst="rect">
                      <a:avLst/>
                    </a:prstGeom>
                  </pic:spPr>
                </pic:pic>
              </a:graphicData>
            </a:graphic>
          </wp:anchor>
        </w:drawing>
      </w:r>
      <w:r>
        <w:rPr>
          <w:noProof/>
        </w:rPr>
        <w:drawing>
          <wp:inline distT="0" distB="0" distL="0" distR="0">
            <wp:extent cx="6104" cy="6100"/>
            <wp:effectExtent l="0" t="0" r="0" b="0"/>
            <wp:docPr id="5947" name="Picture 5947"/>
            <wp:cNvGraphicFramePr/>
            <a:graphic xmlns:a="http://schemas.openxmlformats.org/drawingml/2006/main">
              <a:graphicData uri="http://schemas.openxmlformats.org/drawingml/2006/picture">
                <pic:pic xmlns:pic="http://schemas.openxmlformats.org/drawingml/2006/picture">
                  <pic:nvPicPr>
                    <pic:cNvPr id="5947" name="Picture 5947"/>
                    <pic:cNvPicPr/>
                  </pic:nvPicPr>
                  <pic:blipFill>
                    <a:blip r:embed="rId11"/>
                    <a:stretch>
                      <a:fillRect/>
                    </a:stretch>
                  </pic:blipFill>
                  <pic:spPr>
                    <a:xfrm>
                      <a:off x="0" y="0"/>
                      <a:ext cx="6104" cy="6100"/>
                    </a:xfrm>
                    <a:prstGeom prst="rect">
                      <a:avLst/>
                    </a:prstGeom>
                  </pic:spPr>
                </pic:pic>
              </a:graphicData>
            </a:graphic>
          </wp:inline>
        </w:drawing>
      </w:r>
      <w:r>
        <w:rPr>
          <w:sz w:val="20"/>
        </w:rPr>
        <w:t>0,-</w:t>
      </w:r>
      <w:r>
        <w:rPr>
          <w:sz w:val="20"/>
        </w:rPr>
        <w:tab/>
        <w:t>1050,-</w:t>
      </w:r>
      <w:r>
        <w:rPr>
          <w:sz w:val="20"/>
        </w:rPr>
        <w:tab/>
        <w:t>6050,Pneutrutiky — nákladní</w:t>
      </w:r>
    </w:p>
    <w:p w:rsidR="0048516E" w:rsidRDefault="00180D28">
      <w:pPr>
        <w:spacing w:after="411" w:line="258" w:lineRule="auto"/>
        <w:ind w:left="120" w:right="2480" w:firstLine="3797"/>
        <w:jc w:val="left"/>
      </w:pPr>
      <w:r>
        <w:rPr>
          <w:sz w:val="20"/>
        </w:rPr>
        <w:t>0,-</w:t>
      </w:r>
      <w:r>
        <w:rPr>
          <w:sz w:val="20"/>
        </w:rPr>
        <w:tab/>
        <w:t>126020 01 38</w:t>
      </w:r>
      <w:r>
        <w:rPr>
          <w:sz w:val="20"/>
        </w:rPr>
        <w:tab/>
        <w:t>Dřevo neuvedené pod číslem 20 Ol 37</w:t>
      </w:r>
    </w:p>
    <w:tbl>
      <w:tblPr>
        <w:tblStyle w:val="TableGrid"/>
        <w:tblW w:w="7969" w:type="dxa"/>
        <w:tblInd w:w="115" w:type="dxa"/>
        <w:tblCellMar>
          <w:top w:w="0" w:type="dxa"/>
          <w:left w:w="0" w:type="dxa"/>
          <w:bottom w:w="0" w:type="dxa"/>
          <w:right w:w="0" w:type="dxa"/>
        </w:tblCellMar>
        <w:tblLook w:val="04A0" w:firstRow="1" w:lastRow="0" w:firstColumn="1" w:lastColumn="0" w:noHBand="0" w:noVBand="1"/>
      </w:tblPr>
      <w:tblGrid>
        <w:gridCol w:w="3988"/>
        <w:gridCol w:w="1864"/>
        <w:gridCol w:w="1405"/>
        <w:gridCol w:w="712"/>
      </w:tblGrid>
      <w:tr w:rsidR="0048516E">
        <w:trPr>
          <w:trHeight w:val="648"/>
        </w:trPr>
        <w:tc>
          <w:tcPr>
            <w:tcW w:w="3989" w:type="dxa"/>
            <w:tcBorders>
              <w:top w:val="nil"/>
              <w:left w:val="nil"/>
              <w:bottom w:val="nil"/>
              <w:right w:val="nil"/>
            </w:tcBorders>
          </w:tcPr>
          <w:p w:rsidR="0048516E" w:rsidRDefault="00180D28">
            <w:pPr>
              <w:spacing w:after="220" w:line="259" w:lineRule="auto"/>
              <w:ind w:right="0"/>
              <w:jc w:val="left"/>
            </w:pPr>
            <w:r>
              <w:rPr>
                <w:sz w:val="20"/>
              </w:rPr>
              <w:t>K RECYKLACI:</w:t>
            </w:r>
          </w:p>
          <w:p w:rsidR="0048516E" w:rsidRDefault="00180D28">
            <w:pPr>
              <w:tabs>
                <w:tab w:val="center" w:pos="2398"/>
              </w:tabs>
              <w:spacing w:after="0" w:line="259" w:lineRule="auto"/>
              <w:ind w:right="0"/>
              <w:jc w:val="left"/>
            </w:pPr>
            <w:r>
              <w:rPr>
                <w:sz w:val="20"/>
              </w:rPr>
              <w:t>17 01 01</w:t>
            </w:r>
            <w:r>
              <w:rPr>
                <w:sz w:val="20"/>
              </w:rPr>
              <w:tab/>
              <w:t>Beton (kusy bez armatury)</w:t>
            </w:r>
          </w:p>
        </w:tc>
        <w:tc>
          <w:tcPr>
            <w:tcW w:w="1894" w:type="dxa"/>
            <w:tcBorders>
              <w:top w:val="nil"/>
              <w:left w:val="nil"/>
              <w:bottom w:val="nil"/>
              <w:right w:val="nil"/>
            </w:tcBorders>
          </w:tcPr>
          <w:p w:rsidR="0048516E" w:rsidRDefault="0048516E">
            <w:pPr>
              <w:spacing w:after="160" w:line="259" w:lineRule="auto"/>
              <w:ind w:right="0"/>
              <w:jc w:val="left"/>
            </w:pPr>
          </w:p>
        </w:tc>
        <w:tc>
          <w:tcPr>
            <w:tcW w:w="1432" w:type="dxa"/>
            <w:tcBorders>
              <w:top w:val="nil"/>
              <w:left w:val="nil"/>
              <w:bottom w:val="nil"/>
              <w:right w:val="nil"/>
            </w:tcBorders>
          </w:tcPr>
          <w:p w:rsidR="0048516E" w:rsidRDefault="0048516E">
            <w:pPr>
              <w:spacing w:after="160" w:line="259" w:lineRule="auto"/>
              <w:ind w:right="0"/>
              <w:jc w:val="left"/>
            </w:pPr>
          </w:p>
        </w:tc>
        <w:tc>
          <w:tcPr>
            <w:tcW w:w="654" w:type="dxa"/>
            <w:tcBorders>
              <w:top w:val="nil"/>
              <w:left w:val="nil"/>
              <w:bottom w:val="nil"/>
              <w:right w:val="nil"/>
            </w:tcBorders>
          </w:tcPr>
          <w:p w:rsidR="0048516E" w:rsidRDefault="0048516E">
            <w:pPr>
              <w:spacing w:after="160" w:line="259" w:lineRule="auto"/>
              <w:ind w:right="0"/>
              <w:jc w:val="left"/>
            </w:pPr>
          </w:p>
        </w:tc>
      </w:tr>
      <w:tr w:rsidR="0048516E">
        <w:trPr>
          <w:trHeight w:val="434"/>
        </w:trPr>
        <w:tc>
          <w:tcPr>
            <w:tcW w:w="3989" w:type="dxa"/>
            <w:tcBorders>
              <w:top w:val="nil"/>
              <w:left w:val="nil"/>
              <w:bottom w:val="nil"/>
              <w:right w:val="nil"/>
            </w:tcBorders>
          </w:tcPr>
          <w:p w:rsidR="0048516E" w:rsidRDefault="00180D28">
            <w:pPr>
              <w:spacing w:after="0" w:line="259" w:lineRule="auto"/>
              <w:ind w:left="19" w:right="827" w:firstLine="2086"/>
            </w:pPr>
            <w:r>
              <w:rPr>
                <w:sz w:val="22"/>
              </w:rPr>
              <w:t>165,170102</w:t>
            </w:r>
          </w:p>
        </w:tc>
        <w:tc>
          <w:tcPr>
            <w:tcW w:w="1894" w:type="dxa"/>
            <w:tcBorders>
              <w:top w:val="nil"/>
              <w:left w:val="nil"/>
              <w:bottom w:val="nil"/>
              <w:right w:val="nil"/>
            </w:tcBorders>
          </w:tcPr>
          <w:p w:rsidR="0048516E" w:rsidRDefault="00180D28">
            <w:pPr>
              <w:spacing w:after="0" w:line="259" w:lineRule="auto"/>
              <w:ind w:left="596" w:right="0"/>
              <w:jc w:val="center"/>
            </w:pPr>
            <w:r>
              <w:rPr>
                <w:sz w:val="22"/>
              </w:rPr>
              <w:t>34,65</w:t>
            </w:r>
          </w:p>
        </w:tc>
        <w:tc>
          <w:tcPr>
            <w:tcW w:w="1432" w:type="dxa"/>
            <w:tcBorders>
              <w:top w:val="nil"/>
              <w:left w:val="nil"/>
              <w:bottom w:val="nil"/>
              <w:right w:val="nil"/>
            </w:tcBorders>
          </w:tcPr>
          <w:p w:rsidR="0048516E" w:rsidRDefault="00180D28">
            <w:pPr>
              <w:spacing w:after="0" w:line="259" w:lineRule="auto"/>
              <w:ind w:left="490" w:right="0"/>
              <w:jc w:val="left"/>
            </w:pPr>
            <w:r>
              <w:rPr>
                <w:sz w:val="20"/>
              </w:rPr>
              <w:t>0,-</w:t>
            </w:r>
          </w:p>
        </w:tc>
        <w:tc>
          <w:tcPr>
            <w:tcW w:w="654" w:type="dxa"/>
            <w:tcBorders>
              <w:top w:val="nil"/>
              <w:left w:val="nil"/>
              <w:bottom w:val="nil"/>
              <w:right w:val="nil"/>
            </w:tcBorders>
          </w:tcPr>
          <w:p w:rsidR="0048516E" w:rsidRDefault="00180D28">
            <w:pPr>
              <w:spacing w:after="0" w:line="259" w:lineRule="auto"/>
              <w:ind w:left="96" w:right="0"/>
            </w:pPr>
            <w:r>
              <w:rPr>
                <w:sz w:val="22"/>
              </w:rPr>
              <w:t>199,65</w:t>
            </w:r>
          </w:p>
        </w:tc>
      </w:tr>
      <w:tr w:rsidR="0048516E">
        <w:trPr>
          <w:trHeight w:val="205"/>
        </w:trPr>
        <w:tc>
          <w:tcPr>
            <w:tcW w:w="3989" w:type="dxa"/>
            <w:tcBorders>
              <w:top w:val="nil"/>
              <w:left w:val="nil"/>
              <w:bottom w:val="nil"/>
              <w:right w:val="nil"/>
            </w:tcBorders>
          </w:tcPr>
          <w:p w:rsidR="0048516E" w:rsidRDefault="00180D28">
            <w:pPr>
              <w:spacing w:after="0" w:line="259" w:lineRule="auto"/>
              <w:ind w:left="625" w:right="0"/>
              <w:jc w:val="center"/>
            </w:pPr>
            <w:r>
              <w:rPr>
                <w:sz w:val="22"/>
              </w:rPr>
              <w:t>165,-</w:t>
            </w:r>
          </w:p>
        </w:tc>
        <w:tc>
          <w:tcPr>
            <w:tcW w:w="1894" w:type="dxa"/>
            <w:tcBorders>
              <w:top w:val="nil"/>
              <w:left w:val="nil"/>
              <w:bottom w:val="nil"/>
              <w:right w:val="nil"/>
            </w:tcBorders>
          </w:tcPr>
          <w:p w:rsidR="0048516E" w:rsidRDefault="00180D28">
            <w:pPr>
              <w:spacing w:after="0" w:line="259" w:lineRule="auto"/>
              <w:ind w:left="596" w:right="0"/>
              <w:jc w:val="center"/>
            </w:pPr>
            <w:r>
              <w:rPr>
                <w:sz w:val="22"/>
              </w:rPr>
              <w:t>34,65</w:t>
            </w:r>
          </w:p>
        </w:tc>
        <w:tc>
          <w:tcPr>
            <w:tcW w:w="1432" w:type="dxa"/>
            <w:tcBorders>
              <w:top w:val="nil"/>
              <w:left w:val="nil"/>
              <w:bottom w:val="nil"/>
              <w:right w:val="nil"/>
            </w:tcBorders>
          </w:tcPr>
          <w:p w:rsidR="0048516E" w:rsidRDefault="0048516E">
            <w:pPr>
              <w:spacing w:after="160" w:line="259" w:lineRule="auto"/>
              <w:ind w:right="0"/>
              <w:jc w:val="left"/>
            </w:pPr>
          </w:p>
        </w:tc>
        <w:tc>
          <w:tcPr>
            <w:tcW w:w="654" w:type="dxa"/>
            <w:tcBorders>
              <w:top w:val="nil"/>
              <w:left w:val="nil"/>
              <w:bottom w:val="nil"/>
              <w:right w:val="nil"/>
            </w:tcBorders>
          </w:tcPr>
          <w:p w:rsidR="0048516E" w:rsidRDefault="00180D28">
            <w:pPr>
              <w:spacing w:after="0" w:line="259" w:lineRule="auto"/>
              <w:ind w:left="106" w:right="0"/>
              <w:jc w:val="left"/>
            </w:pPr>
            <w:r>
              <w:rPr>
                <w:sz w:val="22"/>
              </w:rPr>
              <w:t>199,65</w:t>
            </w:r>
          </w:p>
        </w:tc>
      </w:tr>
    </w:tbl>
    <w:p w:rsidR="0048516E" w:rsidRDefault="00180D28">
      <w:pPr>
        <w:spacing w:after="3"/>
        <w:ind w:left="-5" w:right="0" w:hanging="10"/>
        <w:jc w:val="left"/>
      </w:pPr>
      <w:r>
        <w:rPr>
          <w:sz w:val="20"/>
        </w:rPr>
        <w:t>NANTALY a.s.</w:t>
      </w:r>
    </w:p>
    <w:p w:rsidR="0048516E" w:rsidRDefault="00180D28">
      <w:pPr>
        <w:tabs>
          <w:tab w:val="center" w:pos="644"/>
          <w:tab w:val="center" w:pos="1471"/>
          <w:tab w:val="center" w:pos="3951"/>
        </w:tabs>
        <w:spacing w:after="0" w:line="259" w:lineRule="auto"/>
        <w:ind w:right="0"/>
        <w:jc w:val="left"/>
      </w:pPr>
      <w:r>
        <w:rPr>
          <w:sz w:val="20"/>
        </w:rPr>
        <w:tab/>
        <w:t xml:space="preserve">22 </w:t>
      </w:r>
      <w:r>
        <w:rPr>
          <w:sz w:val="20"/>
        </w:rPr>
        <w:tab/>
        <w:t xml:space="preserve">OS velké </w:t>
      </w:r>
      <w:r>
        <w:rPr>
          <w:sz w:val="20"/>
        </w:rPr>
        <w:tab/>
        <w:t>023240% • czamaosł</w:t>
      </w:r>
    </w:p>
    <w:p w:rsidR="0048516E" w:rsidRDefault="00180D28">
      <w:pPr>
        <w:spacing w:after="3"/>
        <w:ind w:left="779" w:right="0" w:hanging="10"/>
        <w:jc w:val="left"/>
      </w:pPr>
      <w:r>
        <w:rPr>
          <w:sz w:val="20"/>
        </w:rPr>
        <w:t xml:space="preserve">519 36' • </w:t>
      </w:r>
      <w:r w:rsidR="0065768A" w:rsidRPr="0065768A">
        <w:rPr>
          <w:sz w:val="20"/>
          <w:highlight w:val="black"/>
        </w:rPr>
        <w:t>xxxxxxxxxxxxxxxxx</w:t>
      </w:r>
      <w:r w:rsidRPr="0065768A">
        <w:rPr>
          <w:sz w:val="20"/>
          <w:highlight w:val="black"/>
        </w:rPr>
        <w:t xml:space="preserve"> •</w:t>
      </w:r>
      <w:r>
        <w:rPr>
          <w:sz w:val="20"/>
        </w:rPr>
        <w:t xml:space="preserve"> www.hantaly.cz</w:t>
      </w:r>
    </w:p>
    <w:tbl>
      <w:tblPr>
        <w:tblStyle w:val="TableGrid"/>
        <w:tblpPr w:vertAnchor="text" w:tblpX="894" w:tblpY="-452"/>
        <w:tblOverlap w:val="never"/>
        <w:tblW w:w="1798" w:type="dxa"/>
        <w:tblInd w:w="0" w:type="dxa"/>
        <w:tblCellMar>
          <w:top w:w="82" w:type="dxa"/>
          <w:left w:w="0" w:type="dxa"/>
          <w:bottom w:w="0" w:type="dxa"/>
          <w:right w:w="10" w:type="dxa"/>
        </w:tblCellMar>
        <w:tblLook w:val="04A0" w:firstRow="1" w:lastRow="0" w:firstColumn="1" w:lastColumn="0" w:noHBand="0" w:noVBand="1"/>
      </w:tblPr>
      <w:tblGrid>
        <w:gridCol w:w="712"/>
        <w:gridCol w:w="382"/>
        <w:gridCol w:w="641"/>
        <w:gridCol w:w="467"/>
      </w:tblGrid>
      <w:tr w:rsidR="0048516E">
        <w:trPr>
          <w:trHeight w:val="134"/>
        </w:trPr>
        <w:tc>
          <w:tcPr>
            <w:tcW w:w="627" w:type="dxa"/>
            <w:vMerge w:val="restart"/>
            <w:tcBorders>
              <w:top w:val="nil"/>
              <w:left w:val="nil"/>
              <w:bottom w:val="single" w:sz="2" w:space="0" w:color="000000"/>
              <w:right w:val="single" w:sz="2" w:space="0" w:color="000000"/>
            </w:tcBorders>
          </w:tcPr>
          <w:p w:rsidR="0048516E" w:rsidRDefault="0048516E">
            <w:pPr>
              <w:spacing w:after="160" w:line="259" w:lineRule="auto"/>
              <w:ind w:right="0"/>
              <w:jc w:val="left"/>
            </w:pPr>
          </w:p>
        </w:tc>
        <w:tc>
          <w:tcPr>
            <w:tcW w:w="329" w:type="dxa"/>
            <w:tcBorders>
              <w:top w:val="nil"/>
              <w:left w:val="nil"/>
              <w:bottom w:val="single" w:sz="2" w:space="0" w:color="000000"/>
              <w:right w:val="single" w:sz="2" w:space="0" w:color="000000"/>
            </w:tcBorders>
          </w:tcPr>
          <w:p w:rsidR="0048516E" w:rsidRDefault="0048516E">
            <w:pPr>
              <w:spacing w:after="160" w:line="259" w:lineRule="auto"/>
              <w:ind w:right="0"/>
              <w:jc w:val="left"/>
            </w:pPr>
          </w:p>
        </w:tc>
        <w:tc>
          <w:tcPr>
            <w:tcW w:w="841" w:type="dxa"/>
            <w:gridSpan w:val="2"/>
            <w:tcBorders>
              <w:top w:val="nil"/>
              <w:left w:val="single" w:sz="2" w:space="0" w:color="000000"/>
              <w:bottom w:val="nil"/>
              <w:right w:val="nil"/>
            </w:tcBorders>
          </w:tcPr>
          <w:p w:rsidR="0048516E" w:rsidRDefault="0048516E">
            <w:pPr>
              <w:spacing w:after="160" w:line="259" w:lineRule="auto"/>
              <w:ind w:right="0"/>
              <w:jc w:val="left"/>
            </w:pPr>
          </w:p>
        </w:tc>
      </w:tr>
      <w:tr w:rsidR="0048516E">
        <w:trPr>
          <w:trHeight w:val="322"/>
        </w:trPr>
        <w:tc>
          <w:tcPr>
            <w:tcW w:w="0" w:type="auto"/>
            <w:vMerge/>
            <w:tcBorders>
              <w:top w:val="nil"/>
              <w:left w:val="nil"/>
              <w:bottom w:val="single" w:sz="2" w:space="0" w:color="000000"/>
              <w:right w:val="single" w:sz="2" w:space="0" w:color="000000"/>
            </w:tcBorders>
          </w:tcPr>
          <w:p w:rsidR="0048516E" w:rsidRDefault="0048516E">
            <w:pPr>
              <w:spacing w:after="160" w:line="259" w:lineRule="auto"/>
              <w:ind w:right="0"/>
              <w:jc w:val="left"/>
            </w:pPr>
          </w:p>
        </w:tc>
        <w:tc>
          <w:tcPr>
            <w:tcW w:w="329" w:type="dxa"/>
            <w:tcBorders>
              <w:top w:val="single" w:sz="2" w:space="0" w:color="000000"/>
              <w:left w:val="single" w:sz="2" w:space="0" w:color="000000"/>
              <w:bottom w:val="single" w:sz="2" w:space="0" w:color="000000"/>
              <w:right w:val="nil"/>
            </w:tcBorders>
          </w:tcPr>
          <w:p w:rsidR="0048516E" w:rsidRDefault="0048516E">
            <w:pPr>
              <w:spacing w:after="160" w:line="259" w:lineRule="auto"/>
              <w:ind w:right="0"/>
              <w:jc w:val="left"/>
            </w:pPr>
          </w:p>
        </w:tc>
        <w:tc>
          <w:tcPr>
            <w:tcW w:w="304" w:type="dxa"/>
            <w:tcBorders>
              <w:top w:val="single" w:sz="2" w:space="0" w:color="000000"/>
              <w:left w:val="nil"/>
              <w:bottom w:val="single" w:sz="2" w:space="0" w:color="000000"/>
              <w:right w:val="single" w:sz="2" w:space="0" w:color="000000"/>
            </w:tcBorders>
          </w:tcPr>
          <w:p w:rsidR="0048516E" w:rsidRDefault="00180D28">
            <w:pPr>
              <w:spacing w:after="0" w:line="259" w:lineRule="auto"/>
              <w:ind w:left="-236" w:right="0"/>
              <w:jc w:val="left"/>
            </w:pPr>
            <w:r>
              <w:rPr>
                <w:sz w:val="32"/>
              </w:rPr>
              <w:t>ESO</w:t>
            </w:r>
          </w:p>
        </w:tc>
        <w:tc>
          <w:tcPr>
            <w:tcW w:w="537" w:type="dxa"/>
            <w:tcBorders>
              <w:top w:val="nil"/>
              <w:left w:val="single" w:sz="2" w:space="0" w:color="000000"/>
              <w:bottom w:val="single" w:sz="2" w:space="0" w:color="000000"/>
              <w:right w:val="nil"/>
            </w:tcBorders>
          </w:tcPr>
          <w:p w:rsidR="0048516E" w:rsidRDefault="0048516E">
            <w:pPr>
              <w:spacing w:after="160" w:line="259" w:lineRule="auto"/>
              <w:ind w:right="0"/>
              <w:jc w:val="left"/>
            </w:pPr>
          </w:p>
        </w:tc>
      </w:tr>
      <w:tr w:rsidR="0048516E">
        <w:trPr>
          <w:trHeight w:val="351"/>
        </w:trPr>
        <w:tc>
          <w:tcPr>
            <w:tcW w:w="956" w:type="dxa"/>
            <w:gridSpan w:val="2"/>
            <w:tcBorders>
              <w:top w:val="single" w:sz="2" w:space="0" w:color="000000"/>
              <w:left w:val="nil"/>
              <w:bottom w:val="nil"/>
              <w:right w:val="single" w:sz="2" w:space="0" w:color="000000"/>
            </w:tcBorders>
          </w:tcPr>
          <w:p w:rsidR="0048516E" w:rsidRDefault="00180D28">
            <w:pPr>
              <w:spacing w:after="0" w:line="259" w:lineRule="auto"/>
              <w:ind w:right="0"/>
            </w:pPr>
            <w:r>
              <w:rPr>
                <w:sz w:val="50"/>
              </w:rPr>
              <w:t xml:space="preserve">HAN </w:t>
            </w:r>
          </w:p>
        </w:tc>
        <w:tc>
          <w:tcPr>
            <w:tcW w:w="841" w:type="dxa"/>
            <w:gridSpan w:val="2"/>
            <w:tcBorders>
              <w:top w:val="single" w:sz="2" w:space="0" w:color="000000"/>
              <w:left w:val="single" w:sz="2" w:space="0" w:color="000000"/>
              <w:bottom w:val="nil"/>
              <w:right w:val="nil"/>
            </w:tcBorders>
          </w:tcPr>
          <w:p w:rsidR="0048516E" w:rsidRDefault="00180D28">
            <w:pPr>
              <w:spacing w:after="0" w:line="259" w:lineRule="auto"/>
              <w:ind w:left="111" w:right="0"/>
            </w:pPr>
            <w:r>
              <w:rPr>
                <w:sz w:val="48"/>
              </w:rPr>
              <w:t>ALV</w:t>
            </w:r>
          </w:p>
        </w:tc>
      </w:tr>
    </w:tbl>
    <w:p w:rsidR="0048516E" w:rsidRDefault="00180D28">
      <w:pPr>
        <w:tabs>
          <w:tab w:val="center" w:pos="1783"/>
          <w:tab w:val="center" w:pos="7051"/>
        </w:tabs>
        <w:spacing w:after="697"/>
        <w:ind w:right="0"/>
        <w:jc w:val="left"/>
      </w:pPr>
      <w:r>
        <w:rPr>
          <w:sz w:val="22"/>
        </w:rPr>
        <w:tab/>
      </w:r>
      <w:r>
        <w:rPr>
          <w:noProof/>
        </w:rPr>
        <w:drawing>
          <wp:inline distT="0" distB="0" distL="0" distR="0">
            <wp:extent cx="146501" cy="61001"/>
            <wp:effectExtent l="0" t="0" r="0" b="0"/>
            <wp:docPr id="16975" name="Picture 16975"/>
            <wp:cNvGraphicFramePr/>
            <a:graphic xmlns:a="http://schemas.openxmlformats.org/drawingml/2006/main">
              <a:graphicData uri="http://schemas.openxmlformats.org/drawingml/2006/picture">
                <pic:pic xmlns:pic="http://schemas.openxmlformats.org/drawingml/2006/picture">
                  <pic:nvPicPr>
                    <pic:cNvPr id="16975" name="Picture 16975"/>
                    <pic:cNvPicPr/>
                  </pic:nvPicPr>
                  <pic:blipFill>
                    <a:blip r:embed="rId12"/>
                    <a:stretch>
                      <a:fillRect/>
                    </a:stretch>
                  </pic:blipFill>
                  <pic:spPr>
                    <a:xfrm>
                      <a:off x="0" y="0"/>
                      <a:ext cx="146501" cy="61001"/>
                    </a:xfrm>
                    <a:prstGeom prst="rect">
                      <a:avLst/>
                    </a:prstGeom>
                  </pic:spPr>
                </pic:pic>
              </a:graphicData>
            </a:graphic>
          </wp:inline>
        </w:drawing>
      </w:r>
      <w:r>
        <w:rPr>
          <w:sz w:val="22"/>
        </w:rPr>
        <w:t>VELKÉ PAVLOVICE</w:t>
      </w:r>
      <w:r>
        <w:rPr>
          <w:sz w:val="22"/>
        </w:rPr>
        <w:tab/>
      </w:r>
      <w:r>
        <w:rPr>
          <w:noProof/>
        </w:rPr>
        <w:drawing>
          <wp:inline distT="0" distB="0" distL="0" distR="0">
            <wp:extent cx="3497703" cy="353803"/>
            <wp:effectExtent l="0" t="0" r="0" b="0"/>
            <wp:docPr id="16977" name="Picture 16977"/>
            <wp:cNvGraphicFramePr/>
            <a:graphic xmlns:a="http://schemas.openxmlformats.org/drawingml/2006/main">
              <a:graphicData uri="http://schemas.openxmlformats.org/drawingml/2006/picture">
                <pic:pic xmlns:pic="http://schemas.openxmlformats.org/drawingml/2006/picture">
                  <pic:nvPicPr>
                    <pic:cNvPr id="16977" name="Picture 16977"/>
                    <pic:cNvPicPr/>
                  </pic:nvPicPr>
                  <pic:blipFill>
                    <a:blip r:embed="rId13"/>
                    <a:stretch>
                      <a:fillRect/>
                    </a:stretch>
                  </pic:blipFill>
                  <pic:spPr>
                    <a:xfrm>
                      <a:off x="0" y="0"/>
                      <a:ext cx="3497703" cy="353803"/>
                    </a:xfrm>
                    <a:prstGeom prst="rect">
                      <a:avLst/>
                    </a:prstGeom>
                  </pic:spPr>
                </pic:pic>
              </a:graphicData>
            </a:graphic>
          </wp:inline>
        </w:drawing>
      </w:r>
    </w:p>
    <w:p w:rsidR="0048516E" w:rsidRDefault="00180D28">
      <w:pPr>
        <w:tabs>
          <w:tab w:val="center" w:pos="764"/>
          <w:tab w:val="center" w:pos="4547"/>
        </w:tabs>
        <w:spacing w:after="2" w:line="258" w:lineRule="auto"/>
        <w:ind w:right="0"/>
        <w:jc w:val="left"/>
      </w:pPr>
      <w:r>
        <w:rPr>
          <w:sz w:val="20"/>
        </w:rPr>
        <w:tab/>
        <w:t>17 0107</w:t>
      </w:r>
      <w:r>
        <w:rPr>
          <w:sz w:val="20"/>
        </w:rPr>
        <w:tab/>
        <w:t>Směsi nebo oddělené frakce betonu, cihel, tašek a keramických výrobků</w:t>
      </w:r>
    </w:p>
    <w:p w:rsidR="0048516E" w:rsidRDefault="00180D28">
      <w:pPr>
        <w:tabs>
          <w:tab w:val="center" w:pos="2744"/>
          <w:tab w:val="center" w:pos="4292"/>
          <w:tab w:val="center" w:pos="5662"/>
          <w:tab w:val="center" w:pos="8137"/>
        </w:tabs>
        <w:spacing w:after="0"/>
        <w:ind w:right="0"/>
        <w:jc w:val="left"/>
      </w:pPr>
      <w:r>
        <w:rPr>
          <w:sz w:val="22"/>
        </w:rPr>
        <w:tab/>
        <w:t>165,-</w:t>
      </w:r>
      <w:r>
        <w:rPr>
          <w:sz w:val="22"/>
        </w:rPr>
        <w:tab/>
        <w:t>0,-</w:t>
      </w:r>
      <w:r>
        <w:rPr>
          <w:sz w:val="22"/>
        </w:rPr>
        <w:tab/>
        <w:t>34,65</w:t>
      </w:r>
      <w:r>
        <w:rPr>
          <w:sz w:val="22"/>
        </w:rPr>
        <w:tab/>
        <w:t>199,65</w:t>
      </w:r>
    </w:p>
    <w:p w:rsidR="0048516E" w:rsidRDefault="00180D28">
      <w:pPr>
        <w:tabs>
          <w:tab w:val="center" w:pos="769"/>
          <w:tab w:val="center" w:pos="3600"/>
        </w:tabs>
        <w:spacing w:after="3"/>
        <w:ind w:right="0"/>
        <w:jc w:val="left"/>
      </w:pPr>
      <w:r>
        <w:rPr>
          <w:sz w:val="22"/>
        </w:rPr>
        <w:tab/>
        <w:t>170302</w:t>
      </w:r>
      <w:r>
        <w:rPr>
          <w:sz w:val="22"/>
        </w:rPr>
        <w:tab/>
        <w:t>Asfiltové směsi neuvedené pod číslem 17 03 OI</w:t>
      </w:r>
    </w:p>
    <w:p w:rsidR="0048516E" w:rsidRDefault="00180D28">
      <w:pPr>
        <w:tabs>
          <w:tab w:val="center" w:pos="2740"/>
          <w:tab w:val="center" w:pos="5657"/>
          <w:tab w:val="center" w:pos="6916"/>
          <w:tab w:val="center" w:pos="8137"/>
        </w:tabs>
        <w:spacing w:after="423"/>
        <w:ind w:right="0"/>
        <w:jc w:val="left"/>
      </w:pPr>
      <w:r>
        <w:rPr>
          <w:sz w:val="22"/>
        </w:rPr>
        <w:tab/>
      </w:r>
      <w:r>
        <w:rPr>
          <w:sz w:val="22"/>
        </w:rPr>
        <w:t>165,-</w:t>
      </w:r>
      <w:r>
        <w:rPr>
          <w:sz w:val="22"/>
        </w:rPr>
        <w:tab/>
        <w:t>34,65</w:t>
      </w:r>
      <w:r>
        <w:rPr>
          <w:sz w:val="22"/>
        </w:rPr>
        <w:tab/>
        <w:t>0,-</w:t>
      </w:r>
      <w:r>
        <w:rPr>
          <w:sz w:val="22"/>
        </w:rPr>
        <w:tab/>
        <w:t>199,65</w:t>
      </w:r>
    </w:p>
    <w:p w:rsidR="0048516E" w:rsidRDefault="00180D28">
      <w:pPr>
        <w:spacing w:after="208" w:line="258" w:lineRule="auto"/>
        <w:ind w:left="443" w:right="279" w:hanging="10"/>
        <w:jc w:val="left"/>
      </w:pPr>
      <w:r>
        <w:rPr>
          <w:sz w:val="20"/>
        </w:rPr>
        <w:t>SEPAROVANÉ ODPADY:</w:t>
      </w:r>
    </w:p>
    <w:p w:rsidR="0048516E" w:rsidRDefault="00180D28">
      <w:pPr>
        <w:tabs>
          <w:tab w:val="center" w:pos="759"/>
          <w:tab w:val="center" w:pos="3316"/>
        </w:tabs>
        <w:spacing w:after="195" w:line="258" w:lineRule="auto"/>
        <w:ind w:right="0"/>
        <w:jc w:val="left"/>
      </w:pPr>
      <w:r>
        <w:rPr>
          <w:sz w:val="20"/>
        </w:rPr>
        <w:tab/>
        <w:t>15 01 01</w:t>
      </w:r>
      <w:r>
        <w:rPr>
          <w:sz w:val="20"/>
        </w:rPr>
        <w:tab/>
        <w:t>Papírové a Igpnkové obaly — ZDARMA</w:t>
      </w:r>
    </w:p>
    <w:p w:rsidR="0048516E" w:rsidRDefault="00180D28">
      <w:pPr>
        <w:tabs>
          <w:tab w:val="center" w:pos="769"/>
          <w:tab w:val="center" w:pos="2326"/>
        </w:tabs>
        <w:spacing w:after="0" w:line="259" w:lineRule="auto"/>
        <w:ind w:right="0"/>
        <w:jc w:val="left"/>
      </w:pPr>
      <w:r>
        <w:rPr>
          <w:sz w:val="22"/>
        </w:rPr>
        <w:tab/>
        <w:t>150102</w:t>
      </w:r>
      <w:r>
        <w:rPr>
          <w:sz w:val="22"/>
        </w:rPr>
        <w:tab/>
        <w:t>Plastové obdy</w:t>
      </w:r>
    </w:p>
    <w:p w:rsidR="0048516E" w:rsidRDefault="00180D28">
      <w:pPr>
        <w:tabs>
          <w:tab w:val="center" w:pos="4379"/>
          <w:tab w:val="center" w:pos="8166"/>
        </w:tabs>
        <w:spacing w:after="1922"/>
        <w:ind w:right="0"/>
        <w:jc w:val="left"/>
      </w:pPr>
      <w:r>
        <w:rPr>
          <w:sz w:val="22"/>
        </w:rPr>
        <w:lastRenderedPageBreak/>
        <w:tab/>
        <w:t>0,-</w:t>
      </w:r>
      <w:r>
        <w:rPr>
          <w:sz w:val="22"/>
        </w:rPr>
        <w:tab/>
        <w:t>2420-</w:t>
      </w:r>
    </w:p>
    <w:p w:rsidR="0048516E" w:rsidRDefault="0048516E">
      <w:pPr>
        <w:spacing w:after="4371" w:line="259" w:lineRule="auto"/>
        <w:ind w:left="5614" w:right="0"/>
        <w:jc w:val="left"/>
      </w:pPr>
      <w:bookmarkStart w:id="0" w:name="_GoBack"/>
      <w:bookmarkEnd w:id="0"/>
    </w:p>
    <w:p w:rsidR="0048516E" w:rsidRDefault="00180D28">
      <w:pPr>
        <w:ind w:left="274" w:right="0" w:hanging="10"/>
        <w:jc w:val="left"/>
      </w:pPr>
      <w:r>
        <w:rPr>
          <w:sz w:val="22"/>
        </w:rPr>
        <w:t>HANTALY a.s.</w:t>
      </w:r>
    </w:p>
    <w:p w:rsidR="0048516E" w:rsidRDefault="00180D28">
      <w:pPr>
        <w:tabs>
          <w:tab w:val="center" w:pos="697"/>
          <w:tab w:val="center" w:pos="2644"/>
          <w:tab w:val="center" w:pos="4600"/>
        </w:tabs>
        <w:spacing w:after="0" w:line="259" w:lineRule="auto"/>
        <w:ind w:right="0"/>
        <w:jc w:val="left"/>
      </w:pPr>
      <w:r>
        <w:rPr>
          <w:sz w:val="18"/>
        </w:rPr>
        <w:tab/>
        <w:t xml:space="preserve">Továrni 22 • </w:t>
      </w:r>
      <w:r>
        <w:rPr>
          <w:sz w:val="18"/>
        </w:rPr>
        <w:tab/>
        <w:t xml:space="preserve">Pavlovice • to: </w:t>
      </w:r>
      <w:r>
        <w:rPr>
          <w:sz w:val="18"/>
        </w:rPr>
        <w:tab/>
        <w:t>• czQ3240"</w:t>
      </w:r>
    </w:p>
    <w:p w:rsidR="0048516E" w:rsidRDefault="00180D28">
      <w:pPr>
        <w:spacing w:after="0" w:line="259" w:lineRule="auto"/>
        <w:ind w:left="279" w:right="0"/>
        <w:jc w:val="left"/>
      </w:pPr>
      <w:r>
        <w:rPr>
          <w:sz w:val="20"/>
          <w:u w:val="single" w:color="000000"/>
        </w:rPr>
        <w:t>Tel.: A20 SIO 361 171 • E-mail: infoehant•iy.cz • www.hantaly.cz</w:t>
      </w:r>
    </w:p>
    <w:sectPr w:rsidR="0048516E">
      <w:headerReference w:type="even" r:id="rId14"/>
      <w:headerReference w:type="default" r:id="rId15"/>
      <w:footerReference w:type="even" r:id="rId16"/>
      <w:footerReference w:type="default" r:id="rId17"/>
      <w:headerReference w:type="first" r:id="rId18"/>
      <w:footerReference w:type="first" r:id="rId19"/>
      <w:pgSz w:w="11920" w:h="16840"/>
      <w:pgMar w:top="1425" w:right="1048" w:bottom="992" w:left="159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D28" w:rsidRDefault="00180D28" w:rsidP="00180D28">
      <w:pPr>
        <w:spacing w:after="0" w:line="240" w:lineRule="auto"/>
      </w:pPr>
      <w:r>
        <w:separator/>
      </w:r>
    </w:p>
  </w:endnote>
  <w:endnote w:type="continuationSeparator" w:id="0">
    <w:p w:rsidR="00180D28" w:rsidRDefault="00180D28" w:rsidP="0018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D28" w:rsidRDefault="00180D28" w:rsidP="00180D28">
      <w:pPr>
        <w:spacing w:after="0" w:line="240" w:lineRule="auto"/>
      </w:pPr>
      <w:r>
        <w:separator/>
      </w:r>
    </w:p>
  </w:footnote>
  <w:footnote w:type="continuationSeparator" w:id="0">
    <w:p w:rsidR="00180D28" w:rsidRDefault="00180D28" w:rsidP="0018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28" w:rsidRDefault="00180D2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6E"/>
    <w:rsid w:val="00180D28"/>
    <w:rsid w:val="0048516E"/>
    <w:rsid w:val="00657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8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5" w:lineRule="auto"/>
      <w:ind w:right="96"/>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right="106"/>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0"/>
      <w:ind w:left="558" w:right="1557"/>
      <w:outlineLvl w:val="1"/>
    </w:pPr>
    <w:rPr>
      <w:rFonts w:ascii="Times New Roman" w:eastAsia="Times New Roman" w:hAnsi="Times New Roman" w:cs="Times New Roman"/>
      <w:color w:val="000000"/>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50"/>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80D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D28"/>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180D2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D2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3715</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2019-01-29T11:44:00Z</dcterms:created>
  <dcterms:modified xsi:type="dcterms:W3CDTF">2019-01-29T11:44:00Z</dcterms:modified>
</cp:coreProperties>
</file>