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80" w:rsidRDefault="005D6780" w:rsidP="005D6780">
      <w:pPr>
        <w:spacing w:after="15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</w:p>
    <w:p w:rsidR="003E413E" w:rsidRPr="00976B4A" w:rsidRDefault="003E413E" w:rsidP="003E41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sz w:val="18"/>
          <w:szCs w:val="18"/>
        </w:rPr>
        <w:t>sml</w:t>
      </w:r>
      <w:proofErr w:type="spellEnd"/>
      <w:r>
        <w:rPr>
          <w:rFonts w:ascii="Arial" w:hAnsi="Arial" w:cs="Arial"/>
          <w:sz w:val="18"/>
          <w:szCs w:val="18"/>
        </w:rPr>
        <w:t xml:space="preserve">. objednatele:        </w:t>
      </w:r>
      <w:r w:rsidR="006066FB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>/18620442/2019</w:t>
      </w:r>
    </w:p>
    <w:p w:rsidR="003E413E" w:rsidRDefault="003E413E" w:rsidP="003E413E">
      <w:pPr>
        <w:rPr>
          <w:rFonts w:ascii="Arial" w:hAnsi="Arial" w:cs="Arial"/>
        </w:rPr>
      </w:pPr>
    </w:p>
    <w:p w:rsidR="003E413E" w:rsidRDefault="003E413E" w:rsidP="003E413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Integrovaná střední škola technická, Benešov, </w:t>
      </w:r>
      <w:proofErr w:type="spellStart"/>
      <w:r>
        <w:rPr>
          <w:rFonts w:ascii="Arial" w:hAnsi="Arial" w:cs="Arial"/>
          <w:b/>
        </w:rPr>
        <w:t>Černoleská</w:t>
      </w:r>
      <w:proofErr w:type="spellEnd"/>
      <w:r>
        <w:rPr>
          <w:rFonts w:ascii="Arial" w:hAnsi="Arial" w:cs="Arial"/>
          <w:b/>
        </w:rPr>
        <w:t xml:space="preserve"> 1997</w:t>
      </w:r>
    </w:p>
    <w:p w:rsidR="003E413E" w:rsidRDefault="003E413E" w:rsidP="003E413E">
      <w:pPr>
        <w:spacing w:after="0"/>
        <w:rPr>
          <w:rFonts w:ascii="Arial" w:hAnsi="Arial" w:cs="Arial"/>
          <w:b/>
        </w:rPr>
      </w:pPr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proofErr w:type="spellStart"/>
      <w:r w:rsidRPr="00360966">
        <w:rPr>
          <w:rFonts w:ascii="Arial" w:hAnsi="Arial" w:cs="Arial"/>
        </w:rPr>
        <w:t>Černoleská</w:t>
      </w:r>
      <w:proofErr w:type="spellEnd"/>
      <w:r w:rsidRPr="00360966">
        <w:rPr>
          <w:rFonts w:ascii="Arial" w:hAnsi="Arial" w:cs="Arial"/>
        </w:rPr>
        <w:t xml:space="preserve"> 1997, </w:t>
      </w:r>
      <w:proofErr w:type="gramStart"/>
      <w:r w:rsidRPr="00360966">
        <w:rPr>
          <w:rFonts w:ascii="Arial" w:hAnsi="Arial" w:cs="Arial"/>
        </w:rPr>
        <w:t>256 01  Benešov</w:t>
      </w:r>
      <w:proofErr w:type="gramEnd"/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zastoupená Mgr. Janou Fialovou, ředitelkou</w:t>
      </w:r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317724575, 727854307</w:t>
      </w:r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 18620442</w:t>
      </w:r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DIČ ---</w:t>
      </w:r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Bankovní spojení: 13939121/0100</w:t>
      </w:r>
    </w:p>
    <w:p w:rsidR="003E413E" w:rsidRPr="002B7757" w:rsidRDefault="003E413E" w:rsidP="003E413E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B775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(dále jen „Objednatel“)</w:t>
      </w:r>
    </w:p>
    <w:p w:rsidR="003E413E" w:rsidRDefault="003E413E" w:rsidP="003E413E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</w:t>
      </w:r>
    </w:p>
    <w:p w:rsidR="003E413E" w:rsidRDefault="003E413E" w:rsidP="003E413E">
      <w:pPr>
        <w:spacing w:after="0"/>
        <w:rPr>
          <w:rFonts w:ascii="Arial" w:hAnsi="Arial" w:cs="Arial"/>
          <w:b/>
        </w:rPr>
      </w:pPr>
      <w:r w:rsidRPr="00D124DB">
        <w:rPr>
          <w:rFonts w:ascii="Arial" w:hAnsi="Arial" w:cs="Arial"/>
          <w:b/>
        </w:rPr>
        <w:t>Obchodní firma:</w:t>
      </w:r>
      <w:r w:rsidR="00FE2914">
        <w:rPr>
          <w:rFonts w:ascii="Arial" w:hAnsi="Arial" w:cs="Arial"/>
          <w:b/>
        </w:rPr>
        <w:t xml:space="preserve"> Petr Balík – B+B elektro</w:t>
      </w:r>
    </w:p>
    <w:p w:rsidR="003E413E" w:rsidRPr="00D124DB" w:rsidRDefault="003E413E" w:rsidP="003E413E">
      <w:pPr>
        <w:spacing w:after="0"/>
        <w:rPr>
          <w:rFonts w:ascii="Arial" w:hAnsi="Arial" w:cs="Arial"/>
          <w:b/>
        </w:rPr>
      </w:pPr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919A7">
        <w:rPr>
          <w:rFonts w:ascii="Arial" w:hAnsi="Arial" w:cs="Arial"/>
        </w:rPr>
        <w:t>e sídlem:</w:t>
      </w:r>
      <w:r>
        <w:rPr>
          <w:rFonts w:ascii="Arial" w:hAnsi="Arial" w:cs="Arial"/>
        </w:rPr>
        <w:t xml:space="preserve"> </w:t>
      </w:r>
      <w:r w:rsidR="00FE2914">
        <w:rPr>
          <w:rFonts w:ascii="Arial" w:hAnsi="Arial" w:cs="Arial"/>
        </w:rPr>
        <w:t xml:space="preserve">256 01 Benešov, </w:t>
      </w:r>
      <w:proofErr w:type="spellStart"/>
      <w:r w:rsidR="00FE2914">
        <w:rPr>
          <w:rFonts w:ascii="Arial" w:hAnsi="Arial" w:cs="Arial"/>
        </w:rPr>
        <w:t>Táborksá</w:t>
      </w:r>
      <w:proofErr w:type="spellEnd"/>
      <w:r w:rsidR="00FE2914">
        <w:rPr>
          <w:rFonts w:ascii="Arial" w:hAnsi="Arial" w:cs="Arial"/>
        </w:rPr>
        <w:t xml:space="preserve"> 538</w:t>
      </w:r>
    </w:p>
    <w:p w:rsidR="003E413E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FE2914">
        <w:rPr>
          <w:rFonts w:ascii="Arial" w:hAnsi="Arial" w:cs="Arial"/>
        </w:rPr>
        <w:t>Petrem Balíkem</w:t>
      </w:r>
    </w:p>
    <w:p w:rsidR="003E413E" w:rsidRPr="003919A7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FE2914">
        <w:rPr>
          <w:rFonts w:ascii="Arial" w:hAnsi="Arial" w:cs="Arial"/>
        </w:rPr>
        <w:t>603 236 100</w:t>
      </w:r>
    </w:p>
    <w:p w:rsidR="003E413E" w:rsidRDefault="003E413E" w:rsidP="003E413E">
      <w:pPr>
        <w:spacing w:after="0"/>
        <w:rPr>
          <w:rFonts w:ascii="Arial" w:hAnsi="Arial" w:cs="Arial"/>
        </w:rPr>
      </w:pPr>
      <w:r w:rsidRPr="003919A7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</w:t>
      </w:r>
      <w:r w:rsidR="00FE2914">
        <w:rPr>
          <w:rFonts w:ascii="Arial" w:hAnsi="Arial" w:cs="Arial"/>
        </w:rPr>
        <w:t>15874516</w:t>
      </w:r>
    </w:p>
    <w:p w:rsidR="00FE2914" w:rsidRPr="003919A7" w:rsidRDefault="00FE2914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DIČ: CZ6507291846</w:t>
      </w:r>
    </w:p>
    <w:p w:rsidR="003E413E" w:rsidRPr="003919A7" w:rsidRDefault="003E413E" w:rsidP="003E413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3919A7">
        <w:rPr>
          <w:rFonts w:ascii="Arial" w:hAnsi="Arial" w:cs="Arial"/>
        </w:rPr>
        <w:t>ankovní spojení:</w:t>
      </w:r>
      <w:r w:rsidR="00FE2914">
        <w:rPr>
          <w:rFonts w:ascii="Arial" w:hAnsi="Arial" w:cs="Arial"/>
        </w:rPr>
        <w:t xml:space="preserve"> </w:t>
      </w:r>
      <w:proofErr w:type="spellStart"/>
      <w:r w:rsidR="00FE2914">
        <w:rPr>
          <w:rFonts w:ascii="Arial" w:hAnsi="Arial" w:cs="Arial"/>
        </w:rPr>
        <w:t>UniCreditBank</w:t>
      </w:r>
      <w:proofErr w:type="spellEnd"/>
    </w:p>
    <w:p w:rsidR="003E413E" w:rsidRPr="003919A7" w:rsidRDefault="003E413E" w:rsidP="003E413E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</w:t>
      </w:r>
      <w:r w:rsidRPr="003919A7">
        <w:rPr>
          <w:rFonts w:ascii="Arial" w:hAnsi="Arial" w:cs="Arial"/>
        </w:rPr>
        <w:t>.účtu</w:t>
      </w:r>
      <w:proofErr w:type="spellEnd"/>
      <w:proofErr w:type="gramEnd"/>
      <w:r w:rsidRPr="003919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E2914">
        <w:rPr>
          <w:rFonts w:ascii="Arial" w:hAnsi="Arial" w:cs="Arial"/>
        </w:rPr>
        <w:t>2107844229/2700</w:t>
      </w:r>
    </w:p>
    <w:p w:rsidR="003E413E" w:rsidRPr="003919A7" w:rsidRDefault="003E413E" w:rsidP="003E413E">
      <w:pPr>
        <w:spacing w:after="0"/>
        <w:rPr>
          <w:rFonts w:ascii="Arial" w:hAnsi="Arial" w:cs="Arial"/>
        </w:rPr>
      </w:pPr>
      <w:r w:rsidRPr="003919A7">
        <w:rPr>
          <w:rFonts w:ascii="Arial" w:hAnsi="Arial" w:cs="Arial"/>
        </w:rPr>
        <w:t xml:space="preserve">zapsaná v obchodním rejstříku </w:t>
      </w:r>
      <w:r w:rsidR="00FE2914">
        <w:rPr>
          <w:rFonts w:ascii="Arial" w:hAnsi="Arial" w:cs="Arial"/>
        </w:rPr>
        <w:t>u Městského soudu v Praze, oddíl A, vložka 3679</w:t>
      </w:r>
      <w:r w:rsidRPr="003919A7">
        <w:rPr>
          <w:rFonts w:ascii="Arial" w:hAnsi="Arial" w:cs="Arial"/>
        </w:rPr>
        <w:br/>
        <w:t>(dále jen „</w:t>
      </w:r>
      <w:r>
        <w:rPr>
          <w:rFonts w:ascii="Arial" w:hAnsi="Arial" w:cs="Arial"/>
        </w:rPr>
        <w:t>Dodavatel</w:t>
      </w:r>
      <w:r w:rsidRPr="003919A7">
        <w:rPr>
          <w:rFonts w:ascii="Arial" w:hAnsi="Arial" w:cs="Arial"/>
        </w:rPr>
        <w:t>“)</w:t>
      </w:r>
    </w:p>
    <w:p w:rsidR="003E413E" w:rsidRPr="00D124DB" w:rsidRDefault="003E413E" w:rsidP="003E413E">
      <w:pPr>
        <w:spacing w:after="0"/>
        <w:rPr>
          <w:rFonts w:ascii="Arial" w:hAnsi="Arial" w:cs="Arial"/>
          <w:b/>
        </w:rPr>
      </w:pPr>
    </w:p>
    <w:p w:rsidR="003E413E" w:rsidRDefault="003E413E" w:rsidP="003E41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7514">
        <w:rPr>
          <w:rFonts w:ascii="Arial" w:hAnsi="Arial" w:cs="Arial"/>
        </w:rPr>
        <w:t>uzavírají podle ustanovení § 21 a § 1746 zákona č. 89/2012 Sb., občanský zákoník, ve znění pozdějších předpisů, tuto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07514">
        <w:rPr>
          <w:rFonts w:ascii="Arial" w:hAnsi="Arial" w:cs="Arial"/>
          <w:b/>
        </w:rPr>
        <w:t>rámcovou smlouvu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07514">
        <w:rPr>
          <w:rFonts w:ascii="Arial" w:hAnsi="Arial" w:cs="Arial"/>
          <w:b/>
        </w:rPr>
        <w:t xml:space="preserve">o opakovaných dodávkách </w:t>
      </w:r>
      <w:r>
        <w:rPr>
          <w:rFonts w:ascii="Arial" w:hAnsi="Arial" w:cs="Arial"/>
          <w:b/>
        </w:rPr>
        <w:t xml:space="preserve">elektromateriálu pro potřeby výuky a zajištění provozu na Integrované střední škole technické, Benešov, </w:t>
      </w:r>
      <w:proofErr w:type="spellStart"/>
      <w:r>
        <w:rPr>
          <w:rFonts w:ascii="Arial" w:hAnsi="Arial" w:cs="Arial"/>
          <w:b/>
        </w:rPr>
        <w:t>Černoleská</w:t>
      </w:r>
      <w:proofErr w:type="spellEnd"/>
      <w:r>
        <w:rPr>
          <w:rFonts w:ascii="Arial" w:hAnsi="Arial" w:cs="Arial"/>
          <w:b/>
        </w:rPr>
        <w:t xml:space="preserve"> 1997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07514">
        <w:rPr>
          <w:rFonts w:ascii="Arial" w:hAnsi="Arial" w:cs="Arial"/>
          <w:b/>
        </w:rPr>
        <w:t xml:space="preserve">I. 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907514">
        <w:rPr>
          <w:rFonts w:ascii="Arial" w:hAnsi="Arial" w:cs="Arial"/>
          <w:b/>
          <w:u w:val="single"/>
        </w:rPr>
        <w:t>Předmět díla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jsou dodávky</w:t>
      </w:r>
      <w:r w:rsidRPr="00907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elektromateriálu </w:t>
      </w:r>
      <w:r w:rsidRPr="00907514">
        <w:rPr>
          <w:rFonts w:ascii="Arial" w:hAnsi="Arial" w:cs="Arial"/>
        </w:rPr>
        <w:t>ze sortimentu dodavatele</w:t>
      </w:r>
      <w:r>
        <w:rPr>
          <w:rFonts w:ascii="Arial" w:hAnsi="Arial" w:cs="Arial"/>
        </w:rPr>
        <w:t xml:space="preserve"> pro potřeby výuky a zajištění provozu na Integrované střední škole technické, Benešov, </w:t>
      </w:r>
      <w:proofErr w:type="spellStart"/>
      <w:r>
        <w:rPr>
          <w:rFonts w:ascii="Arial" w:hAnsi="Arial" w:cs="Arial"/>
        </w:rPr>
        <w:t>Černoleská</w:t>
      </w:r>
      <w:proofErr w:type="spellEnd"/>
      <w:r>
        <w:rPr>
          <w:rFonts w:ascii="Arial" w:hAnsi="Arial" w:cs="Arial"/>
        </w:rPr>
        <w:t xml:space="preserve"> 1997 </w:t>
      </w:r>
      <w:r w:rsidRPr="00907514">
        <w:rPr>
          <w:rFonts w:ascii="Arial" w:hAnsi="Arial" w:cs="Arial"/>
        </w:rPr>
        <w:t xml:space="preserve">dle požadavků objednatele. 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u w:val="single"/>
        </w:rPr>
      </w:pPr>
      <w:r w:rsidRPr="00907514">
        <w:rPr>
          <w:rFonts w:ascii="Arial" w:hAnsi="Arial" w:cs="Arial"/>
          <w:b/>
          <w:u w:val="single"/>
        </w:rPr>
        <w:t>II. Místo</w:t>
      </w:r>
      <w:r>
        <w:rPr>
          <w:rFonts w:ascii="Arial" w:hAnsi="Arial" w:cs="Arial"/>
          <w:b/>
          <w:u w:val="single"/>
        </w:rPr>
        <w:t xml:space="preserve"> a čas</w:t>
      </w:r>
      <w:r w:rsidRPr="00907514">
        <w:rPr>
          <w:rFonts w:ascii="Arial" w:hAnsi="Arial" w:cs="Arial"/>
          <w:b/>
          <w:u w:val="single"/>
        </w:rPr>
        <w:t xml:space="preserve"> plnění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</w:p>
    <w:p w:rsidR="003E413E" w:rsidRDefault="003E413E" w:rsidP="003E413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</w:t>
      </w:r>
      <w:r w:rsidRPr="00907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dodavatel dodá na adresu školy, tj. Černoleská1997, Benešov, a to do 24 hodin od </w:t>
      </w:r>
      <w:r>
        <w:rPr>
          <w:rFonts w:ascii="Arial" w:hAnsi="Arial" w:cs="Arial"/>
        </w:rPr>
        <w:lastRenderedPageBreak/>
        <w:t>objednání zboží (soboty a neděle nepočítaje).</w:t>
      </w:r>
    </w:p>
    <w:p w:rsidR="003E413E" w:rsidRDefault="003E413E" w:rsidP="003E413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E413E" w:rsidRDefault="003E413E" w:rsidP="003E413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u w:val="single"/>
        </w:rPr>
      </w:pPr>
      <w:r w:rsidRPr="00F926AA">
        <w:rPr>
          <w:rFonts w:ascii="Arial" w:hAnsi="Arial" w:cs="Arial"/>
          <w:b/>
          <w:u w:val="single"/>
        </w:rPr>
        <w:t>III.</w:t>
      </w:r>
      <w:r>
        <w:rPr>
          <w:rFonts w:ascii="Arial" w:hAnsi="Arial" w:cs="Arial"/>
          <w:b/>
          <w:u w:val="single"/>
        </w:rPr>
        <w:t xml:space="preserve"> </w:t>
      </w:r>
      <w:r w:rsidRPr="00907514">
        <w:rPr>
          <w:rFonts w:ascii="Arial" w:hAnsi="Arial" w:cs="Arial"/>
          <w:b/>
          <w:u w:val="single"/>
        </w:rPr>
        <w:t>Doba plnění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Tato smlouva se uzavír</w:t>
      </w:r>
      <w:r>
        <w:rPr>
          <w:rFonts w:ascii="Arial" w:hAnsi="Arial" w:cs="Arial"/>
        </w:rPr>
        <w:t>á na dobu určitou, a to do 31. 12. 2019</w:t>
      </w:r>
      <w:r w:rsidRPr="00907514">
        <w:rPr>
          <w:rFonts w:ascii="Arial" w:hAnsi="Arial" w:cs="Arial"/>
        </w:rPr>
        <w:t xml:space="preserve"> nebo do vyčerpání finančního limitu v</w:t>
      </w:r>
      <w:r>
        <w:rPr>
          <w:rFonts w:ascii="Arial" w:hAnsi="Arial" w:cs="Arial"/>
        </w:rPr>
        <w:t>e výši 250.000</w:t>
      </w:r>
      <w:r w:rsidRPr="00907514">
        <w:rPr>
          <w:rFonts w:ascii="Arial" w:hAnsi="Arial" w:cs="Arial"/>
        </w:rPr>
        <w:t xml:space="preserve">,- Kč bez DPH, a to podle toho, která z těchto skutečností nastane dříve. 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07514">
        <w:rPr>
          <w:rFonts w:ascii="Arial" w:hAnsi="Arial" w:cs="Arial"/>
          <w:b/>
        </w:rPr>
        <w:t>IV.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907514">
        <w:rPr>
          <w:rFonts w:ascii="Arial" w:hAnsi="Arial" w:cs="Arial"/>
          <w:b/>
          <w:u w:val="single"/>
        </w:rPr>
        <w:t xml:space="preserve">Cena 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3E413E" w:rsidRPr="00907514" w:rsidRDefault="003E413E" w:rsidP="003E41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Ceny za jednotlivé druhy zboží ze sortimentu dodavatele jsou stanoveny cenovou nabídkou </w:t>
      </w:r>
      <w:r>
        <w:rPr>
          <w:rFonts w:ascii="Arial" w:hAnsi="Arial" w:cs="Arial"/>
        </w:rPr>
        <w:t>ze dn</w:t>
      </w:r>
      <w:r w:rsidR="00B264E9">
        <w:rPr>
          <w:rFonts w:ascii="Arial" w:hAnsi="Arial" w:cs="Arial"/>
        </w:rPr>
        <w:t xml:space="preserve">e </w:t>
      </w:r>
      <w:r w:rsidR="00FE2914">
        <w:rPr>
          <w:rFonts w:ascii="Arial" w:hAnsi="Arial" w:cs="Arial"/>
        </w:rPr>
        <w:t>15. 1. 2019,</w:t>
      </w:r>
      <w:r w:rsidRPr="00CF6F1C">
        <w:rPr>
          <w:rFonts w:ascii="Arial" w:hAnsi="Arial" w:cs="Arial"/>
          <w:color w:val="000000" w:themeColor="text1"/>
        </w:rPr>
        <w:t xml:space="preserve"> </w:t>
      </w:r>
      <w:r w:rsidRPr="00907514">
        <w:rPr>
          <w:rFonts w:ascii="Arial" w:hAnsi="Arial" w:cs="Arial"/>
        </w:rPr>
        <w:t xml:space="preserve">který je přílohou této smlouvy. Ostatní zboží ze sortimentu dodavatele, které bude objednáno a není součástí nabídkového listu, musí být doloženo aktuálním platným ceníkem dodavatele. Tato cena se považuje za cenu v místě a čase obvyklou a zahrnuje veškeré další náklady dodavatele za plnění předmětu smlouvy. 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Celková cena jednotlivých dodávek za dobu platnosti rámcové smlouvy činí maximálně </w:t>
      </w:r>
      <w:r w:rsidR="00FE2914" w:rsidRPr="00FE2914">
        <w:rPr>
          <w:rFonts w:ascii="Arial" w:hAnsi="Arial" w:cs="Arial"/>
          <w:b/>
        </w:rPr>
        <w:t>250.000,-</w:t>
      </w:r>
      <w:r w:rsidR="00B264E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bez</w:t>
      </w:r>
      <w:r w:rsidRPr="00907514">
        <w:rPr>
          <w:rFonts w:ascii="Arial" w:hAnsi="Arial" w:cs="Arial"/>
          <w:b/>
        </w:rPr>
        <w:t xml:space="preserve"> DPH</w:t>
      </w:r>
      <w:r w:rsidRPr="00907514">
        <w:rPr>
          <w:rFonts w:ascii="Arial" w:hAnsi="Arial" w:cs="Arial"/>
        </w:rPr>
        <w:t>. Tuto cenu nelze překročit. Smluvní strany prohlašují, že objednatel je oprávněn podávat dílčí objednávky v menším finančním rozsahu.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Ceny uvedené v nabídkovém listu jsou </w:t>
      </w:r>
      <w:r>
        <w:rPr>
          <w:rFonts w:ascii="Arial" w:hAnsi="Arial" w:cs="Arial"/>
        </w:rPr>
        <w:t xml:space="preserve">maximální a </w:t>
      </w:r>
      <w:r w:rsidRPr="00907514">
        <w:rPr>
          <w:rFonts w:ascii="Arial" w:hAnsi="Arial" w:cs="Arial"/>
        </w:rPr>
        <w:t>platné po celou dobu platnosti smlouvy.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Dodavatel je povinen v případě, že by celková úhrada dle této smlouvy přesáhla limit stanovený v odst. 2. tohoto článku smlouvy, předem písemně upozornit objednatele na tuto skutečnost. Dodavatel nesmí zahájit plnění předmětu smlouvy, které by následně požadoval vyfakturovat v ceně překračující finanční limit.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Dodavatel bude průběžně vystavovat faktury za jednotlivé dodávky na základě dílčích </w:t>
      </w:r>
      <w:r>
        <w:rPr>
          <w:rFonts w:ascii="Arial" w:hAnsi="Arial" w:cs="Arial"/>
        </w:rPr>
        <w:t>objednávek objednatele dle potřeb objednatele.</w:t>
      </w:r>
      <w:r w:rsidRPr="00907514">
        <w:rPr>
          <w:rFonts w:ascii="Arial" w:hAnsi="Arial" w:cs="Arial"/>
        </w:rPr>
        <w:t xml:space="preserve">  Objednávat dodávky zboží j</w:t>
      </w:r>
      <w:r>
        <w:rPr>
          <w:rFonts w:ascii="Arial" w:hAnsi="Arial" w:cs="Arial"/>
        </w:rPr>
        <w:t>sou oprávněni</w:t>
      </w:r>
      <w:r w:rsidRPr="00907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učitelé odborného výcviku. </w:t>
      </w:r>
      <w:r w:rsidRPr="00907514">
        <w:rPr>
          <w:rFonts w:ascii="Arial" w:hAnsi="Arial" w:cs="Arial"/>
        </w:rPr>
        <w:t>Dodavatel provede vyúčtování ceny za provedené dodávky formou faktury bez poskytnutí zálohy. Faktura bude mít požadované náležitosti daňového dokladu dle právní úpravy.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Splat</w:t>
      </w:r>
      <w:r>
        <w:rPr>
          <w:rFonts w:ascii="Arial" w:hAnsi="Arial" w:cs="Arial"/>
        </w:rPr>
        <w:t>nost jednotlivých faktur činí 30</w:t>
      </w:r>
      <w:r w:rsidRPr="00907514">
        <w:rPr>
          <w:rFonts w:ascii="Arial" w:hAnsi="Arial" w:cs="Arial"/>
        </w:rPr>
        <w:t xml:space="preserve"> kalendářních dnů od prokazatelného doručení faktury objednateli.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Default="003E413E" w:rsidP="003E413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Podkladem pro vystavení faktury je objednávka </w:t>
      </w:r>
      <w:r>
        <w:rPr>
          <w:rFonts w:ascii="Arial" w:hAnsi="Arial" w:cs="Arial"/>
        </w:rPr>
        <w:t>učiněná objednatelem prostřednictvím učitele odborného výcviku</w:t>
      </w:r>
      <w:r w:rsidRPr="00907514">
        <w:rPr>
          <w:rFonts w:ascii="Arial" w:hAnsi="Arial" w:cs="Arial"/>
        </w:rPr>
        <w:t>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907514">
        <w:rPr>
          <w:rFonts w:ascii="Arial" w:hAnsi="Arial" w:cs="Arial"/>
          <w:b/>
        </w:rPr>
        <w:t>V.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907514">
        <w:rPr>
          <w:rFonts w:ascii="Arial" w:hAnsi="Arial" w:cs="Arial"/>
          <w:b/>
          <w:u w:val="single"/>
        </w:rPr>
        <w:t>Trvání a platnost smlouvy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3E413E" w:rsidRPr="00907514" w:rsidRDefault="003E413E" w:rsidP="003E41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Smluvní strany mohou tuto smlouvu vypovědět i bez udání důvodů v jednoměsíční výpovědní lhůtě, která začíná běžet prvním dnem měsíce následujícího po doručení písemné výpovědi druhé smluvní straně.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Objednatel může od smlouvy odstoupit, pokud dodavatel závažným způsobem poruší některé ustanovení této smlouvy. Odstoupení musí objednatel učinit písemně a jeho účinky nastávají okamžikem doručení zhotoviteli.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907514">
        <w:rPr>
          <w:rFonts w:ascii="Arial" w:hAnsi="Arial" w:cs="Arial"/>
          <w:b/>
          <w:lang w:val="en-US"/>
        </w:rPr>
        <w:t>VI.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907514">
        <w:rPr>
          <w:rFonts w:ascii="Arial" w:hAnsi="Arial" w:cs="Arial"/>
          <w:b/>
          <w:u w:val="single"/>
        </w:rPr>
        <w:t>Povinnosti dodavatele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3E413E" w:rsidRPr="00907514" w:rsidRDefault="003E413E" w:rsidP="003E413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Všechny dodávky musí být poskytnuty objednateli v požadovaném rozsahu, a to bez jakéhokoliv omezení; dodavatel nebude oprávněn doúčtovat objednateli jakékoli dodatečné práce, služby či dodávky, které budou nezbytné pro řádné splnění dílčího nebo celého předmětu smlouvy, a to např. i z důvodu, že dodavatel chybně odhadl nabídkovou (smluvní) cenu. 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Veškeré činnosti je dodavatel povinen provádět s náležitou péčí a odbornou způsobilostí. Všechny služby musí být poskytnuty v požadovaném rozsahu, a to bez jakéhokoliv omezení.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07514">
        <w:rPr>
          <w:rFonts w:ascii="Arial" w:hAnsi="Arial" w:cs="Arial"/>
          <w:b/>
        </w:rPr>
        <w:t>VII.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907514">
        <w:rPr>
          <w:rFonts w:ascii="Arial" w:hAnsi="Arial" w:cs="Arial"/>
          <w:b/>
          <w:u w:val="single"/>
        </w:rPr>
        <w:t>Ostatní ujednání</w:t>
      </w:r>
    </w:p>
    <w:p w:rsidR="003E413E" w:rsidRPr="00907514" w:rsidRDefault="003E413E" w:rsidP="003E413E">
      <w:pPr>
        <w:ind w:left="360"/>
        <w:jc w:val="both"/>
        <w:rPr>
          <w:rFonts w:ascii="Arial" w:hAnsi="Arial" w:cs="Arial"/>
        </w:rPr>
      </w:pPr>
    </w:p>
    <w:p w:rsidR="003E413E" w:rsidRPr="00907514" w:rsidRDefault="003E413E" w:rsidP="003E413E">
      <w:pPr>
        <w:ind w:left="360"/>
        <w:jc w:val="both"/>
        <w:rPr>
          <w:rFonts w:ascii="Arial" w:hAnsi="Arial" w:cs="Arial"/>
        </w:rPr>
      </w:pPr>
    </w:p>
    <w:p w:rsidR="003E413E" w:rsidRPr="00907514" w:rsidRDefault="003E413E" w:rsidP="003E413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V souvislosti s možnými úpravami rozpočtu si objednatel vyhrazuje právo zastavit průběh plnění smlouvy, a rovněž jednostranně smlouvu ukončit, a to bez jakékoliv sankce či náhrady za nedokončené plnění. Objednatel se zavazuje, že dílčí plnění objednané před termínem ukončení smlouvy uhradí podle podmínek smlouvy.</w:t>
      </w:r>
    </w:p>
    <w:p w:rsidR="003E413E" w:rsidRPr="00907514" w:rsidRDefault="003E413E" w:rsidP="003E413E">
      <w:pPr>
        <w:ind w:left="360"/>
        <w:jc w:val="both"/>
        <w:rPr>
          <w:rFonts w:ascii="Arial" w:hAnsi="Arial" w:cs="Arial"/>
        </w:rPr>
      </w:pPr>
    </w:p>
    <w:p w:rsidR="003E413E" w:rsidRPr="00907514" w:rsidRDefault="003E413E" w:rsidP="003E413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Prodlení dodavatele se splněním povinnosti </w:t>
      </w:r>
      <w:r>
        <w:rPr>
          <w:rFonts w:ascii="Arial" w:hAnsi="Arial" w:cs="Arial"/>
        </w:rPr>
        <w:t>dodání zboží, a to o více</w:t>
      </w:r>
      <w:r w:rsidR="00B264E9">
        <w:rPr>
          <w:rFonts w:ascii="Arial" w:hAnsi="Arial" w:cs="Arial"/>
        </w:rPr>
        <w:t xml:space="preserve"> jak 2</w:t>
      </w:r>
      <w:r w:rsidRPr="00907514">
        <w:rPr>
          <w:rFonts w:ascii="Arial" w:hAnsi="Arial" w:cs="Arial"/>
        </w:rPr>
        <w:t xml:space="preserve"> pracovní</w:t>
      </w:r>
      <w:r w:rsidR="00B264E9">
        <w:rPr>
          <w:rFonts w:ascii="Arial" w:hAnsi="Arial" w:cs="Arial"/>
        </w:rPr>
        <w:t xml:space="preserve"> dny</w:t>
      </w:r>
      <w:r w:rsidRPr="00907514">
        <w:rPr>
          <w:rFonts w:ascii="Arial" w:hAnsi="Arial" w:cs="Arial"/>
        </w:rPr>
        <w:t>, bude považováno za podstatné porušení smlouvy ze strany dodavatele a v takovém případě je objednatel oprávněn od této smlouvy odstoupit. Odstoupení od smlouvy je účinné okamžikem doručení písemného odstoupení od smlouvy dodavateli.</w:t>
      </w:r>
    </w:p>
    <w:p w:rsidR="003E413E" w:rsidRPr="00907514" w:rsidRDefault="003E413E" w:rsidP="003E413E">
      <w:pPr>
        <w:ind w:left="360"/>
        <w:jc w:val="both"/>
        <w:rPr>
          <w:rFonts w:ascii="Arial" w:hAnsi="Arial" w:cs="Arial"/>
        </w:rPr>
      </w:pPr>
    </w:p>
    <w:p w:rsidR="003E413E" w:rsidRPr="00907514" w:rsidRDefault="003E413E" w:rsidP="003E413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V případě, že dodavatel použije byť i jen k plnění určité části předmětu smlouvy subdodavatele, odpovídá objednateli za plnění poskytnuté subdodavatelem</w:t>
      </w:r>
      <w:r w:rsidR="00B264E9">
        <w:rPr>
          <w:rFonts w:ascii="Arial" w:hAnsi="Arial" w:cs="Arial"/>
        </w:rPr>
        <w:t>,</w:t>
      </w:r>
      <w:r w:rsidRPr="00907514">
        <w:rPr>
          <w:rFonts w:ascii="Arial" w:hAnsi="Arial" w:cs="Arial"/>
        </w:rPr>
        <w:t xml:space="preserve"> jako by toto plnění poskytoval dodavatel sám.</w:t>
      </w:r>
    </w:p>
    <w:p w:rsidR="003E413E" w:rsidRPr="00907514" w:rsidRDefault="003E413E" w:rsidP="003E413E">
      <w:pPr>
        <w:ind w:left="360"/>
        <w:jc w:val="both"/>
        <w:rPr>
          <w:rFonts w:ascii="Arial" w:hAnsi="Arial" w:cs="Arial"/>
        </w:rPr>
      </w:pPr>
    </w:p>
    <w:p w:rsidR="003E413E" w:rsidRPr="00907514" w:rsidRDefault="003E413E" w:rsidP="003E413E">
      <w:pPr>
        <w:numPr>
          <w:ilvl w:val="0"/>
          <w:numId w:val="8"/>
        </w:numPr>
        <w:spacing w:after="0" w:line="240" w:lineRule="auto"/>
        <w:ind w:left="357"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Dodavatel nese plnou odpovědnost za škodu způsobenou objednateli v souvislosti s plněním předmětu smlouvy a zavazuje se takovou škodu objednateli uhradit. Výše náhrady škody není omezena.</w:t>
      </w:r>
    </w:p>
    <w:p w:rsidR="003E413E" w:rsidRPr="00907514" w:rsidRDefault="003E413E" w:rsidP="003E413E">
      <w:pPr>
        <w:ind w:left="357"/>
        <w:contextualSpacing/>
        <w:jc w:val="both"/>
        <w:rPr>
          <w:rFonts w:ascii="Arial" w:hAnsi="Arial" w:cs="Arial"/>
        </w:rPr>
      </w:pPr>
    </w:p>
    <w:p w:rsidR="003E413E" w:rsidRPr="0068594A" w:rsidRDefault="003E413E" w:rsidP="003E413E">
      <w:pPr>
        <w:numPr>
          <w:ilvl w:val="0"/>
          <w:numId w:val="8"/>
        </w:numPr>
        <w:spacing w:after="0" w:line="240" w:lineRule="auto"/>
        <w:ind w:left="357"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 xml:space="preserve">Dodavatel vyslovuje souhlas s tím, že objednatel v rámci transparentnosti zveřejní smlouvu (včetně případných dodatků) </w:t>
      </w:r>
      <w:r>
        <w:rPr>
          <w:rFonts w:ascii="Arial" w:hAnsi="Arial" w:cs="Arial"/>
        </w:rPr>
        <w:t>v registru smluv.</w:t>
      </w:r>
    </w:p>
    <w:p w:rsidR="003E413E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264E9" w:rsidRDefault="00B264E9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264E9" w:rsidRPr="00907514" w:rsidRDefault="00B264E9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907514">
        <w:rPr>
          <w:rFonts w:ascii="Arial" w:hAnsi="Arial" w:cs="Arial"/>
          <w:b/>
        </w:rPr>
        <w:t>VIII.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07514">
        <w:rPr>
          <w:rFonts w:ascii="Arial" w:hAnsi="Arial" w:cs="Arial"/>
          <w:b/>
          <w:u w:val="single"/>
        </w:rPr>
        <w:t>Ukončení smlouvy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68594A" w:rsidRDefault="003E413E" w:rsidP="003E413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Tato smlouva se uzavírá na dobu ur</w:t>
      </w:r>
      <w:r w:rsidR="00B264E9">
        <w:rPr>
          <w:rFonts w:ascii="Arial" w:hAnsi="Arial" w:cs="Arial"/>
        </w:rPr>
        <w:t>čitou ode dne účinnosti smlouvy, a to</w:t>
      </w:r>
      <w:r w:rsidRPr="00907514">
        <w:rPr>
          <w:rFonts w:ascii="Arial" w:hAnsi="Arial" w:cs="Arial"/>
        </w:rPr>
        <w:t xml:space="preserve"> do 31.</w:t>
      </w:r>
      <w:r>
        <w:rPr>
          <w:rFonts w:ascii="Arial" w:hAnsi="Arial" w:cs="Arial"/>
        </w:rPr>
        <w:t xml:space="preserve"> </w:t>
      </w:r>
      <w:r w:rsidRPr="0090751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2. </w:t>
      </w:r>
      <w:r w:rsidR="00B264E9">
        <w:rPr>
          <w:rFonts w:ascii="Arial" w:hAnsi="Arial" w:cs="Arial"/>
        </w:rPr>
        <w:t>2019</w:t>
      </w:r>
      <w:r w:rsidRPr="00907514">
        <w:rPr>
          <w:rFonts w:ascii="Arial" w:hAnsi="Arial" w:cs="Arial"/>
        </w:rPr>
        <w:t xml:space="preserve">, s možností nevyčerpání celkového objemu finančních prostředků uvedeného v čl. </w:t>
      </w:r>
      <w:r w:rsidRPr="00907514">
        <w:rPr>
          <w:rFonts w:ascii="Arial" w:hAnsi="Arial" w:cs="Arial"/>
          <w:lang w:val="en-US"/>
        </w:rPr>
        <w:t xml:space="preserve">III. </w:t>
      </w:r>
      <w:r w:rsidRPr="00907514">
        <w:rPr>
          <w:rFonts w:ascii="Arial" w:hAnsi="Arial" w:cs="Arial"/>
        </w:rPr>
        <w:t>této smlouvy. Smlouvu lze před uplynutím této doby ukončit písemnou oboustranně podepsanou dohodou stran nebo výpovědí bez uvedení důvodu s jednoměsíční výpovědní lhůtou, která začíná běžet dnem doručení výpovědi druhé straně.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907514">
        <w:rPr>
          <w:rFonts w:ascii="Arial" w:hAnsi="Arial" w:cs="Arial"/>
          <w:b/>
        </w:rPr>
        <w:t>IX.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907514">
        <w:rPr>
          <w:rFonts w:ascii="Arial" w:hAnsi="Arial" w:cs="Arial"/>
          <w:b/>
          <w:u w:val="single"/>
        </w:rPr>
        <w:t>Závěrečná ustanovení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Smluvní strany shodně prohlašují, že si tuto smlouvu před jejím podpisem přečetly, že byla uzavřena po vzájemném projednání podle jejich pravé a svobodné vůle, určitě, vážně a srozumitelně.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Default="003E413E" w:rsidP="00F16A8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B264E9">
        <w:rPr>
          <w:rFonts w:ascii="Arial" w:hAnsi="Arial" w:cs="Arial"/>
        </w:rPr>
        <w:t xml:space="preserve">Tato smlouva je vyhotovena ve dvou stejnopisech s platností originálu, z nichž každá ze smluvních stran obdrží jedno vyhotovení. Přílohou a nedílnou součástí této smlouvy je </w:t>
      </w:r>
      <w:r w:rsidR="00B5339D">
        <w:rPr>
          <w:rFonts w:ascii="Arial" w:hAnsi="Arial" w:cs="Arial"/>
        </w:rPr>
        <w:t>cenová nabídka</w:t>
      </w:r>
      <w:r w:rsidRPr="00B264E9">
        <w:rPr>
          <w:rFonts w:ascii="Arial" w:hAnsi="Arial" w:cs="Arial"/>
        </w:rPr>
        <w:t xml:space="preserve"> </w:t>
      </w:r>
      <w:r w:rsidR="00B5339D">
        <w:rPr>
          <w:rFonts w:ascii="Arial" w:hAnsi="Arial" w:cs="Arial"/>
        </w:rPr>
        <w:t>dodavatele.</w:t>
      </w:r>
    </w:p>
    <w:p w:rsidR="00B264E9" w:rsidRPr="00B264E9" w:rsidRDefault="00B264E9" w:rsidP="00B264E9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Tuto smlouvu lze měnit a doplňovat pouze písemnými dodatky podepsanými oběma stranami.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907514">
        <w:rPr>
          <w:rFonts w:ascii="Arial" w:hAnsi="Arial" w:cs="Arial"/>
        </w:rPr>
        <w:t>Smlouva nabývá platnosti a účinnosti dnem podpisu smluvních stran.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907514">
        <w:rPr>
          <w:rFonts w:ascii="Arial" w:hAnsi="Arial" w:cs="Arial"/>
        </w:rPr>
        <w:t xml:space="preserve">Příloha: </w:t>
      </w:r>
      <w:r w:rsidR="00B5339D">
        <w:rPr>
          <w:rFonts w:ascii="Arial" w:hAnsi="Arial" w:cs="Arial"/>
        </w:rPr>
        <w:t>Cenová nabídka</w:t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07514">
        <w:rPr>
          <w:rFonts w:ascii="Arial" w:hAnsi="Arial" w:cs="Arial"/>
        </w:rPr>
        <w:t>V </w:t>
      </w:r>
      <w:r w:rsidR="006E3163">
        <w:rPr>
          <w:rFonts w:ascii="Arial" w:hAnsi="Arial" w:cs="Arial"/>
        </w:rPr>
        <w:t xml:space="preserve">Benešově dne 24. </w:t>
      </w:r>
      <w:bookmarkStart w:id="0" w:name="_GoBack"/>
      <w:bookmarkEnd w:id="0"/>
      <w:r w:rsidR="006E3163">
        <w:rPr>
          <w:rFonts w:ascii="Arial" w:hAnsi="Arial" w:cs="Arial"/>
        </w:rPr>
        <w:t>1. 2019</w:t>
      </w:r>
      <w:r w:rsidR="006066FB">
        <w:rPr>
          <w:rFonts w:ascii="Arial" w:hAnsi="Arial" w:cs="Arial"/>
        </w:rPr>
        <w:tab/>
      </w:r>
      <w:r w:rsidR="006066FB">
        <w:rPr>
          <w:rFonts w:ascii="Arial" w:hAnsi="Arial" w:cs="Arial"/>
        </w:rPr>
        <w:tab/>
      </w:r>
      <w:r w:rsidR="006066FB">
        <w:rPr>
          <w:rFonts w:ascii="Arial" w:hAnsi="Arial" w:cs="Arial"/>
        </w:rPr>
        <w:tab/>
      </w:r>
      <w:r w:rsidR="006066FB">
        <w:rPr>
          <w:rFonts w:ascii="Arial" w:hAnsi="Arial" w:cs="Arial"/>
        </w:rPr>
        <w:tab/>
      </w:r>
      <w:r w:rsidR="006066FB">
        <w:rPr>
          <w:rFonts w:ascii="Arial" w:hAnsi="Arial" w:cs="Arial"/>
        </w:rPr>
        <w:tab/>
        <w:t>V Benešově dne 15. 1. 2019</w:t>
      </w:r>
    </w:p>
    <w:p w:rsidR="003E413E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 dodavatele:                    </w:t>
      </w:r>
      <w:r>
        <w:rPr>
          <w:rFonts w:ascii="Arial" w:hAnsi="Arial" w:cs="Arial"/>
        </w:rPr>
        <w:tab/>
      </w:r>
    </w:p>
    <w:p w:rsidR="003E413E" w:rsidRPr="00907514" w:rsidRDefault="003E413E" w:rsidP="003E41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264E9" w:rsidRDefault="003E413E" w:rsidP="00B264E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Mgr. Jana Fialová, ředitelka</w:t>
      </w:r>
      <w:r w:rsidR="00FE2914">
        <w:rPr>
          <w:rFonts w:ascii="Arial" w:hAnsi="Arial" w:cs="Arial"/>
        </w:rPr>
        <w:tab/>
      </w:r>
      <w:r w:rsidR="00FE2914">
        <w:rPr>
          <w:rFonts w:ascii="Arial" w:hAnsi="Arial" w:cs="Arial"/>
        </w:rPr>
        <w:tab/>
      </w:r>
      <w:r w:rsidR="00FE2914">
        <w:rPr>
          <w:rFonts w:ascii="Arial" w:hAnsi="Arial" w:cs="Arial"/>
        </w:rPr>
        <w:tab/>
      </w:r>
      <w:r w:rsidR="00FE2914">
        <w:rPr>
          <w:rFonts w:ascii="Arial" w:hAnsi="Arial" w:cs="Arial"/>
        </w:rPr>
        <w:tab/>
      </w:r>
      <w:r w:rsidR="00FE2914">
        <w:rPr>
          <w:rFonts w:ascii="Arial" w:hAnsi="Arial" w:cs="Arial"/>
        </w:rPr>
        <w:tab/>
        <w:t>Petr Balík</w:t>
      </w:r>
    </w:p>
    <w:p w:rsidR="009211C4" w:rsidRDefault="009211C4" w:rsidP="00B264E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39"/>
          <w:szCs w:val="39"/>
        </w:rPr>
      </w:pPr>
      <w:r>
        <w:rPr>
          <w:rFonts w:ascii="Tahomatu?né" w:hAnsi="Tahomatu?né" w:cs="Tahomatu?né"/>
          <w:sz w:val="39"/>
          <w:szCs w:val="39"/>
        </w:rPr>
        <w:lastRenderedPageBreak/>
        <w:t>Nabídka č.NP910010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Dodavatel: Adresát: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tu?né" w:hAnsi="Tahomatu?né" w:cs="Tahomatu?né"/>
        </w:rPr>
        <w:t>Petr Balík B + B elektro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Táborská 538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256 01 Benešov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IČ: 15874516 DIČ: CZ6507291846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Společnost zapsaná v obchodním rejstříku vedeném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Městským soudem v Praze, oddíl A, vložka 3679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Odběratel: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tu?né" w:hAnsi="Tahomatu?né" w:cs="Tahomatu?né"/>
        </w:rPr>
        <w:t>Integrovaná střední škola technická, Benešov,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proofErr w:type="spellStart"/>
      <w:r>
        <w:rPr>
          <w:rFonts w:ascii="Tahomatu?né" w:hAnsi="Tahomatu?né" w:cs="Tahomatu?né"/>
        </w:rPr>
        <w:t>Černoleská</w:t>
      </w:r>
      <w:proofErr w:type="spellEnd"/>
      <w:r>
        <w:rPr>
          <w:rFonts w:ascii="Tahomatu?né" w:hAnsi="Tahomatu?né" w:cs="Tahomatu?né"/>
        </w:rPr>
        <w:t xml:space="preserve"> 1997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proofErr w:type="spellStart"/>
      <w:r>
        <w:rPr>
          <w:rFonts w:ascii="Tahomaoby?ejné" w:hAnsi="Tahomaoby?ejné" w:cs="Tahomaoby?ejné"/>
        </w:rPr>
        <w:t>Černoleská</w:t>
      </w:r>
      <w:proofErr w:type="spellEnd"/>
      <w:r>
        <w:rPr>
          <w:rFonts w:ascii="Tahomaoby?ejné" w:hAnsi="Tahomaoby?ejné" w:cs="Tahomaoby?ejné"/>
        </w:rPr>
        <w:t xml:space="preserve"> 1997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256 01 Benešov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IČ: 18620442 DIČ: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proofErr w:type="spellStart"/>
      <w:r>
        <w:rPr>
          <w:rFonts w:ascii="Tahomatu?né" w:hAnsi="Tahomatu?né" w:cs="Tahomatu?né"/>
        </w:rPr>
        <w:t>Integr.</w:t>
      </w:r>
      <w:proofErr w:type="gramStart"/>
      <w:r>
        <w:rPr>
          <w:rFonts w:ascii="Tahomatu?né" w:hAnsi="Tahomatu?né" w:cs="Tahomatu?né"/>
        </w:rPr>
        <w:t>střed</w:t>
      </w:r>
      <w:proofErr w:type="gramEnd"/>
      <w:r>
        <w:rPr>
          <w:rFonts w:ascii="Tahomatu?né" w:hAnsi="Tahomatu?né" w:cs="Tahomatu?né"/>
        </w:rPr>
        <w:t>.</w:t>
      </w:r>
      <w:proofErr w:type="gramStart"/>
      <w:r>
        <w:rPr>
          <w:rFonts w:ascii="Tahomatu?né" w:hAnsi="Tahomatu?né" w:cs="Tahomatu?né"/>
        </w:rPr>
        <w:t>škola</w:t>
      </w:r>
      <w:proofErr w:type="spellEnd"/>
      <w:proofErr w:type="gramEnd"/>
      <w:r>
        <w:rPr>
          <w:rFonts w:ascii="Tahomatu?né" w:hAnsi="Tahomatu?né" w:cs="Tahomatu?né"/>
        </w:rPr>
        <w:t xml:space="preserve"> </w:t>
      </w:r>
      <w:proofErr w:type="spellStart"/>
      <w:r>
        <w:rPr>
          <w:rFonts w:ascii="Tahomatu?né" w:hAnsi="Tahomatu?né" w:cs="Tahomatu?né"/>
        </w:rPr>
        <w:t>tech</w:t>
      </w:r>
      <w:proofErr w:type="spellEnd"/>
      <w:r>
        <w:rPr>
          <w:rFonts w:ascii="Tahomatu?né" w:hAnsi="Tahomatu?né" w:cs="Tahomatu?né"/>
        </w:rPr>
        <w:t>.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ISŠT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proofErr w:type="spellStart"/>
      <w:r>
        <w:rPr>
          <w:rFonts w:ascii="Tahomaoby?ejné" w:hAnsi="Tahomaoby?ejné" w:cs="Tahomaoby?ejné"/>
        </w:rPr>
        <w:t>Černoleská</w:t>
      </w:r>
      <w:proofErr w:type="spellEnd"/>
      <w:r>
        <w:rPr>
          <w:rFonts w:ascii="Tahomaoby?ejné" w:hAnsi="Tahomaoby?ejné" w:cs="Tahomaoby?ejné"/>
        </w:rPr>
        <w:t xml:space="preserve"> 1997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25601 Benešov u Prahy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Kontaktní osoba: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Pobočka: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oby?ejné" w:hAnsi="Tahomaoby?ejné" w:cs="Tahomaoby?ejné"/>
        </w:rPr>
        <w:t xml:space="preserve">Telefon: </w:t>
      </w:r>
      <w:r>
        <w:rPr>
          <w:rFonts w:ascii="Tahomatu?né" w:hAnsi="Tahomatu?né" w:cs="Tahomatu?né"/>
        </w:rPr>
        <w:t>317723131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oby?ejné" w:hAnsi="Tahomaoby?ejné" w:cs="Tahomaoby?ejné"/>
        </w:rPr>
        <w:t xml:space="preserve">Fax: </w:t>
      </w:r>
      <w:r>
        <w:rPr>
          <w:rFonts w:ascii="Tahomatu?né" w:hAnsi="Tahomatu?né" w:cs="Tahomatu?né"/>
        </w:rPr>
        <w:t>317724575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oby?ejné" w:hAnsi="Tahomaoby?ejné" w:cs="Tahomaoby?ejné"/>
        </w:rPr>
        <w:t xml:space="preserve">Zakázka: </w:t>
      </w:r>
      <w:r>
        <w:rPr>
          <w:rFonts w:ascii="Tahomatu?né" w:hAnsi="Tahomatu?né" w:cs="Tahomatu?né"/>
        </w:rPr>
        <w:t>ZP9100235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Poptávka: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Poptávka odběratele: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oby?ejné" w:hAnsi="Tahomaoby?ejné" w:cs="Tahomaoby?ejné"/>
        </w:rPr>
        <w:t xml:space="preserve">Forma úhrady: </w:t>
      </w:r>
      <w:r>
        <w:rPr>
          <w:rFonts w:ascii="Tahomatu?né" w:hAnsi="Tahomatu?né" w:cs="Tahomatu?né"/>
        </w:rPr>
        <w:t>Bankovním převodem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oby?ejné" w:hAnsi="Tahomaoby?ejné" w:cs="Tahomaoby?ejné"/>
        </w:rPr>
        <w:t xml:space="preserve">Vystavil: </w:t>
      </w:r>
      <w:r>
        <w:rPr>
          <w:rFonts w:ascii="Tahomatu?né" w:hAnsi="Tahomatu?né" w:cs="Tahomatu?né"/>
        </w:rPr>
        <w:t>Vyoral Luděk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</w:rPr>
      </w:pPr>
      <w:r>
        <w:rPr>
          <w:rFonts w:ascii="Tahomaoby?ejné" w:hAnsi="Tahomaoby?ejné" w:cs="Tahomaoby?ejné"/>
        </w:rPr>
        <w:t>Telefon: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oby?ejné" w:hAnsi="Tahomaoby?ejné" w:cs="Tahomaoby?ejné"/>
        </w:rPr>
        <w:t xml:space="preserve">Datum: </w:t>
      </w:r>
      <w:proofErr w:type="gramStart"/>
      <w:r>
        <w:rPr>
          <w:rFonts w:ascii="Tahomatu?né" w:hAnsi="Tahomatu?né" w:cs="Tahomatu?né"/>
        </w:rPr>
        <w:t>14.1.2019</w:t>
      </w:r>
      <w:proofErr w:type="gram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</w:rPr>
      </w:pPr>
      <w:r>
        <w:rPr>
          <w:rFonts w:ascii="Tahomaoby?ejné" w:hAnsi="Tahomaoby?ejné" w:cs="Tahomaoby?ejné"/>
        </w:rPr>
        <w:t xml:space="preserve">Platnost do: </w:t>
      </w:r>
      <w:proofErr w:type="gramStart"/>
      <w:r>
        <w:rPr>
          <w:rFonts w:ascii="Tahomatu?né" w:hAnsi="Tahomatu?né" w:cs="Tahomatu?né"/>
        </w:rPr>
        <w:t>28.1.2019</w:t>
      </w:r>
      <w:proofErr w:type="gram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19"/>
          <w:szCs w:val="19"/>
        </w:rPr>
      </w:pPr>
      <w:r>
        <w:rPr>
          <w:rFonts w:ascii="Tahomatu?né" w:hAnsi="Tahomatu?né" w:cs="Tahomatu?né"/>
          <w:sz w:val="19"/>
          <w:szCs w:val="19"/>
        </w:rPr>
        <w:t>Kód Název zboží Množství MJ Cena/MJ Slevy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19"/>
          <w:szCs w:val="19"/>
        </w:rPr>
      </w:pPr>
      <w:r>
        <w:rPr>
          <w:rFonts w:ascii="Tahomatu?né" w:hAnsi="Tahomatu?né" w:cs="Tahomatu?né"/>
          <w:sz w:val="19"/>
          <w:szCs w:val="19"/>
        </w:rPr>
        <w:t>Cena/MJ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19"/>
          <w:szCs w:val="19"/>
        </w:rPr>
      </w:pPr>
      <w:r>
        <w:rPr>
          <w:rFonts w:ascii="Tahomatu?né" w:hAnsi="Tahomatu?né" w:cs="Tahomatu?né"/>
          <w:sz w:val="19"/>
          <w:szCs w:val="19"/>
        </w:rPr>
        <w:t>po slevě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19"/>
          <w:szCs w:val="19"/>
        </w:rPr>
      </w:pPr>
      <w:r>
        <w:rPr>
          <w:rFonts w:ascii="Tahomatu?né" w:hAnsi="Tahomatu?né" w:cs="Tahomatu?né"/>
          <w:sz w:val="19"/>
          <w:szCs w:val="19"/>
        </w:rPr>
        <w:t>Celkem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19"/>
          <w:szCs w:val="19"/>
        </w:rPr>
      </w:pPr>
      <w:r>
        <w:rPr>
          <w:rFonts w:ascii="Tahomatu?né" w:hAnsi="Tahomatu?né" w:cs="Tahomatu?né"/>
          <w:sz w:val="19"/>
          <w:szCs w:val="19"/>
        </w:rPr>
        <w:t xml:space="preserve">bez DPH </w:t>
      </w:r>
      <w:proofErr w:type="spellStart"/>
      <w:r>
        <w:rPr>
          <w:rFonts w:ascii="Tahomatu?né" w:hAnsi="Tahomatu?né" w:cs="Tahomatu?né"/>
          <w:sz w:val="19"/>
          <w:szCs w:val="19"/>
        </w:rPr>
        <w:t>DPH</w:t>
      </w:r>
      <w:proofErr w:type="spell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 Kabel CYKY 3 x 1,5 O (</w:t>
      </w:r>
      <w:proofErr w:type="spellStart"/>
      <w:r>
        <w:rPr>
          <w:rFonts w:ascii="Tahomaoby?ejné" w:hAnsi="Tahomaoby?ejné" w:cs="Tahomaoby?ejné"/>
          <w:sz w:val="19"/>
          <w:szCs w:val="19"/>
        </w:rPr>
        <w:t>hnědá-černášedá</w:t>
      </w:r>
      <w:proofErr w:type="spellEnd"/>
      <w:r>
        <w:rPr>
          <w:rFonts w:ascii="Tahomaoby?ejné" w:hAnsi="Tahomaoby?ejné" w:cs="Tahomaoby?ejné"/>
          <w:sz w:val="19"/>
          <w:szCs w:val="19"/>
        </w:rPr>
        <w:t>)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300 m 11,98 0+0% 11,98 3 594,00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12 Kabel CYKY 3 x 1,5 J (</w:t>
      </w:r>
      <w:proofErr w:type="spellStart"/>
      <w:r>
        <w:rPr>
          <w:rFonts w:ascii="Tahomaoby?ejné" w:hAnsi="Tahomaoby?ejné" w:cs="Tahomaoby?ejné"/>
          <w:sz w:val="19"/>
          <w:szCs w:val="19"/>
        </w:rPr>
        <w:t>žlutozelenámodrá</w:t>
      </w:r>
      <w:proofErr w:type="spellEnd"/>
      <w:r>
        <w:rPr>
          <w:rFonts w:ascii="Tahomaoby?ejné" w:hAnsi="Tahomaoby?ejné" w:cs="Tahomaoby?ejné"/>
          <w:sz w:val="19"/>
          <w:szCs w:val="19"/>
        </w:rPr>
        <w:t>-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hnědá) instalační měděný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900 m 11,98 0+0% 11,98 10 782,00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16 Kabel CYKY 5 x 1,5 J (</w:t>
      </w:r>
      <w:proofErr w:type="spellStart"/>
      <w:r>
        <w:rPr>
          <w:rFonts w:ascii="Tahomaoby?ejné" w:hAnsi="Tahomaoby?ejné" w:cs="Tahomaoby?ejné"/>
          <w:sz w:val="19"/>
          <w:szCs w:val="19"/>
        </w:rPr>
        <w:t>žlutozelenámodrá</w:t>
      </w:r>
      <w:proofErr w:type="spellEnd"/>
      <w:r>
        <w:rPr>
          <w:rFonts w:ascii="Tahomaoby?ejné" w:hAnsi="Tahomaoby?ejné" w:cs="Tahomaoby?ejné"/>
          <w:sz w:val="19"/>
          <w:szCs w:val="19"/>
        </w:rPr>
        <w:t>-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proofErr w:type="spellStart"/>
      <w:r>
        <w:rPr>
          <w:rFonts w:ascii="Tahomaoby?ejné" w:hAnsi="Tahomaoby?ejné" w:cs="Tahomaoby?ejné"/>
          <w:sz w:val="19"/>
          <w:szCs w:val="19"/>
        </w:rPr>
        <w:t>hnědá-černá-šedá</w:t>
      </w:r>
      <w:proofErr w:type="spellEnd"/>
      <w:r>
        <w:rPr>
          <w:rFonts w:ascii="Tahomaoby?ejné" w:hAnsi="Tahomaoby?ejné" w:cs="Tahomaoby?ejné"/>
          <w:sz w:val="19"/>
          <w:szCs w:val="19"/>
        </w:rPr>
        <w:t>) instalační,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silnoproudé rozvody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100 m 19,75 0+0% 19,75 1 975,00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1415 Drát CY(HO7V-U) 2,5 černý 3 600 m 7,46 0+0% 7,46 26 856,00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1087 Drát CY(HO7V-U) 2,5 žlutozelený 1 000 m 7,46 0+0% 7,46 7 460,00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10845 Drát CY(HO7V-U) 2,5 modrý 1 000 m 7,46 0+0% 7,46 7 460,00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10084 </w:t>
      </w:r>
      <w:proofErr w:type="spellStart"/>
      <w:r>
        <w:rPr>
          <w:rFonts w:ascii="Tahomaoby?ejné" w:hAnsi="Tahomaoby?ejné" w:cs="Tahomaoby?ejné"/>
          <w:sz w:val="19"/>
          <w:szCs w:val="19"/>
        </w:rPr>
        <w:t>Classic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3553-01289 B1 Spínač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jednopólový, řazení 1, jasně bílá,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40 ks 48,10 0+0% 48,10 1 924,00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194 </w:t>
      </w:r>
      <w:proofErr w:type="spellStart"/>
      <w:r>
        <w:rPr>
          <w:rFonts w:ascii="Tahomaoby?ejné" w:hAnsi="Tahomaoby?ejné" w:cs="Tahomaoby?ejné"/>
          <w:sz w:val="19"/>
          <w:szCs w:val="19"/>
        </w:rPr>
        <w:t>Classic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3553-05289 B1 Přepínač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sériový, řazení 5, jasně bílá,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 ks 76,12 0+0% 76,12 761,20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1861 </w:t>
      </w:r>
      <w:proofErr w:type="spellStart"/>
      <w:r>
        <w:rPr>
          <w:rFonts w:ascii="Tahomaoby?ejné" w:hAnsi="Tahomaoby?ejné" w:cs="Tahomaoby?ejné"/>
          <w:sz w:val="19"/>
          <w:szCs w:val="19"/>
        </w:rPr>
        <w:t>Classic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3553-06289 B1 Přepínač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střídavý, řazení 6, jasně bílá,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30 ks 52,07 0+0% 52,07 1 562,10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208 </w:t>
      </w:r>
      <w:proofErr w:type="spellStart"/>
      <w:r>
        <w:rPr>
          <w:rFonts w:ascii="Tahomaoby?ejné" w:hAnsi="Tahomaoby?ejné" w:cs="Tahomaoby?ejné"/>
          <w:sz w:val="19"/>
          <w:szCs w:val="19"/>
        </w:rPr>
        <w:t>Classic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3553-52289 B1 Přepínač dvojitý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střídavý, řazení 6+6, jasně bílá,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lastRenderedPageBreak/>
        <w:t>10 ks 94,44 0+0% 94,44 944,40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13173 Praktik vypínač </w:t>
      </w:r>
      <w:proofErr w:type="gramStart"/>
      <w:r>
        <w:rPr>
          <w:rFonts w:ascii="Tahomaoby?ejné" w:hAnsi="Tahomaoby?ejné" w:cs="Tahomaoby?ejné"/>
          <w:sz w:val="19"/>
          <w:szCs w:val="19"/>
        </w:rPr>
        <w:t>č.7 3553</w:t>
      </w:r>
      <w:proofErr w:type="gramEnd"/>
      <w:r>
        <w:rPr>
          <w:rFonts w:ascii="Tahomaoby?ejné" w:hAnsi="Tahomaoby?ejné" w:cs="Tahomaoby?ejné"/>
          <w:sz w:val="19"/>
          <w:szCs w:val="19"/>
        </w:rPr>
        <w:t>-07929 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přepínač křížový, IP44, bílá,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 ks 104,50 0+0% 104,50 1 045,00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9840 </w:t>
      </w:r>
      <w:proofErr w:type="spellStart"/>
      <w:r>
        <w:rPr>
          <w:rFonts w:ascii="Tahomaoby?ejné" w:hAnsi="Tahomaoby?ejné" w:cs="Tahomaoby?ejné"/>
          <w:sz w:val="19"/>
          <w:szCs w:val="19"/>
        </w:rPr>
        <w:t>Classic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5517-2389 B1 Zásuvka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jednonásobná, s </w:t>
      </w:r>
      <w:proofErr w:type="spellStart"/>
      <w:r>
        <w:rPr>
          <w:rFonts w:ascii="Tahomaoby?ejné" w:hAnsi="Tahomaoby?ejné" w:cs="Tahomaoby?ejné"/>
          <w:sz w:val="19"/>
          <w:szCs w:val="19"/>
        </w:rPr>
        <w:t>ochr.kolíkem</w:t>
      </w:r>
      <w:proofErr w:type="spellEnd"/>
      <w:r>
        <w:rPr>
          <w:rFonts w:ascii="Tahomaoby?ejné" w:hAnsi="Tahomaoby?ejné" w:cs="Tahomaoby?ejné"/>
          <w:sz w:val="19"/>
          <w:szCs w:val="19"/>
        </w:rPr>
        <w:t>, jasně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bílá,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30 ks 56,78 0+0% 56,78 1 703,40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12228 Praktik vypínač </w:t>
      </w:r>
      <w:proofErr w:type="gramStart"/>
      <w:r>
        <w:rPr>
          <w:rFonts w:ascii="Tahomaoby?ejné" w:hAnsi="Tahomaoby?ejné" w:cs="Tahomaoby?ejné"/>
          <w:sz w:val="19"/>
          <w:szCs w:val="19"/>
        </w:rPr>
        <w:t>č.1 3553</w:t>
      </w:r>
      <w:proofErr w:type="gramEnd"/>
      <w:r>
        <w:rPr>
          <w:rFonts w:ascii="Tahomaoby?ejné" w:hAnsi="Tahomaoby?ejné" w:cs="Tahomaoby?ejné"/>
          <w:sz w:val="19"/>
          <w:szCs w:val="19"/>
        </w:rPr>
        <w:t>-01929 S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spínač jednopólový, IP44, šedá,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5 ks 69,34 0+0% 69,34 346,70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3688 Praktik vypínač </w:t>
      </w:r>
      <w:proofErr w:type="gramStart"/>
      <w:r>
        <w:rPr>
          <w:rFonts w:ascii="Tahomaoby?ejné" w:hAnsi="Tahomaoby?ejné" w:cs="Tahomaoby?ejné"/>
          <w:sz w:val="19"/>
          <w:szCs w:val="19"/>
        </w:rPr>
        <w:t>č.6 3553</w:t>
      </w:r>
      <w:proofErr w:type="gramEnd"/>
      <w:r>
        <w:rPr>
          <w:rFonts w:ascii="Tahomaoby?ejné" w:hAnsi="Tahomaoby?ejné" w:cs="Tahomaoby?ejné"/>
          <w:sz w:val="19"/>
          <w:szCs w:val="19"/>
        </w:rPr>
        <w:t>-06929 S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přepínač střídavý, IP44, šedá,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5 ks 72,56 0+0% 72,56 362,80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13176 Praktik zásuvka 5518-2929 S zásuvka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jednonásobná s </w:t>
      </w:r>
      <w:proofErr w:type="spellStart"/>
      <w:r>
        <w:rPr>
          <w:rFonts w:ascii="Tahomaoby?ejné" w:hAnsi="Tahomaoby?ejné" w:cs="Tahomaoby?ejné"/>
          <w:sz w:val="19"/>
          <w:szCs w:val="19"/>
        </w:rPr>
        <w:t>ochr.kolíkem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a víčkem,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IP44, šedá, ABB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5 ks 75,04 0+0% 75,04 375,20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7566 Jistič 10A, PL6-10/1/B (6kA) </w:t>
      </w:r>
      <w:proofErr w:type="spellStart"/>
      <w:r>
        <w:rPr>
          <w:rFonts w:ascii="Tahomaoby?ejné" w:hAnsi="Tahomaoby?ejné" w:cs="Tahomaoby?ejné"/>
          <w:sz w:val="19"/>
          <w:szCs w:val="19"/>
        </w:rPr>
        <w:t>Eaton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10 ks 55,70 0+0% 55,70 557,00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7567 Jistič 16A, PL6-16/1/B (6kA) </w:t>
      </w:r>
      <w:proofErr w:type="spellStart"/>
      <w:r>
        <w:rPr>
          <w:rFonts w:ascii="Tahomaoby?ejné" w:hAnsi="Tahomaoby?ejné" w:cs="Tahomaoby?ejné"/>
          <w:sz w:val="19"/>
          <w:szCs w:val="19"/>
        </w:rPr>
        <w:t>Eaton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10 ks 53,72 0+0% 53,72 537,20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23626 Chránič 25A, PF6-25/4/003 30mA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proudový čtyřpólový </w:t>
      </w:r>
      <w:proofErr w:type="spellStart"/>
      <w:r>
        <w:rPr>
          <w:rFonts w:ascii="Tahomaoby?ejné" w:hAnsi="Tahomaoby?ejné" w:cs="Tahomaoby?ejné"/>
          <w:sz w:val="19"/>
          <w:szCs w:val="19"/>
        </w:rPr>
        <w:t>Eaton</w:t>
      </w:r>
      <w:proofErr w:type="spell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2 ks 633,50 0+0% 633,50 1 267,00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7"/>
          <w:szCs w:val="17"/>
        </w:rPr>
      </w:pPr>
      <w:r>
        <w:rPr>
          <w:rFonts w:ascii="Tahomaoby?ejné" w:hAnsi="Tahomaoby?ejné" w:cs="Tahomaoby?ejné"/>
          <w:sz w:val="17"/>
          <w:szCs w:val="17"/>
        </w:rPr>
        <w:t xml:space="preserve">REP0018 - </w:t>
      </w:r>
      <w:proofErr w:type="spellStart"/>
      <w:r>
        <w:rPr>
          <w:rFonts w:ascii="Tahomaoby?ejné" w:hAnsi="Tahomaoby?ejné" w:cs="Tahomaoby?ejné"/>
          <w:sz w:val="17"/>
          <w:szCs w:val="17"/>
        </w:rPr>
        <w:t>myWAC</w:t>
      </w:r>
      <w:proofErr w:type="spellEnd"/>
      <w:r>
        <w:rPr>
          <w:rFonts w:ascii="Tahomaoby?ejné" w:hAnsi="Tahomaoby?ejné" w:cs="Tahomaoby?ejné"/>
          <w:sz w:val="17"/>
          <w:szCs w:val="17"/>
        </w:rPr>
        <w:t xml:space="preserve"> 4.2 ©1998-2017 </w:t>
      </w:r>
      <w:proofErr w:type="spellStart"/>
      <w:r>
        <w:rPr>
          <w:rFonts w:ascii="Tahomaoby?ejné" w:hAnsi="Tahomaoby?ejné" w:cs="Tahomaoby?ejné"/>
          <w:sz w:val="17"/>
          <w:szCs w:val="17"/>
        </w:rPr>
        <w:t>myWAC</w:t>
      </w:r>
      <w:proofErr w:type="spellEnd"/>
      <w:r>
        <w:rPr>
          <w:rFonts w:ascii="Tahomaoby?ejné" w:hAnsi="Tahomaoby?ejné" w:cs="Tahomaoby?ejné"/>
          <w:sz w:val="17"/>
          <w:szCs w:val="17"/>
        </w:rPr>
        <w:t xml:space="preserve"> TECHNOLOGIES s.r.o., http://www.mywac.cz Strana 1/3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BB019207 Žárovka E27, 40W čirá vláknová,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klasická baňka 230V AGR CLEAR NBB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100 ks 11,00 0+0% 11,00 1 100,00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BB019208 Žárovka E27, 60W čirá vláknová,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klasická baňka 230V AGR CLEAR NBB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200 ks 11,00 0+0% 11,00 2 200,00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0201489 Trubice zářivková 18W/840 LT odstín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barvy studená bílá délka 60cm NARVA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30 ks 34,71 0+0% 34,71 1 041,30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0201650 Trubice zářivková 36W/840 LT odstín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studená bílá délka 120cm </w:t>
      </w:r>
      <w:proofErr w:type="spellStart"/>
      <w:r>
        <w:rPr>
          <w:rFonts w:ascii="Tahomaoby?ejné" w:hAnsi="Tahomaoby?ejné" w:cs="Tahomaoby?ejné"/>
          <w:sz w:val="19"/>
          <w:szCs w:val="19"/>
        </w:rPr>
        <w:t>Narva</w:t>
      </w:r>
      <w:proofErr w:type="spell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330 ks 41,00 0+0% 41,00 13 530,00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3894 Trubice zářivková 58W/840-21 OSRAM 50 ks 48,10 0+0% 48,10 2 405,00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Ekologický poplatek 50 ks 2,50 2,50 125,00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3903 Startér zářivkový 4-80W FS </w:t>
      </w:r>
      <w:proofErr w:type="gramStart"/>
      <w:r>
        <w:rPr>
          <w:rFonts w:ascii="Tahomaoby?ejné" w:hAnsi="Tahomaoby?ejné" w:cs="Tahomaoby?ejné"/>
          <w:sz w:val="19"/>
          <w:szCs w:val="19"/>
        </w:rPr>
        <w:t>80-A</w:t>
      </w:r>
      <w:proofErr w:type="gram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WELUX 240V 4-80W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225 ks 7,00 0+0% 7,00 1 575,00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0235386 Svorka krabicová 3x0,5-2,5mm 2273-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203 </w:t>
      </w:r>
      <w:proofErr w:type="spellStart"/>
      <w:r>
        <w:rPr>
          <w:rFonts w:ascii="Tahomaoby?ejné" w:hAnsi="Tahomaoby?ejné" w:cs="Tahomaoby?ejné"/>
          <w:sz w:val="19"/>
          <w:szCs w:val="19"/>
        </w:rPr>
        <w:t>bezšroubová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oranžová WAGO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400 ks 3,84 0+0% 3,84 1 536,00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0235386 Svorka krabicová 3x0,5-2,5mm 2273-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203 </w:t>
      </w:r>
      <w:proofErr w:type="spellStart"/>
      <w:r>
        <w:rPr>
          <w:rFonts w:ascii="Tahomaoby?ejné" w:hAnsi="Tahomaoby?ejné" w:cs="Tahomaoby?ejné"/>
          <w:sz w:val="19"/>
          <w:szCs w:val="19"/>
        </w:rPr>
        <w:t>bezšroubová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oranžová WAGO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380 ks 3,84 0+0% 3,84 1 459,20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0235416 Svorka krabicová 4x0,5-2,5mm 2273-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204 </w:t>
      </w:r>
      <w:proofErr w:type="spellStart"/>
      <w:r>
        <w:rPr>
          <w:rFonts w:ascii="Tahomaoby?ejné" w:hAnsi="Tahomaoby?ejné" w:cs="Tahomaoby?ejné"/>
          <w:sz w:val="19"/>
          <w:szCs w:val="19"/>
        </w:rPr>
        <w:t>bezšroubová</w:t>
      </w:r>
      <w:proofErr w:type="spellEnd"/>
      <w:r>
        <w:rPr>
          <w:rFonts w:ascii="Tahomaoby?ejné" w:hAnsi="Tahomaoby?ejné" w:cs="Tahomaoby?ejné"/>
          <w:sz w:val="19"/>
          <w:szCs w:val="19"/>
        </w:rPr>
        <w:t xml:space="preserve"> červená WAGO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100 ks 4,67 0+0% 4,67 467,00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086416 Pojistková vložka 6A/DZ normální 25 ks 9,83 0+0% 9,83 245,75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0205510 Pojistková vložka 10A/DZ normální 20 ks 9,83 0+0% 9,83 196,60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086069 Pojistková vložka 25A/DZ normální 50 ks 11,49 0+0% 11,49 574,50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086068 Pojistková vložka 16A/DZ normální 25 ks 9,83 0+0% 9,83 245,75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086407 Pojistková vložka 35A/DZ normální 15 ks 14,71 0+0% 14,71 220,65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20134 22DILE pomocné kontakty 40 ks 176,09 0+0% 176,09 7 043,60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16490 Stykač 9A/230V DILEM-10 napětí cívky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230V, 4 spínací kontakty </w:t>
      </w:r>
      <w:proofErr w:type="spellStart"/>
      <w:r>
        <w:rPr>
          <w:rFonts w:ascii="Tahomaoby?ejné" w:hAnsi="Tahomaoby?ejné" w:cs="Tahomaoby?ejné"/>
          <w:sz w:val="19"/>
          <w:szCs w:val="19"/>
        </w:rPr>
        <w:t>Eaton</w:t>
      </w:r>
      <w:proofErr w:type="spell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40 ks 352,18 0+0% 352,18 14 087,20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11447 Krabice i12 332912 šedá IP55 20 ks 20,91 0+0% 20,91 418,20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766 Vidlice boční, bílá, typ 5536-2154 ABB 20 ks 24,46 0+0% 24,46 489,20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0230123 Spojovací zásuvka, přímá, bílá,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1808.0200.5, 230V pro pohyblivý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přívod </w:t>
      </w:r>
      <w:proofErr w:type="spellStart"/>
      <w:r>
        <w:rPr>
          <w:rFonts w:ascii="Tahomaoby?ejné" w:hAnsi="Tahomaoby?ejné" w:cs="Tahomaoby?ejné"/>
          <w:sz w:val="19"/>
          <w:szCs w:val="19"/>
        </w:rPr>
        <w:t>kopp</w:t>
      </w:r>
      <w:proofErr w:type="spell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lastRenderedPageBreak/>
        <w:t>10 ks 34,21 0+0% 34,21 342,10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0254900 Svítidlo zářivkové 2x36W TRUST EVG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PS prachotěsné IP65, elektronický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předřadník </w:t>
      </w:r>
      <w:proofErr w:type="spellStart"/>
      <w:r>
        <w:rPr>
          <w:rFonts w:ascii="Tahomaoby?ejné" w:hAnsi="Tahomaoby?ejné" w:cs="Tahomaoby?ejné"/>
          <w:sz w:val="19"/>
          <w:szCs w:val="19"/>
        </w:rPr>
        <w:t>Greenlux</w:t>
      </w:r>
      <w:proofErr w:type="spell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 ks 411,57 0+0% 411,57 4 115,70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Ekologický poplatek 10 ks 6,47 6,47 64,70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0252920 Svítidlo zářivkové 2x36W ORI EVG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přisazené, reflektor poniklovaný plech,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elektronika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45 ks 698,88 0+0% 698,88 31 449,60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Ekologický poplatek 45 ks 8,40 8,40 378,00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0254901 Svítidlo zářivkové 2x58W TRUST EVG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PS prachotěsné IP65, elektronický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 xml:space="preserve">předřadník </w:t>
      </w:r>
      <w:proofErr w:type="spellStart"/>
      <w:r>
        <w:rPr>
          <w:rFonts w:ascii="Tahomaoby?ejné" w:hAnsi="Tahomaoby?ejné" w:cs="Tahomaoby?ejné"/>
          <w:sz w:val="19"/>
          <w:szCs w:val="19"/>
        </w:rPr>
        <w:t>Greenlux</w:t>
      </w:r>
      <w:proofErr w:type="spellEnd"/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20 ks 576,86 0+0% 576,86 11 537,20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Ekologický poplatek 20 ks 6,47 6,47 129,40 21%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Celkem bez DPH: 166 489,65 CZK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Ekologický poplatek celkem bez DPH: 697,10 CZK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19"/>
          <w:szCs w:val="19"/>
        </w:rPr>
      </w:pPr>
      <w:r>
        <w:rPr>
          <w:rFonts w:ascii="Tahomatu?né" w:hAnsi="Tahomatu?né" w:cs="Tahomatu?né"/>
          <w:sz w:val="19"/>
          <w:szCs w:val="19"/>
        </w:rPr>
        <w:t>Sazba DPH Základ DPH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0 % 0,00 0,00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10 % 0,00 0,00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15 % 0,00 0,00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9"/>
          <w:szCs w:val="19"/>
        </w:rPr>
      </w:pPr>
      <w:r>
        <w:rPr>
          <w:rFonts w:ascii="Tahomaoby?ejné" w:hAnsi="Tahomaoby?ejné" w:cs="Tahomaoby?ejné"/>
          <w:sz w:val="19"/>
          <w:szCs w:val="19"/>
        </w:rPr>
        <w:t>21 % 166 489,65 34 962,83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tu?né" w:hAnsi="Tahomatu?né" w:cs="Tahomatu?né"/>
          <w:sz w:val="24"/>
          <w:szCs w:val="24"/>
        </w:rPr>
      </w:pPr>
      <w:r>
        <w:rPr>
          <w:rFonts w:ascii="Tahomaoby?ejné" w:hAnsi="Tahomaoby?ejné" w:cs="Tahomaoby?ejné"/>
          <w:sz w:val="24"/>
          <w:szCs w:val="24"/>
        </w:rPr>
        <w:t xml:space="preserve">Celkem s DPH: </w:t>
      </w:r>
      <w:r>
        <w:rPr>
          <w:rFonts w:ascii="Tahomatu?né" w:hAnsi="Tahomatu?né" w:cs="Tahomatu?né"/>
          <w:sz w:val="24"/>
          <w:szCs w:val="24"/>
        </w:rPr>
        <w:t>201 452,00 CZK</w:t>
      </w:r>
    </w:p>
    <w:p w:rsidR="009211C4" w:rsidRDefault="009211C4" w:rsidP="009211C4">
      <w:pPr>
        <w:autoSpaceDE w:val="0"/>
        <w:autoSpaceDN w:val="0"/>
        <w:adjustRightInd w:val="0"/>
        <w:spacing w:after="0" w:line="240" w:lineRule="auto"/>
        <w:rPr>
          <w:rFonts w:ascii="Tahomaoby?ejné" w:hAnsi="Tahomaoby?ejné" w:cs="Tahomaoby?ejné"/>
          <w:sz w:val="17"/>
          <w:szCs w:val="17"/>
        </w:rPr>
      </w:pPr>
      <w:r>
        <w:rPr>
          <w:rFonts w:ascii="Tahomaoby?ejné" w:hAnsi="Tahomaoby?ejné" w:cs="Tahomaoby?ejné"/>
          <w:sz w:val="17"/>
          <w:szCs w:val="17"/>
        </w:rPr>
        <w:t xml:space="preserve">REP0018 - </w:t>
      </w:r>
      <w:proofErr w:type="spellStart"/>
      <w:r>
        <w:rPr>
          <w:rFonts w:ascii="Tahomaoby?ejné" w:hAnsi="Tahomaoby?ejné" w:cs="Tahomaoby?ejné"/>
          <w:sz w:val="17"/>
          <w:szCs w:val="17"/>
        </w:rPr>
        <w:t>myWAC</w:t>
      </w:r>
      <w:proofErr w:type="spellEnd"/>
      <w:r>
        <w:rPr>
          <w:rFonts w:ascii="Tahomaoby?ejné" w:hAnsi="Tahomaoby?ejné" w:cs="Tahomaoby?ejné"/>
          <w:sz w:val="17"/>
          <w:szCs w:val="17"/>
        </w:rPr>
        <w:t xml:space="preserve"> 4.2 ©1998-2017 </w:t>
      </w:r>
      <w:proofErr w:type="spellStart"/>
      <w:r>
        <w:rPr>
          <w:rFonts w:ascii="Tahomaoby?ejné" w:hAnsi="Tahomaoby?ejné" w:cs="Tahomaoby?ejné"/>
          <w:sz w:val="17"/>
          <w:szCs w:val="17"/>
        </w:rPr>
        <w:t>myWAC</w:t>
      </w:r>
      <w:proofErr w:type="spellEnd"/>
      <w:r>
        <w:rPr>
          <w:rFonts w:ascii="Tahomaoby?ejné" w:hAnsi="Tahomaoby?ejné" w:cs="Tahomaoby?ejné"/>
          <w:sz w:val="17"/>
          <w:szCs w:val="17"/>
        </w:rPr>
        <w:t xml:space="preserve"> TECHNOLOGIES s.r.o., http://www.mywac.cz Strana 2/3</w:t>
      </w:r>
    </w:p>
    <w:sectPr w:rsidR="0092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tu?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oby?ej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95"/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hAnsi="Arial" w:cs="Times New Roman"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57"/>
    <w:rsid w:val="002B7757"/>
    <w:rsid w:val="002E3D44"/>
    <w:rsid w:val="003408C7"/>
    <w:rsid w:val="00383CAA"/>
    <w:rsid w:val="003919A7"/>
    <w:rsid w:val="003D7C84"/>
    <w:rsid w:val="003E413E"/>
    <w:rsid w:val="00492780"/>
    <w:rsid w:val="00546973"/>
    <w:rsid w:val="00592985"/>
    <w:rsid w:val="005D6780"/>
    <w:rsid w:val="006066FB"/>
    <w:rsid w:val="006326E9"/>
    <w:rsid w:val="006E3163"/>
    <w:rsid w:val="009211C4"/>
    <w:rsid w:val="00981BD3"/>
    <w:rsid w:val="009978D2"/>
    <w:rsid w:val="009C7CE4"/>
    <w:rsid w:val="00B264E9"/>
    <w:rsid w:val="00B5339D"/>
    <w:rsid w:val="00B67633"/>
    <w:rsid w:val="00BB30E6"/>
    <w:rsid w:val="00C1103C"/>
    <w:rsid w:val="00D124DB"/>
    <w:rsid w:val="00E970F5"/>
    <w:rsid w:val="00EA65E5"/>
    <w:rsid w:val="00F466C9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D5221-37DD-43E6-99D3-3276D98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7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41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020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6C15-EA72-4D26-8E66-1CAA8BC1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15</cp:revision>
  <cp:lastPrinted>2019-01-22T09:12:00Z</cp:lastPrinted>
  <dcterms:created xsi:type="dcterms:W3CDTF">2019-01-07T10:55:00Z</dcterms:created>
  <dcterms:modified xsi:type="dcterms:W3CDTF">2019-01-29T09:46:00Z</dcterms:modified>
</cp:coreProperties>
</file>