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C5" w:rsidRPr="007B352F" w:rsidRDefault="007A26C5" w:rsidP="007A26C5">
      <w:pPr>
        <w:pStyle w:val="Nadpis1"/>
        <w:jc w:val="center"/>
        <w:rPr>
          <w:rFonts w:asciiTheme="minorHAnsi" w:eastAsia="Times New Roman" w:hAnsiTheme="minorHAnsi" w:cs="Times New Roman"/>
          <w:color w:val="auto"/>
        </w:rPr>
      </w:pPr>
      <w:bookmarkStart w:id="0" w:name="_Toc460231482"/>
      <w:r w:rsidRPr="007B352F">
        <w:rPr>
          <w:rFonts w:asciiTheme="minorHAnsi" w:eastAsia="Times New Roman" w:hAnsiTheme="minorHAnsi" w:cs="Times New Roman"/>
          <w:color w:val="auto"/>
        </w:rPr>
        <w:t>Kupní smlouv</w:t>
      </w:r>
      <w:bookmarkEnd w:id="0"/>
      <w:r w:rsidRPr="007B352F">
        <w:rPr>
          <w:rFonts w:asciiTheme="minorHAnsi" w:eastAsia="Times New Roman" w:hAnsiTheme="minorHAnsi" w:cs="Times New Roman"/>
          <w:color w:val="auto"/>
        </w:rPr>
        <w:t>a</w:t>
      </w:r>
    </w:p>
    <w:p w:rsidR="007A26C5" w:rsidRPr="007B352F" w:rsidRDefault="007A26C5" w:rsidP="007A26C5">
      <w:pPr>
        <w:pStyle w:val="Vchoz"/>
        <w:jc w:val="center"/>
        <w:rPr>
          <w:rFonts w:asciiTheme="minorHAnsi" w:hAnsiTheme="minorHAnsi"/>
          <w:color w:val="auto"/>
        </w:rPr>
      </w:pPr>
      <w:r w:rsidRPr="007B352F">
        <w:rPr>
          <w:rFonts w:asciiTheme="minorHAnsi" w:hAnsiTheme="minorHAnsi"/>
          <w:i/>
          <w:color w:val="auto"/>
          <w:sz w:val="22"/>
        </w:rPr>
        <w:t>Níže uvedeného dne, měsíce a roku k právním úkonům způsobilí</w:t>
      </w:r>
    </w:p>
    <w:p w:rsidR="007A26C5" w:rsidRPr="007B352F" w:rsidRDefault="007A26C5" w:rsidP="007A26C5">
      <w:pPr>
        <w:pStyle w:val="Tlotextu"/>
        <w:rPr>
          <w:rFonts w:asciiTheme="minorHAnsi" w:hAnsiTheme="minorHAnsi"/>
          <w:color w:val="auto"/>
        </w:rPr>
      </w:pPr>
    </w:p>
    <w:p w:rsidR="009A5180" w:rsidRPr="007B352F" w:rsidRDefault="009A5180" w:rsidP="004E6CD9">
      <w:pPr>
        <w:pStyle w:val="Tlotextu"/>
        <w:numPr>
          <w:ilvl w:val="0"/>
          <w:numId w:val="3"/>
        </w:numPr>
        <w:spacing w:after="0"/>
        <w:jc w:val="left"/>
        <w:rPr>
          <w:rFonts w:asciiTheme="minorHAnsi" w:hAnsiTheme="minorHAnsi"/>
          <w:b w:val="0"/>
          <w:color w:val="auto"/>
          <w:sz w:val="24"/>
          <w:u w:val="none"/>
        </w:rPr>
      </w:pPr>
      <w:r w:rsidRPr="007B352F">
        <w:rPr>
          <w:rFonts w:asciiTheme="minorHAnsi" w:hAnsiTheme="minorHAnsi"/>
          <w:b w:val="0"/>
          <w:color w:val="auto"/>
          <w:sz w:val="24"/>
          <w:u w:val="none"/>
        </w:rPr>
        <w:t xml:space="preserve">Zdravotnická záchranná služba Plzeňského kraje, </w:t>
      </w:r>
      <w:proofErr w:type="spellStart"/>
      <w:proofErr w:type="gramStart"/>
      <w:r w:rsidRPr="007B352F">
        <w:rPr>
          <w:rFonts w:asciiTheme="minorHAnsi" w:hAnsiTheme="minorHAnsi"/>
          <w:b w:val="0"/>
          <w:color w:val="auto"/>
          <w:sz w:val="24"/>
          <w:u w:val="none"/>
        </w:rPr>
        <w:t>p.o</w:t>
      </w:r>
      <w:proofErr w:type="spellEnd"/>
      <w:r w:rsidRPr="007B352F">
        <w:rPr>
          <w:rFonts w:asciiTheme="minorHAnsi" w:hAnsiTheme="minorHAnsi"/>
          <w:b w:val="0"/>
          <w:color w:val="auto"/>
          <w:sz w:val="24"/>
          <w:u w:val="none"/>
        </w:rPr>
        <w:t>.</w:t>
      </w:r>
      <w:proofErr w:type="gramEnd"/>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se sídlem:</w:t>
      </w:r>
      <w:r w:rsidRPr="007B352F">
        <w:rPr>
          <w:rFonts w:asciiTheme="minorHAnsi" w:hAnsiTheme="minorHAnsi"/>
          <w:b w:val="0"/>
          <w:color w:val="auto"/>
          <w:sz w:val="24"/>
          <w:u w:val="none"/>
        </w:rPr>
        <w:tab/>
        <w:t>Klatovská třída 2960/200i, Jižní předměstí, 301 00 Plzeň</w:t>
      </w:r>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zastoupen:</w:t>
      </w:r>
      <w:r w:rsidRPr="007B352F">
        <w:rPr>
          <w:rFonts w:asciiTheme="minorHAnsi" w:hAnsiTheme="minorHAnsi"/>
          <w:b w:val="0"/>
          <w:color w:val="auto"/>
          <w:sz w:val="24"/>
          <w:u w:val="none"/>
        </w:rPr>
        <w:tab/>
        <w:t xml:space="preserve">MUDr. </w:t>
      </w:r>
      <w:r w:rsidR="007B352F" w:rsidRPr="007B352F">
        <w:rPr>
          <w:rFonts w:asciiTheme="minorHAnsi" w:hAnsiTheme="minorHAnsi"/>
          <w:b w:val="0"/>
          <w:color w:val="auto"/>
          <w:sz w:val="24"/>
          <w:u w:val="none"/>
        </w:rPr>
        <w:t xml:space="preserve">et Bc. </w:t>
      </w:r>
      <w:r w:rsidRPr="007B352F">
        <w:rPr>
          <w:rFonts w:asciiTheme="minorHAnsi" w:hAnsiTheme="minorHAnsi"/>
          <w:b w:val="0"/>
          <w:color w:val="auto"/>
          <w:sz w:val="24"/>
          <w:u w:val="none"/>
        </w:rPr>
        <w:t>Pavel Hrdlička, ředitel</w:t>
      </w:r>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IČ:</w:t>
      </w:r>
      <w:r w:rsidRPr="007B352F">
        <w:rPr>
          <w:rFonts w:asciiTheme="minorHAnsi" w:hAnsiTheme="minorHAnsi"/>
          <w:b w:val="0"/>
          <w:color w:val="auto"/>
          <w:sz w:val="24"/>
          <w:u w:val="none"/>
        </w:rPr>
        <w:tab/>
        <w:t>45333009</w:t>
      </w:r>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DIČ:</w:t>
      </w:r>
      <w:r w:rsidRPr="007B352F">
        <w:rPr>
          <w:rFonts w:asciiTheme="minorHAnsi" w:hAnsiTheme="minorHAnsi"/>
          <w:b w:val="0"/>
          <w:color w:val="auto"/>
          <w:sz w:val="24"/>
          <w:u w:val="none"/>
        </w:rPr>
        <w:tab/>
        <w:t>CZ45333009</w:t>
      </w:r>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číslo účtu:</w:t>
      </w:r>
      <w:r w:rsidRPr="007B352F">
        <w:rPr>
          <w:rFonts w:asciiTheme="minorHAnsi" w:hAnsiTheme="minorHAnsi"/>
          <w:b w:val="0"/>
          <w:color w:val="auto"/>
          <w:sz w:val="24"/>
          <w:u w:val="none"/>
        </w:rPr>
        <w:tab/>
      </w:r>
      <w:proofErr w:type="spellStart"/>
      <w:r w:rsidR="00916413">
        <w:rPr>
          <w:rFonts w:asciiTheme="minorHAnsi" w:hAnsiTheme="minorHAnsi"/>
          <w:b w:val="0"/>
          <w:color w:val="auto"/>
          <w:sz w:val="24"/>
          <w:u w:val="none"/>
        </w:rPr>
        <w:t>xxxxxxxxxxxxxxxxxxxxxx</w:t>
      </w:r>
      <w:proofErr w:type="spellEnd"/>
    </w:p>
    <w:p w:rsidR="009A5180" w:rsidRPr="007B352F" w:rsidRDefault="009A5180"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bankovní spojení:</w:t>
      </w:r>
      <w:r w:rsidRPr="007B352F">
        <w:rPr>
          <w:rFonts w:asciiTheme="minorHAnsi" w:hAnsiTheme="minorHAnsi"/>
          <w:b w:val="0"/>
          <w:color w:val="auto"/>
          <w:sz w:val="24"/>
          <w:u w:val="none"/>
        </w:rPr>
        <w:tab/>
      </w:r>
      <w:proofErr w:type="spellStart"/>
      <w:r w:rsidR="00916413">
        <w:rPr>
          <w:rFonts w:asciiTheme="minorHAnsi" w:hAnsiTheme="minorHAnsi"/>
          <w:b w:val="0"/>
          <w:color w:val="auto"/>
          <w:sz w:val="24"/>
          <w:u w:val="none"/>
        </w:rPr>
        <w:t>xxxxxxxxxxxxxxxxxxx</w:t>
      </w:r>
      <w:proofErr w:type="spellEnd"/>
    </w:p>
    <w:p w:rsidR="007A26C5" w:rsidRPr="007B352F" w:rsidRDefault="007A26C5" w:rsidP="004E6CD9">
      <w:pPr>
        <w:pStyle w:val="Tlotextu"/>
        <w:spacing w:after="0"/>
        <w:ind w:left="360"/>
        <w:jc w:val="left"/>
        <w:rPr>
          <w:rFonts w:asciiTheme="minorHAnsi" w:hAnsiTheme="minorHAnsi"/>
          <w:b w:val="0"/>
          <w:color w:val="auto"/>
          <w:sz w:val="24"/>
          <w:u w:val="none"/>
        </w:rPr>
      </w:pPr>
      <w:r w:rsidRPr="007B352F">
        <w:rPr>
          <w:rFonts w:asciiTheme="minorHAnsi" w:hAnsiTheme="minorHAnsi"/>
          <w:b w:val="0"/>
          <w:color w:val="auto"/>
          <w:sz w:val="24"/>
          <w:u w:val="none"/>
        </w:rPr>
        <w:t>a</w:t>
      </w:r>
    </w:p>
    <w:p w:rsidR="00F65A63" w:rsidRPr="007B352F" w:rsidRDefault="00F65A63" w:rsidP="004E6CD9">
      <w:pPr>
        <w:pStyle w:val="Tlotextu"/>
        <w:spacing w:after="0"/>
        <w:ind w:left="360"/>
        <w:jc w:val="left"/>
        <w:rPr>
          <w:rFonts w:asciiTheme="minorHAnsi" w:hAnsiTheme="minorHAnsi"/>
          <w:b w:val="0"/>
          <w:color w:val="auto"/>
          <w:sz w:val="24"/>
          <w:u w:val="none"/>
        </w:rPr>
      </w:pPr>
    </w:p>
    <w:p w:rsidR="007A26C5" w:rsidRPr="007B352F" w:rsidRDefault="00F65A63" w:rsidP="004E6CD9">
      <w:pPr>
        <w:pStyle w:val="Vchoz"/>
        <w:numPr>
          <w:ilvl w:val="0"/>
          <w:numId w:val="3"/>
        </w:numPr>
        <w:spacing w:after="0"/>
        <w:rPr>
          <w:rFonts w:asciiTheme="minorHAnsi" w:hAnsiTheme="minorHAnsi"/>
          <w:color w:val="auto"/>
        </w:rPr>
      </w:pPr>
      <w:r w:rsidRPr="007B352F">
        <w:rPr>
          <w:rFonts w:asciiTheme="minorHAnsi" w:hAnsiTheme="minorHAnsi"/>
          <w:color w:val="auto"/>
        </w:rPr>
        <w:t>VIKO Plzeň s.r.o.</w:t>
      </w:r>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 xml:space="preserve">se sídlem: </w:t>
      </w:r>
      <w:r w:rsidRPr="007B352F">
        <w:rPr>
          <w:rFonts w:asciiTheme="minorHAnsi" w:hAnsiTheme="minorHAnsi"/>
          <w:color w:val="auto"/>
        </w:rPr>
        <w:tab/>
        <w:t>Radyňská 27-29, 326 00 Plzeň</w:t>
      </w:r>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 xml:space="preserve">zastoupen: </w:t>
      </w:r>
      <w:r w:rsidRPr="007B352F">
        <w:rPr>
          <w:rFonts w:asciiTheme="minorHAnsi" w:hAnsiTheme="minorHAnsi"/>
          <w:color w:val="auto"/>
        </w:rPr>
        <w:tab/>
        <w:t>Ing. Karel Kohout, jednatel</w:t>
      </w:r>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 xml:space="preserve">IČ: </w:t>
      </w:r>
      <w:r w:rsidRPr="007B352F">
        <w:rPr>
          <w:rFonts w:asciiTheme="minorHAnsi" w:hAnsiTheme="minorHAnsi"/>
          <w:color w:val="auto"/>
        </w:rPr>
        <w:tab/>
        <w:t>40525562</w:t>
      </w:r>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DIČ:</w:t>
      </w:r>
      <w:r w:rsidRPr="007B352F">
        <w:rPr>
          <w:rFonts w:asciiTheme="minorHAnsi" w:hAnsiTheme="minorHAnsi"/>
          <w:color w:val="auto"/>
        </w:rPr>
        <w:tab/>
        <w:t>CZ40525562</w:t>
      </w:r>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číslo účtu:</w:t>
      </w:r>
      <w:r w:rsidRPr="007B352F">
        <w:rPr>
          <w:rFonts w:asciiTheme="minorHAnsi" w:hAnsiTheme="minorHAnsi"/>
          <w:color w:val="auto"/>
        </w:rPr>
        <w:tab/>
      </w:r>
      <w:proofErr w:type="spellStart"/>
      <w:r w:rsidR="00916413">
        <w:rPr>
          <w:rFonts w:asciiTheme="minorHAnsi" w:hAnsiTheme="minorHAnsi"/>
          <w:color w:val="auto"/>
        </w:rPr>
        <w:t>xxxxxxxxxxxxxxxxxxxxxx</w:t>
      </w:r>
      <w:proofErr w:type="spellEnd"/>
    </w:p>
    <w:p w:rsidR="00F65A63" w:rsidRPr="007B352F" w:rsidRDefault="00F65A63" w:rsidP="004E6CD9">
      <w:pPr>
        <w:pStyle w:val="Vchoz"/>
        <w:spacing w:after="0"/>
        <w:ind w:left="720"/>
        <w:rPr>
          <w:rFonts w:asciiTheme="minorHAnsi" w:hAnsiTheme="minorHAnsi"/>
          <w:color w:val="auto"/>
        </w:rPr>
      </w:pPr>
      <w:r w:rsidRPr="007B352F">
        <w:rPr>
          <w:rFonts w:asciiTheme="minorHAnsi" w:hAnsiTheme="minorHAnsi"/>
          <w:color w:val="auto"/>
        </w:rPr>
        <w:t>bankovní spojení:</w:t>
      </w:r>
      <w:r w:rsidRPr="007B352F">
        <w:rPr>
          <w:rFonts w:asciiTheme="minorHAnsi" w:hAnsiTheme="minorHAnsi"/>
          <w:color w:val="auto"/>
        </w:rPr>
        <w:tab/>
      </w:r>
      <w:proofErr w:type="spellStart"/>
      <w:r w:rsidR="00916413">
        <w:rPr>
          <w:rFonts w:asciiTheme="minorHAnsi" w:hAnsiTheme="minorHAnsi"/>
          <w:color w:val="auto"/>
        </w:rPr>
        <w:t>xxxxxxxxxxxxxxxxxx</w:t>
      </w:r>
      <w:proofErr w:type="spellEnd"/>
    </w:p>
    <w:p w:rsidR="00F65A63" w:rsidRPr="007B352F" w:rsidRDefault="00F65A63" w:rsidP="00F65A63">
      <w:pPr>
        <w:pStyle w:val="Vchoz"/>
        <w:ind w:left="720"/>
        <w:rPr>
          <w:rFonts w:asciiTheme="minorHAnsi" w:hAnsiTheme="minorHAnsi"/>
          <w:color w:val="auto"/>
        </w:rPr>
      </w:pPr>
    </w:p>
    <w:p w:rsidR="007A26C5" w:rsidRPr="007B352F" w:rsidRDefault="007A26C5" w:rsidP="007A26C5">
      <w:pPr>
        <w:pStyle w:val="Tlotextu"/>
        <w:jc w:val="center"/>
        <w:rPr>
          <w:rFonts w:asciiTheme="minorHAnsi" w:hAnsiTheme="minorHAnsi"/>
          <w:color w:val="auto"/>
        </w:rPr>
      </w:pPr>
      <w:r w:rsidRPr="007B352F">
        <w:rPr>
          <w:rFonts w:asciiTheme="minorHAnsi" w:hAnsiTheme="minorHAnsi"/>
          <w:i/>
          <w:color w:val="auto"/>
          <w:sz w:val="24"/>
        </w:rPr>
        <w:t>uzavřeli ve smyslu § 2079 a násl. zákona č. 89/2012 Sb., občanský zákoník</w:t>
      </w:r>
    </w:p>
    <w:p w:rsidR="007A26C5" w:rsidRPr="007B352F" w:rsidRDefault="007A26C5" w:rsidP="007A26C5">
      <w:pPr>
        <w:pStyle w:val="Tlotextu"/>
        <w:jc w:val="center"/>
        <w:rPr>
          <w:rFonts w:asciiTheme="minorHAnsi" w:hAnsiTheme="minorHAnsi"/>
          <w:color w:val="auto"/>
        </w:rPr>
      </w:pPr>
      <w:r w:rsidRPr="007B352F">
        <w:rPr>
          <w:rFonts w:asciiTheme="minorHAnsi" w:hAnsiTheme="minorHAnsi"/>
          <w:i/>
          <w:color w:val="auto"/>
          <w:sz w:val="24"/>
        </w:rPr>
        <w:t xml:space="preserve">dnešního dne tuto </w:t>
      </w:r>
    </w:p>
    <w:p w:rsidR="007A26C5" w:rsidRPr="007B352F" w:rsidRDefault="007A26C5" w:rsidP="007A26C5">
      <w:pPr>
        <w:pStyle w:val="Tlotextu"/>
        <w:rPr>
          <w:rFonts w:asciiTheme="minorHAnsi" w:hAnsiTheme="minorHAnsi"/>
          <w:color w:val="auto"/>
        </w:rPr>
      </w:pPr>
    </w:p>
    <w:p w:rsidR="007A26C5" w:rsidRPr="007B352F" w:rsidRDefault="007A26C5" w:rsidP="007A26C5">
      <w:pPr>
        <w:pStyle w:val="Vchoz"/>
        <w:jc w:val="center"/>
        <w:rPr>
          <w:rFonts w:asciiTheme="minorHAnsi" w:hAnsiTheme="minorHAnsi"/>
          <w:color w:val="auto"/>
        </w:rPr>
      </w:pPr>
      <w:r w:rsidRPr="007B352F">
        <w:rPr>
          <w:rFonts w:asciiTheme="minorHAnsi" w:hAnsiTheme="minorHAnsi"/>
          <w:b/>
          <w:i/>
          <w:color w:val="auto"/>
          <w:sz w:val="22"/>
          <w:u w:val="single"/>
        </w:rPr>
        <w:t>kupní smlouvu</w:t>
      </w:r>
    </w:p>
    <w:p w:rsidR="007A26C5" w:rsidRPr="007B352F" w:rsidRDefault="007A26C5" w:rsidP="007A26C5">
      <w:pPr>
        <w:pStyle w:val="Vchoz"/>
        <w:jc w:val="center"/>
        <w:rPr>
          <w:rFonts w:asciiTheme="minorHAnsi" w:hAnsiTheme="minorHAnsi"/>
          <w:color w:val="auto"/>
        </w:rPr>
      </w:pPr>
    </w:p>
    <w:p w:rsidR="007A26C5" w:rsidRPr="007B352F" w:rsidRDefault="007A26C5" w:rsidP="007A26C5">
      <w:pPr>
        <w:pStyle w:val="Nadpislnek"/>
        <w:spacing w:before="0" w:after="120" w:line="100" w:lineRule="atLeast"/>
        <w:rPr>
          <w:rFonts w:asciiTheme="minorHAnsi" w:hAnsiTheme="minorHAnsi"/>
          <w:color w:val="auto"/>
          <w:szCs w:val="24"/>
        </w:rPr>
      </w:pPr>
      <w:r w:rsidRPr="007B352F">
        <w:rPr>
          <w:rFonts w:asciiTheme="minorHAnsi" w:hAnsiTheme="minorHAnsi"/>
          <w:color w:val="auto"/>
          <w:szCs w:val="24"/>
        </w:rPr>
        <w:t>Preambule</w:t>
      </w:r>
    </w:p>
    <w:p w:rsidR="007A26C5" w:rsidRPr="007B352F" w:rsidRDefault="007A26C5" w:rsidP="007A26C5">
      <w:pPr>
        <w:pStyle w:val="Vchoz"/>
        <w:rPr>
          <w:rFonts w:asciiTheme="minorHAnsi" w:hAnsiTheme="minorHAnsi"/>
          <w:color w:val="auto"/>
          <w:szCs w:val="24"/>
        </w:rPr>
      </w:pPr>
      <w:r w:rsidRPr="007B352F">
        <w:rPr>
          <w:rFonts w:asciiTheme="minorHAnsi" w:hAnsiTheme="minorHAnsi"/>
          <w:color w:val="auto"/>
          <w:szCs w:val="24"/>
        </w:rPr>
        <w:t xml:space="preserve">Tato smlouva se uzavírá na základě vyhodnocení zadávacího řízení (dále </w:t>
      </w:r>
      <w:r w:rsidRPr="007B352F">
        <w:rPr>
          <w:rFonts w:asciiTheme="minorHAnsi" w:hAnsiTheme="minorHAnsi"/>
          <w:i/>
          <w:color w:val="auto"/>
          <w:szCs w:val="24"/>
        </w:rPr>
        <w:t>zadávací řízení</w:t>
      </w:r>
      <w:r w:rsidRPr="007B352F">
        <w:rPr>
          <w:rFonts w:asciiTheme="minorHAnsi" w:hAnsiTheme="minorHAnsi"/>
          <w:color w:val="auto"/>
          <w:szCs w:val="24"/>
        </w:rPr>
        <w:t xml:space="preserve"> nebo </w:t>
      </w:r>
      <w:r w:rsidRPr="007B352F">
        <w:rPr>
          <w:rFonts w:asciiTheme="minorHAnsi" w:hAnsiTheme="minorHAnsi"/>
          <w:i/>
          <w:color w:val="auto"/>
          <w:szCs w:val="24"/>
        </w:rPr>
        <w:t>veřejná zakázka</w:t>
      </w:r>
      <w:r w:rsidRPr="007B352F">
        <w:rPr>
          <w:rFonts w:asciiTheme="minorHAnsi" w:hAnsiTheme="minorHAnsi"/>
          <w:color w:val="auto"/>
          <w:szCs w:val="24"/>
        </w:rPr>
        <w:t xml:space="preserve">), zadávané v rámci </w:t>
      </w:r>
      <w:r w:rsidR="009A5180" w:rsidRPr="007B352F">
        <w:rPr>
          <w:rFonts w:asciiTheme="minorHAnsi" w:hAnsiTheme="minorHAnsi"/>
          <w:color w:val="auto"/>
          <w:szCs w:val="24"/>
        </w:rPr>
        <w:t xml:space="preserve">poptávkového řízení ze dne </w:t>
      </w:r>
      <w:proofErr w:type="gramStart"/>
      <w:r w:rsidR="004E6CD9">
        <w:rPr>
          <w:rFonts w:asciiTheme="minorHAnsi" w:hAnsiTheme="minorHAnsi"/>
          <w:color w:val="auto"/>
          <w:szCs w:val="24"/>
        </w:rPr>
        <w:t>21</w:t>
      </w:r>
      <w:r w:rsidR="009A5180" w:rsidRPr="007B352F">
        <w:rPr>
          <w:rFonts w:asciiTheme="minorHAnsi" w:hAnsiTheme="minorHAnsi"/>
          <w:color w:val="auto"/>
          <w:szCs w:val="24"/>
        </w:rPr>
        <w:t>.</w:t>
      </w:r>
      <w:r w:rsidR="00F65A63" w:rsidRPr="007B352F">
        <w:rPr>
          <w:rFonts w:asciiTheme="minorHAnsi" w:hAnsiTheme="minorHAnsi"/>
          <w:color w:val="auto"/>
          <w:szCs w:val="24"/>
        </w:rPr>
        <w:t>1</w:t>
      </w:r>
      <w:r w:rsidR="009A5180" w:rsidRPr="007B352F">
        <w:rPr>
          <w:rFonts w:asciiTheme="minorHAnsi" w:hAnsiTheme="minorHAnsi"/>
          <w:color w:val="auto"/>
          <w:szCs w:val="24"/>
        </w:rPr>
        <w:t>.</w:t>
      </w:r>
      <w:r w:rsidR="00F65A63" w:rsidRPr="007B352F">
        <w:rPr>
          <w:rFonts w:asciiTheme="minorHAnsi" w:hAnsiTheme="minorHAnsi"/>
          <w:color w:val="auto"/>
          <w:szCs w:val="24"/>
        </w:rPr>
        <w:t>201</w:t>
      </w:r>
      <w:r w:rsidR="004E6CD9">
        <w:rPr>
          <w:rFonts w:asciiTheme="minorHAnsi" w:hAnsiTheme="minorHAnsi"/>
          <w:color w:val="auto"/>
          <w:szCs w:val="24"/>
        </w:rPr>
        <w:t>9</w:t>
      </w:r>
      <w:proofErr w:type="gramEnd"/>
      <w:r w:rsidR="009A5180" w:rsidRPr="007B352F">
        <w:rPr>
          <w:rFonts w:asciiTheme="minorHAnsi" w:hAnsiTheme="minorHAnsi"/>
          <w:color w:val="auto"/>
          <w:szCs w:val="24"/>
        </w:rPr>
        <w:t>.</w:t>
      </w:r>
    </w:p>
    <w:p w:rsidR="004E6CD9" w:rsidRPr="004E6CD9" w:rsidRDefault="004E6CD9" w:rsidP="004E6CD9"/>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1</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Vlastnické vztahy</w:t>
      </w:r>
    </w:p>
    <w:p w:rsidR="007A26C5" w:rsidRPr="007B352F" w:rsidRDefault="007A26C5" w:rsidP="007A26C5">
      <w:pPr>
        <w:pStyle w:val="Vchoz"/>
        <w:numPr>
          <w:ilvl w:val="0"/>
          <w:numId w:val="4"/>
        </w:numPr>
        <w:rPr>
          <w:rFonts w:asciiTheme="minorHAnsi" w:hAnsiTheme="minorHAnsi"/>
          <w:color w:val="auto"/>
        </w:rPr>
      </w:pPr>
      <w:r w:rsidRPr="007B352F">
        <w:rPr>
          <w:rFonts w:asciiTheme="minorHAnsi" w:hAnsiTheme="minorHAnsi"/>
          <w:color w:val="auto"/>
        </w:rPr>
        <w:t>Prodávající prohlašuje, že je výlučným vlastníkem hardware, který je předmětem výše uvedené veřejné zakázky.</w:t>
      </w:r>
    </w:p>
    <w:tbl>
      <w:tblPr>
        <w:tblW w:w="836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86"/>
        <w:gridCol w:w="924"/>
        <w:gridCol w:w="6"/>
        <w:gridCol w:w="6847"/>
      </w:tblGrid>
      <w:tr w:rsidR="007B352F" w:rsidRPr="007B352F" w:rsidTr="004E6CD9">
        <w:trPr>
          <w:trHeight w:val="85"/>
        </w:trPr>
        <w:tc>
          <w:tcPr>
            <w:tcW w:w="1510" w:type="dxa"/>
            <w:gridSpan w:val="2"/>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Počet</w:t>
            </w:r>
          </w:p>
        </w:tc>
        <w:tc>
          <w:tcPr>
            <w:tcW w:w="6853" w:type="dxa"/>
            <w:gridSpan w:val="2"/>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Věc</w:t>
            </w:r>
          </w:p>
        </w:tc>
      </w:tr>
      <w:tr w:rsidR="007B352F" w:rsidRPr="007B352F" w:rsidTr="004E6CD9">
        <w:trPr>
          <w:trHeight w:val="85"/>
        </w:trPr>
        <w:tc>
          <w:tcPr>
            <w:tcW w:w="586" w:type="dxa"/>
            <w:vAlign w:val="center"/>
            <w:hideMark/>
          </w:tcPr>
          <w:p w:rsidR="007A26C5" w:rsidRPr="007B352F" w:rsidRDefault="004E6CD9" w:rsidP="009A5180">
            <w:pPr>
              <w:pStyle w:val="Vchoz"/>
              <w:rPr>
                <w:rFonts w:asciiTheme="minorHAnsi" w:hAnsiTheme="minorHAnsi"/>
                <w:b/>
                <w:color w:val="auto"/>
              </w:rPr>
            </w:pPr>
            <w:r>
              <w:rPr>
                <w:rFonts w:asciiTheme="minorHAnsi" w:hAnsiTheme="minorHAnsi"/>
                <w:b/>
                <w:color w:val="auto"/>
              </w:rPr>
              <w:t>4</w:t>
            </w:r>
          </w:p>
        </w:tc>
        <w:tc>
          <w:tcPr>
            <w:tcW w:w="924" w:type="dxa"/>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ks</w:t>
            </w:r>
          </w:p>
        </w:tc>
        <w:tc>
          <w:tcPr>
            <w:tcW w:w="6853" w:type="dxa"/>
            <w:gridSpan w:val="2"/>
            <w:vAlign w:val="center"/>
            <w:hideMark/>
          </w:tcPr>
          <w:p w:rsidR="007A26C5" w:rsidRPr="007B352F" w:rsidRDefault="00F65A63" w:rsidP="004E6CD9">
            <w:pPr>
              <w:pStyle w:val="Vchoz"/>
              <w:rPr>
                <w:rFonts w:asciiTheme="minorHAnsi" w:hAnsiTheme="minorHAnsi"/>
                <w:b/>
                <w:color w:val="auto"/>
              </w:rPr>
            </w:pPr>
            <w:r w:rsidRPr="007B352F">
              <w:rPr>
                <w:rFonts w:asciiTheme="minorHAnsi" w:hAnsiTheme="minorHAnsi"/>
                <w:b/>
                <w:color w:val="auto"/>
              </w:rPr>
              <w:t xml:space="preserve">notebook </w:t>
            </w:r>
            <w:r w:rsidR="004E6CD9">
              <w:rPr>
                <w:rFonts w:asciiTheme="minorHAnsi" w:hAnsiTheme="minorHAnsi"/>
                <w:b/>
                <w:color w:val="auto"/>
              </w:rPr>
              <w:t>15,6</w:t>
            </w:r>
            <w:r w:rsidRPr="007B352F">
              <w:rPr>
                <w:rFonts w:asciiTheme="minorHAnsi" w:hAnsiTheme="minorHAnsi"/>
                <w:b/>
                <w:color w:val="auto"/>
              </w:rPr>
              <w:t>“</w:t>
            </w:r>
          </w:p>
        </w:tc>
      </w:tr>
      <w:tr w:rsidR="007B352F" w:rsidRPr="007B352F" w:rsidTr="004E6CD9">
        <w:tblPrEx>
          <w:tblCellMar>
            <w:top w:w="0" w:type="dxa"/>
            <w:left w:w="70" w:type="dxa"/>
            <w:bottom w:w="0" w:type="dxa"/>
            <w:right w:w="70" w:type="dxa"/>
          </w:tblCellMar>
          <w:tblLook w:val="0000" w:firstRow="0" w:lastRow="0" w:firstColumn="0" w:lastColumn="0" w:noHBand="0" w:noVBand="0"/>
        </w:tblPrEx>
        <w:trPr>
          <w:trHeight w:val="448"/>
        </w:trPr>
        <w:tc>
          <w:tcPr>
            <w:tcW w:w="586" w:type="dxa"/>
          </w:tcPr>
          <w:p w:rsidR="009A5180" w:rsidRPr="007B352F" w:rsidRDefault="004E6CD9" w:rsidP="004E6CD9">
            <w:pPr>
              <w:pStyle w:val="Vchoz"/>
              <w:rPr>
                <w:rFonts w:asciiTheme="minorHAnsi" w:hAnsiTheme="minorHAnsi"/>
                <w:b/>
                <w:color w:val="auto"/>
              </w:rPr>
            </w:pPr>
            <w:r>
              <w:rPr>
                <w:rFonts w:asciiTheme="minorHAnsi" w:hAnsiTheme="minorHAnsi"/>
                <w:b/>
                <w:color w:val="auto"/>
              </w:rPr>
              <w:t xml:space="preserve"> 2</w:t>
            </w:r>
          </w:p>
        </w:tc>
        <w:tc>
          <w:tcPr>
            <w:tcW w:w="930" w:type="dxa"/>
            <w:gridSpan w:val="2"/>
          </w:tcPr>
          <w:p w:rsidR="009A5180" w:rsidRPr="007B352F" w:rsidRDefault="009A5180" w:rsidP="009A5180">
            <w:pPr>
              <w:pStyle w:val="Vchoz"/>
              <w:rPr>
                <w:rFonts w:asciiTheme="minorHAnsi" w:hAnsiTheme="minorHAnsi"/>
                <w:b/>
                <w:color w:val="auto"/>
              </w:rPr>
            </w:pPr>
            <w:r w:rsidRPr="007B352F">
              <w:rPr>
                <w:rFonts w:asciiTheme="minorHAnsi" w:hAnsiTheme="minorHAnsi"/>
                <w:b/>
                <w:color w:val="auto"/>
              </w:rPr>
              <w:t>ks</w:t>
            </w:r>
          </w:p>
        </w:tc>
        <w:tc>
          <w:tcPr>
            <w:tcW w:w="6847" w:type="dxa"/>
          </w:tcPr>
          <w:p w:rsidR="009A5180" w:rsidRPr="007B352F" w:rsidRDefault="00F65A63" w:rsidP="004E6CD9">
            <w:pPr>
              <w:pStyle w:val="Vchoz"/>
              <w:rPr>
                <w:rFonts w:asciiTheme="minorHAnsi" w:hAnsiTheme="minorHAnsi"/>
                <w:b/>
                <w:color w:val="auto"/>
              </w:rPr>
            </w:pPr>
            <w:r w:rsidRPr="007B352F">
              <w:rPr>
                <w:rFonts w:asciiTheme="minorHAnsi" w:hAnsiTheme="minorHAnsi"/>
                <w:b/>
                <w:color w:val="auto"/>
              </w:rPr>
              <w:t xml:space="preserve">notebook </w:t>
            </w:r>
            <w:r w:rsidR="004E6CD9">
              <w:rPr>
                <w:rFonts w:asciiTheme="minorHAnsi" w:hAnsiTheme="minorHAnsi"/>
                <w:b/>
                <w:color w:val="auto"/>
              </w:rPr>
              <w:t>13,3</w:t>
            </w:r>
            <w:r w:rsidRPr="007B352F">
              <w:rPr>
                <w:rFonts w:asciiTheme="minorHAnsi" w:hAnsiTheme="minorHAnsi"/>
                <w:b/>
                <w:color w:val="auto"/>
              </w:rPr>
              <w:t>“</w:t>
            </w:r>
          </w:p>
        </w:tc>
      </w:tr>
    </w:tbl>
    <w:p w:rsidR="007A26C5" w:rsidRPr="007B352F" w:rsidRDefault="007A26C5" w:rsidP="007A26C5">
      <w:pPr>
        <w:pStyle w:val="Vchoz"/>
        <w:rPr>
          <w:rFonts w:asciiTheme="minorHAnsi" w:hAnsiTheme="minorHAnsi"/>
          <w:color w:val="auto"/>
        </w:rPr>
      </w:pPr>
    </w:p>
    <w:p w:rsidR="007A26C5" w:rsidRPr="007B352F" w:rsidRDefault="007A26C5" w:rsidP="007A26C5">
      <w:pPr>
        <w:pStyle w:val="Vchoz"/>
        <w:numPr>
          <w:ilvl w:val="0"/>
          <w:numId w:val="4"/>
        </w:numPr>
        <w:rPr>
          <w:rFonts w:asciiTheme="minorHAnsi" w:hAnsiTheme="minorHAnsi"/>
          <w:color w:val="auto"/>
        </w:rPr>
      </w:pPr>
      <w:r w:rsidRPr="007B352F">
        <w:rPr>
          <w:rFonts w:asciiTheme="minorHAnsi" w:hAnsiTheme="minorHAnsi"/>
          <w:color w:val="auto"/>
        </w:rPr>
        <w:t xml:space="preserve">Detailní specifikace tohoto hardware je obsažena v nabídce prodávajícího, přičemž technická specifikace těchto věcí tvoří přílohu č. 1 této Smlouvy a je její integrální součástí. </w:t>
      </w:r>
    </w:p>
    <w:p w:rsidR="00AB7A22" w:rsidRPr="007B352F" w:rsidRDefault="00AB7A22" w:rsidP="00AB7A22">
      <w:pPr>
        <w:pStyle w:val="Vchoz"/>
        <w:ind w:left="720"/>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2</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Předmět</w:t>
      </w:r>
    </w:p>
    <w:p w:rsidR="007A26C5" w:rsidRPr="007B352F"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B352F"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 xml:space="preserve">Prodávající prodává a kupující kupuje na základě podmínek stanovených touto Smlouvou věci uvedené v Článku 1 </w:t>
      </w:r>
      <w:proofErr w:type="gramStart"/>
      <w:r w:rsidRPr="007B352F">
        <w:rPr>
          <w:rFonts w:asciiTheme="minorHAnsi" w:hAnsiTheme="minorHAnsi"/>
          <w:color w:val="auto"/>
        </w:rPr>
        <w:t>odst. 1)  za</w:t>
      </w:r>
      <w:proofErr w:type="gramEnd"/>
      <w:r w:rsidRPr="007B352F">
        <w:rPr>
          <w:rFonts w:asciiTheme="minorHAnsi" w:hAnsiTheme="minorHAnsi"/>
          <w:color w:val="auto"/>
        </w:rPr>
        <w:t xml:space="preserve"> vzájemně dohodnutou cenu do vlastnictví kupujícího.</w:t>
      </w:r>
    </w:p>
    <w:p w:rsidR="007A26C5" w:rsidRPr="007B352F"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Prodávající prohlašuje, že věci uvedené v Článku 1 této smlouvy, které jsou předmětem koupě, jsou bez vad.</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3</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Cena a způsob platby</w:t>
      </w:r>
    </w:p>
    <w:p w:rsidR="007A26C5" w:rsidRPr="007B352F" w:rsidRDefault="007A26C5" w:rsidP="007C243E">
      <w:pPr>
        <w:pStyle w:val="Vchoz"/>
        <w:numPr>
          <w:ilvl w:val="0"/>
          <w:numId w:val="5"/>
        </w:numPr>
        <w:rPr>
          <w:rFonts w:asciiTheme="minorHAnsi" w:hAnsiTheme="minorHAnsi"/>
          <w:color w:val="auto"/>
        </w:rPr>
      </w:pPr>
      <w:r w:rsidRPr="007B352F">
        <w:rPr>
          <w:rFonts w:asciiTheme="minorHAnsi" w:hAnsiTheme="minorHAnsi"/>
          <w:color w:val="auto"/>
        </w:rPr>
        <w:t xml:space="preserve">Kupující se zavazuje zaplatit prodávajícímu za věc uvedenou v Čl. 1 odst. 1) této smlouvy </w:t>
      </w:r>
      <w:bookmarkStart w:id="1" w:name="OLE_LINK1"/>
      <w:r w:rsidRPr="007B352F">
        <w:rPr>
          <w:rFonts w:asciiTheme="minorHAnsi" w:hAnsiTheme="minorHAnsi"/>
          <w:color w:val="auto"/>
        </w:rPr>
        <w:t xml:space="preserve">kupní cenu ve výši </w:t>
      </w:r>
      <w:r w:rsidR="004E6CD9">
        <w:rPr>
          <w:rFonts w:asciiTheme="minorHAnsi" w:hAnsiTheme="minorHAnsi"/>
          <w:color w:val="auto"/>
        </w:rPr>
        <w:t>113 800</w:t>
      </w:r>
      <w:r w:rsidR="009A5180" w:rsidRPr="007B352F">
        <w:rPr>
          <w:rFonts w:asciiTheme="minorHAnsi" w:hAnsiTheme="minorHAnsi"/>
          <w:color w:val="auto"/>
        </w:rPr>
        <w:t xml:space="preserve">,- </w:t>
      </w:r>
      <w:r w:rsidRPr="007B352F">
        <w:rPr>
          <w:rFonts w:asciiTheme="minorHAnsi" w:hAnsiTheme="minorHAnsi"/>
          <w:color w:val="auto"/>
        </w:rPr>
        <w:t xml:space="preserve">Kč bez DPH plus DPH ve výši </w:t>
      </w:r>
      <w:r w:rsidR="004E6CD9">
        <w:rPr>
          <w:rFonts w:asciiTheme="minorHAnsi" w:hAnsiTheme="minorHAnsi"/>
          <w:color w:val="auto"/>
        </w:rPr>
        <w:t>23 898</w:t>
      </w:r>
      <w:r w:rsidR="009A5180" w:rsidRPr="007B352F">
        <w:rPr>
          <w:rFonts w:asciiTheme="minorHAnsi" w:hAnsiTheme="minorHAnsi"/>
          <w:color w:val="auto"/>
        </w:rPr>
        <w:t xml:space="preserve">,- </w:t>
      </w:r>
      <w:r w:rsidRPr="007B352F">
        <w:rPr>
          <w:rFonts w:asciiTheme="minorHAnsi" w:hAnsiTheme="minorHAnsi"/>
          <w:color w:val="auto"/>
        </w:rPr>
        <w:t xml:space="preserve">Kč. Celkem tedy </w:t>
      </w:r>
      <w:r w:rsidR="004E6CD9">
        <w:rPr>
          <w:rFonts w:asciiTheme="minorHAnsi" w:hAnsiTheme="minorHAnsi"/>
          <w:color w:val="auto"/>
        </w:rPr>
        <w:t>137 698</w:t>
      </w:r>
      <w:r w:rsidRPr="007B352F">
        <w:rPr>
          <w:rFonts w:asciiTheme="minorHAnsi" w:hAnsiTheme="minorHAnsi"/>
          <w:color w:val="auto"/>
        </w:rPr>
        <w:t>,- Kč.</w:t>
      </w:r>
    </w:p>
    <w:bookmarkEnd w:id="1"/>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 xml:space="preserve">Kupní cenu zaplatí kupující prodávajícímu bankovním převodem na bankovní účet prodávajícího č. </w:t>
      </w:r>
      <w:proofErr w:type="spellStart"/>
      <w:r w:rsidR="00916413">
        <w:rPr>
          <w:rFonts w:asciiTheme="minorHAnsi" w:hAnsiTheme="minorHAnsi"/>
          <w:color w:val="auto"/>
        </w:rPr>
        <w:t>xxxxxxxxxxxxxxxxxxxxxx</w:t>
      </w:r>
      <w:proofErr w:type="spellEnd"/>
      <w:r w:rsidR="009A5180" w:rsidRPr="007B352F">
        <w:rPr>
          <w:rFonts w:asciiTheme="minorHAnsi" w:hAnsiTheme="minorHAnsi"/>
          <w:color w:val="auto"/>
        </w:rPr>
        <w:t xml:space="preserve"> </w:t>
      </w:r>
      <w:r w:rsidRPr="007B352F">
        <w:rPr>
          <w:rFonts w:asciiTheme="minorHAnsi" w:hAnsiTheme="minorHAnsi"/>
          <w:color w:val="auto"/>
        </w:rPr>
        <w:t>na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w:t>
      </w:r>
    </w:p>
    <w:p w:rsidR="007A26C5"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 xml:space="preserve">Nebude-li uhrazena kupní cena do 60 dnů ode dne splatnosti daňového dokladu </w:t>
      </w:r>
      <w:bookmarkStart w:id="2" w:name="_GoBack"/>
      <w:r w:rsidRPr="007B352F">
        <w:rPr>
          <w:rFonts w:asciiTheme="minorHAnsi" w:hAnsiTheme="minorHAnsi"/>
          <w:color w:val="auto"/>
        </w:rPr>
        <w:t xml:space="preserve">prodávajícímu v důsledku zavinění kupujícího, sjednává si prodávající právo odstoupit </w:t>
      </w:r>
      <w:bookmarkEnd w:id="2"/>
      <w:r w:rsidRPr="007B352F">
        <w:rPr>
          <w:rFonts w:asciiTheme="minorHAnsi" w:hAnsiTheme="minorHAnsi"/>
          <w:color w:val="auto"/>
        </w:rPr>
        <w:t>od této Smlouvy.</w:t>
      </w:r>
    </w:p>
    <w:p w:rsidR="004E6CD9" w:rsidRDefault="004E6CD9" w:rsidP="004E6CD9">
      <w:pPr>
        <w:pStyle w:val="Vchoz"/>
        <w:rPr>
          <w:rFonts w:asciiTheme="minorHAnsi" w:hAnsiTheme="minorHAnsi"/>
          <w:color w:val="auto"/>
        </w:rPr>
      </w:pPr>
    </w:p>
    <w:p w:rsidR="004E6CD9" w:rsidRDefault="004E6CD9" w:rsidP="004E6CD9">
      <w:pPr>
        <w:pStyle w:val="Vchoz"/>
        <w:rPr>
          <w:rFonts w:asciiTheme="minorHAnsi" w:hAnsiTheme="minorHAnsi"/>
          <w:color w:val="auto"/>
        </w:rPr>
      </w:pPr>
    </w:p>
    <w:p w:rsidR="004E6CD9" w:rsidRPr="007B352F" w:rsidRDefault="004E6CD9" w:rsidP="004E6CD9">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lastRenderedPageBreak/>
        <w:t>Článek 4</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Přechod vlastnictví a nebezpečí škody</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 xml:space="preserve">Prodávající předá věc kupujícímu nejpozději do </w:t>
      </w:r>
      <w:proofErr w:type="gramStart"/>
      <w:r w:rsidR="004E6CD9">
        <w:rPr>
          <w:rFonts w:asciiTheme="minorHAnsi" w:hAnsiTheme="minorHAnsi"/>
          <w:color w:val="auto"/>
        </w:rPr>
        <w:t>28</w:t>
      </w:r>
      <w:r w:rsidR="007B352F" w:rsidRPr="007B352F">
        <w:rPr>
          <w:rFonts w:asciiTheme="minorHAnsi" w:hAnsiTheme="minorHAnsi"/>
          <w:color w:val="auto"/>
        </w:rPr>
        <w:t>.</w:t>
      </w:r>
      <w:r w:rsidR="004E6CD9">
        <w:rPr>
          <w:rFonts w:asciiTheme="minorHAnsi" w:hAnsiTheme="minorHAnsi"/>
          <w:color w:val="auto"/>
        </w:rPr>
        <w:t>2</w:t>
      </w:r>
      <w:r w:rsidR="007B352F" w:rsidRPr="007B352F">
        <w:rPr>
          <w:rFonts w:asciiTheme="minorHAnsi" w:hAnsiTheme="minorHAnsi"/>
          <w:color w:val="auto"/>
        </w:rPr>
        <w:t>.201</w:t>
      </w:r>
      <w:r w:rsidR="004E6CD9">
        <w:rPr>
          <w:rFonts w:asciiTheme="minorHAnsi" w:hAnsiTheme="minorHAnsi"/>
          <w:color w:val="auto"/>
        </w:rPr>
        <w:t>9</w:t>
      </w:r>
      <w:proofErr w:type="gramEnd"/>
      <w:r w:rsidRPr="007B352F">
        <w:rPr>
          <w:rFonts w:asciiTheme="minorHAnsi" w:hAnsiTheme="minorHAnsi"/>
          <w:color w:val="auto"/>
        </w:rPr>
        <w:t>. 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Náklady spojené s odevzdáním věci, zejména balení a dopravu, nese prodávající a náklady spojené s převzetím věci nese kupující.</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O předání a převzetí věci a souvisejících dokladů bude sepsán protokol podepsaný oběma smluvními stranami.</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Pokud prodávající věci nedoručí vlastními prostředky, ale využije k tomu dopravce, považuje se za odevzdání věci kupujícímu až okamžik doručení věci. Ustanovení § 2090 a § 2091 občanského zákoníku se nepoužije.</w:t>
      </w: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5</w:t>
      </w:r>
    </w:p>
    <w:p w:rsidR="007A26C5" w:rsidRPr="007B352F" w:rsidRDefault="007A26C5" w:rsidP="007A26C5">
      <w:pPr>
        <w:pStyle w:val="Vchoz"/>
        <w:jc w:val="center"/>
        <w:rPr>
          <w:rFonts w:asciiTheme="minorHAnsi" w:hAnsiTheme="minorHAnsi"/>
          <w:color w:val="auto"/>
        </w:rPr>
      </w:pPr>
      <w:r w:rsidRPr="007B352F">
        <w:rPr>
          <w:rFonts w:asciiTheme="minorHAnsi" w:hAnsiTheme="minorHAnsi"/>
          <w:b/>
          <w:color w:val="auto"/>
        </w:rPr>
        <w:t>Záruka za jakost</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Prodávající poskytuje na věci následující záruku</w:t>
      </w:r>
    </w:p>
    <w:p w:rsidR="007A26C5" w:rsidRPr="007B352F" w:rsidRDefault="007A26C5" w:rsidP="007A26C5">
      <w:pPr>
        <w:pStyle w:val="Vchoz"/>
        <w:rPr>
          <w:rFonts w:asciiTheme="minorHAnsi" w:hAnsiTheme="minorHAnsi"/>
          <w:color w:val="auto"/>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2416"/>
        <w:gridCol w:w="3084"/>
        <w:gridCol w:w="2745"/>
      </w:tblGrid>
      <w:tr w:rsidR="007B352F" w:rsidRPr="007B352F" w:rsidTr="00AB7A22">
        <w:trPr>
          <w:trHeight w:val="85"/>
        </w:trPr>
        <w:tc>
          <w:tcPr>
            <w:tcW w:w="2416" w:type="dxa"/>
            <w:tcBorders>
              <w:top w:val="single" w:sz="4" w:space="0" w:color="808080"/>
              <w:left w:val="single" w:sz="4" w:space="0" w:color="808080"/>
              <w:bottom w:val="single" w:sz="18" w:space="0" w:color="808080"/>
              <w:right w:val="single" w:sz="4" w:space="0" w:color="808080"/>
            </w:tcBorders>
            <w:vAlign w:val="center"/>
          </w:tcPr>
          <w:p w:rsidR="00AB7A22" w:rsidRPr="007B352F" w:rsidRDefault="00AB7A22" w:rsidP="00DC030A">
            <w:pPr>
              <w:pStyle w:val="Vchoz"/>
              <w:rPr>
                <w:rFonts w:asciiTheme="minorHAnsi" w:hAnsiTheme="minorHAnsi"/>
                <w:b/>
                <w:color w:val="auto"/>
              </w:rPr>
            </w:pPr>
            <w:r w:rsidRPr="007B352F">
              <w:rPr>
                <w:rFonts w:asciiTheme="minorHAnsi" w:hAnsiTheme="minorHAnsi"/>
                <w:b/>
                <w:color w:val="auto"/>
              </w:rPr>
              <w:t>Věc</w:t>
            </w:r>
          </w:p>
        </w:tc>
        <w:tc>
          <w:tcPr>
            <w:tcW w:w="3084" w:type="dxa"/>
            <w:tcBorders>
              <w:top w:val="single" w:sz="4" w:space="0" w:color="808080"/>
              <w:left w:val="single" w:sz="4" w:space="0" w:color="808080"/>
              <w:bottom w:val="single" w:sz="18" w:space="0" w:color="808080"/>
              <w:right w:val="single" w:sz="4" w:space="0" w:color="808080"/>
            </w:tcBorders>
          </w:tcPr>
          <w:p w:rsidR="00AB7A22" w:rsidRPr="007B352F" w:rsidRDefault="00AB7A22" w:rsidP="00361505">
            <w:pPr>
              <w:pStyle w:val="Vchoz"/>
              <w:rPr>
                <w:rFonts w:asciiTheme="minorHAnsi" w:hAnsiTheme="minorHAnsi"/>
                <w:b/>
                <w:color w:val="auto"/>
              </w:rPr>
            </w:pPr>
            <w:r w:rsidRPr="007B352F">
              <w:rPr>
                <w:rFonts w:asciiTheme="minorHAnsi" w:hAnsiTheme="minorHAnsi"/>
                <w:b/>
                <w:color w:val="auto"/>
              </w:rPr>
              <w:t>Délka záruční doby</w:t>
            </w:r>
          </w:p>
        </w:tc>
        <w:tc>
          <w:tcPr>
            <w:tcW w:w="2745" w:type="dxa"/>
            <w:tcBorders>
              <w:top w:val="single" w:sz="4" w:space="0" w:color="808080"/>
              <w:left w:val="single" w:sz="4" w:space="0" w:color="808080"/>
              <w:bottom w:val="single" w:sz="18" w:space="0" w:color="808080"/>
              <w:right w:val="single" w:sz="4" w:space="0" w:color="808080"/>
            </w:tcBorders>
          </w:tcPr>
          <w:p w:rsidR="00AB7A22" w:rsidRPr="007B352F" w:rsidRDefault="00AB7A22" w:rsidP="00361505">
            <w:pPr>
              <w:pStyle w:val="Vchoz"/>
              <w:rPr>
                <w:rFonts w:asciiTheme="minorHAnsi" w:hAnsiTheme="minorHAnsi"/>
                <w:b/>
                <w:color w:val="auto"/>
              </w:rPr>
            </w:pPr>
            <w:r w:rsidRPr="007B352F">
              <w:rPr>
                <w:rFonts w:asciiTheme="minorHAnsi" w:hAnsiTheme="minorHAnsi"/>
                <w:b/>
                <w:color w:val="auto"/>
              </w:rPr>
              <w:t>Typ záruky</w:t>
            </w:r>
          </w:p>
        </w:tc>
      </w:tr>
      <w:tr w:rsidR="007B352F" w:rsidRPr="007B352F" w:rsidTr="00AB7A22">
        <w:trPr>
          <w:trHeight w:val="85"/>
        </w:trPr>
        <w:tc>
          <w:tcPr>
            <w:tcW w:w="2416" w:type="dxa"/>
            <w:tcBorders>
              <w:top w:val="single" w:sz="18" w:space="0" w:color="808080"/>
              <w:left w:val="single" w:sz="4" w:space="0" w:color="808080"/>
              <w:bottom w:val="single" w:sz="18" w:space="0" w:color="808080"/>
              <w:right w:val="single" w:sz="4" w:space="0" w:color="808080"/>
            </w:tcBorders>
            <w:vAlign w:val="center"/>
          </w:tcPr>
          <w:p w:rsidR="00AB7A22" w:rsidRPr="007B352F" w:rsidRDefault="004E6CD9" w:rsidP="004E6CD9">
            <w:pPr>
              <w:pStyle w:val="Vchoz"/>
              <w:rPr>
                <w:rFonts w:asciiTheme="minorHAnsi" w:hAnsiTheme="minorHAnsi"/>
                <w:b/>
                <w:color w:val="auto"/>
              </w:rPr>
            </w:pPr>
            <w:r>
              <w:rPr>
                <w:rFonts w:asciiTheme="minorHAnsi" w:hAnsiTheme="minorHAnsi"/>
                <w:b/>
                <w:color w:val="auto"/>
              </w:rPr>
              <w:t>4</w:t>
            </w:r>
            <w:r w:rsidR="007B352F" w:rsidRPr="007B352F">
              <w:rPr>
                <w:rFonts w:asciiTheme="minorHAnsi" w:hAnsiTheme="minorHAnsi"/>
                <w:b/>
                <w:color w:val="auto"/>
              </w:rPr>
              <w:t xml:space="preserve"> ks notebooku </w:t>
            </w:r>
            <w:r>
              <w:rPr>
                <w:rFonts w:asciiTheme="minorHAnsi" w:hAnsiTheme="minorHAnsi"/>
                <w:b/>
                <w:color w:val="auto"/>
              </w:rPr>
              <w:t>15,6</w:t>
            </w:r>
            <w:r w:rsidR="007B352F" w:rsidRPr="007B352F">
              <w:rPr>
                <w:rFonts w:asciiTheme="minorHAnsi" w:hAnsiTheme="minorHAnsi"/>
                <w:b/>
                <w:color w:val="auto"/>
              </w:rPr>
              <w:t>“</w:t>
            </w:r>
          </w:p>
        </w:tc>
        <w:tc>
          <w:tcPr>
            <w:tcW w:w="3084" w:type="dxa"/>
            <w:tcBorders>
              <w:top w:val="single" w:sz="18" w:space="0" w:color="808080"/>
              <w:left w:val="single" w:sz="4" w:space="0" w:color="808080"/>
              <w:bottom w:val="single" w:sz="18" w:space="0" w:color="808080"/>
              <w:right w:val="single" w:sz="4" w:space="0" w:color="808080"/>
            </w:tcBorders>
          </w:tcPr>
          <w:p w:rsidR="00AB7A22" w:rsidRPr="007B352F" w:rsidRDefault="004E6CD9" w:rsidP="00AB7A22">
            <w:pPr>
              <w:pStyle w:val="Vchoz"/>
              <w:rPr>
                <w:rFonts w:asciiTheme="minorHAnsi" w:hAnsiTheme="minorHAnsi"/>
                <w:color w:val="auto"/>
              </w:rPr>
            </w:pPr>
            <w:r>
              <w:rPr>
                <w:rFonts w:asciiTheme="minorHAnsi" w:hAnsiTheme="minorHAnsi"/>
                <w:color w:val="auto"/>
              </w:rPr>
              <w:t>24</w:t>
            </w:r>
            <w:r w:rsidR="007B352F" w:rsidRPr="007B352F">
              <w:rPr>
                <w:rFonts w:asciiTheme="minorHAnsi" w:hAnsiTheme="minorHAnsi"/>
                <w:color w:val="auto"/>
              </w:rPr>
              <w:t xml:space="preserve"> 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B352F" w:rsidRDefault="004E6CD9" w:rsidP="00361505">
            <w:pPr>
              <w:pStyle w:val="Vchoz"/>
              <w:rPr>
                <w:rFonts w:asciiTheme="minorHAnsi" w:hAnsiTheme="minorHAnsi"/>
                <w:color w:val="auto"/>
              </w:rPr>
            </w:pPr>
            <w:r>
              <w:rPr>
                <w:rFonts w:asciiTheme="minorHAnsi" w:hAnsiTheme="minorHAnsi"/>
                <w:color w:val="auto"/>
              </w:rPr>
              <w:t>NBD</w:t>
            </w:r>
          </w:p>
        </w:tc>
      </w:tr>
      <w:tr w:rsidR="007B352F" w:rsidRPr="007B352F" w:rsidTr="00AB7A22">
        <w:trPr>
          <w:trHeight w:val="85"/>
        </w:trPr>
        <w:tc>
          <w:tcPr>
            <w:tcW w:w="2416" w:type="dxa"/>
            <w:tcBorders>
              <w:top w:val="single" w:sz="18" w:space="0" w:color="808080"/>
              <w:left w:val="single" w:sz="4" w:space="0" w:color="808080"/>
              <w:bottom w:val="single" w:sz="18" w:space="0" w:color="808080"/>
              <w:right w:val="single" w:sz="4" w:space="0" w:color="808080"/>
            </w:tcBorders>
          </w:tcPr>
          <w:p w:rsidR="00AB7A22" w:rsidRPr="007B352F" w:rsidRDefault="004E6CD9" w:rsidP="00DC030A">
            <w:pPr>
              <w:pStyle w:val="Vchoz"/>
              <w:rPr>
                <w:rFonts w:asciiTheme="minorHAnsi" w:hAnsiTheme="minorHAnsi"/>
                <w:b/>
                <w:color w:val="auto"/>
              </w:rPr>
            </w:pPr>
            <w:r>
              <w:rPr>
                <w:rFonts w:asciiTheme="minorHAnsi" w:hAnsiTheme="minorHAnsi"/>
                <w:b/>
                <w:color w:val="auto"/>
              </w:rPr>
              <w:t>2</w:t>
            </w:r>
            <w:r w:rsidR="007B352F" w:rsidRPr="007B352F">
              <w:rPr>
                <w:rFonts w:asciiTheme="minorHAnsi" w:hAnsiTheme="minorHAnsi"/>
                <w:b/>
                <w:color w:val="auto"/>
              </w:rPr>
              <w:t xml:space="preserve"> ks notebooku </w:t>
            </w:r>
            <w:r>
              <w:rPr>
                <w:rFonts w:asciiTheme="minorHAnsi" w:hAnsiTheme="minorHAnsi"/>
                <w:b/>
                <w:color w:val="auto"/>
              </w:rPr>
              <w:t>13,3</w:t>
            </w:r>
            <w:r w:rsidR="007B352F" w:rsidRPr="007B352F">
              <w:rPr>
                <w:rFonts w:asciiTheme="minorHAnsi" w:hAnsiTheme="minorHAnsi"/>
                <w:b/>
                <w:color w:val="auto"/>
              </w:rPr>
              <w:t>“</w:t>
            </w:r>
          </w:p>
          <w:p w:rsidR="00AB7A22" w:rsidRPr="007B352F" w:rsidRDefault="00AB7A22" w:rsidP="00DC030A">
            <w:pPr>
              <w:pStyle w:val="Vchoz"/>
              <w:rPr>
                <w:rFonts w:asciiTheme="minorHAnsi" w:hAnsiTheme="minorHAnsi"/>
                <w:b/>
                <w:color w:val="auto"/>
              </w:rPr>
            </w:pPr>
          </w:p>
        </w:tc>
        <w:tc>
          <w:tcPr>
            <w:tcW w:w="3084" w:type="dxa"/>
            <w:tcBorders>
              <w:top w:val="single" w:sz="18" w:space="0" w:color="808080"/>
              <w:left w:val="single" w:sz="4" w:space="0" w:color="808080"/>
              <w:bottom w:val="single" w:sz="18" w:space="0" w:color="808080"/>
              <w:right w:val="single" w:sz="4" w:space="0" w:color="808080"/>
            </w:tcBorders>
          </w:tcPr>
          <w:p w:rsidR="00AB7A22" w:rsidRPr="007B352F" w:rsidRDefault="004E6CD9" w:rsidP="00AB7A22">
            <w:pPr>
              <w:pStyle w:val="Vchoz"/>
              <w:rPr>
                <w:rFonts w:asciiTheme="minorHAnsi" w:hAnsiTheme="minorHAnsi"/>
                <w:color w:val="auto"/>
              </w:rPr>
            </w:pPr>
            <w:r>
              <w:rPr>
                <w:rFonts w:asciiTheme="minorHAnsi" w:hAnsiTheme="minorHAnsi"/>
                <w:color w:val="auto"/>
              </w:rPr>
              <w:t>24</w:t>
            </w:r>
            <w:r w:rsidR="007B352F" w:rsidRPr="007B352F">
              <w:rPr>
                <w:rFonts w:asciiTheme="minorHAnsi" w:hAnsiTheme="minorHAnsi"/>
                <w:color w:val="auto"/>
              </w:rPr>
              <w:t xml:space="preserve"> 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B352F" w:rsidRDefault="004E6CD9" w:rsidP="00DC030A">
            <w:pPr>
              <w:pStyle w:val="Vchoz"/>
              <w:rPr>
                <w:rFonts w:asciiTheme="minorHAnsi" w:hAnsiTheme="minorHAnsi"/>
                <w:color w:val="auto"/>
              </w:rPr>
            </w:pPr>
            <w:r>
              <w:rPr>
                <w:rFonts w:asciiTheme="minorHAnsi" w:hAnsiTheme="minorHAnsi"/>
                <w:color w:val="auto"/>
              </w:rPr>
              <w:t>NBD</w:t>
            </w:r>
          </w:p>
        </w:tc>
      </w:tr>
    </w:tbl>
    <w:p w:rsidR="007A26C5" w:rsidRPr="007B352F" w:rsidRDefault="007A26C5" w:rsidP="007A26C5">
      <w:pPr>
        <w:pStyle w:val="Vchoz"/>
        <w:rPr>
          <w:rFonts w:asciiTheme="minorHAnsi" w:hAnsiTheme="minorHAnsi"/>
          <w:color w:val="auto"/>
        </w:rPr>
      </w:pP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Záruka dle odst. 1) běží ode dne podpisu předávacího protokolu oběma smluvními stranami.</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Jestliže dodatečně vyjde najevo vada nebo vady, na které prodávající kupujícího neupozornil, má kupující právo na bezplatnou výměnu vadné věci provedenou nejpozději do 10 dnů ode dne oznámení vady.</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Kupující má právo na úhradu nutných nákladu, které mu vznikly v souvislosti s uplatněním práv z odpovědnosti za vady.</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 xml:space="preserve">Vady musí kupující uplatnit u prodávajícího bez zbytečného odkladu poté, co se o nich dozví. </w:t>
      </w:r>
    </w:p>
    <w:p w:rsidR="007A26C5"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Uplatněním práv z odpovědnosti za vady není dotčeno právo na náhradu škody.</w:t>
      </w:r>
    </w:p>
    <w:p w:rsidR="004E6CD9" w:rsidRPr="007B352F" w:rsidRDefault="004E6CD9" w:rsidP="004E6CD9">
      <w:pPr>
        <w:pStyle w:val="Vchoz"/>
        <w:ind w:left="720"/>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lastRenderedPageBreak/>
        <w:t>Článek 6</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Smluvní pokuty</w:t>
      </w:r>
    </w:p>
    <w:p w:rsidR="007A26C5" w:rsidRPr="007B352F" w:rsidRDefault="007A26C5" w:rsidP="007A26C5">
      <w:pPr>
        <w:pStyle w:val="Vchoz"/>
        <w:numPr>
          <w:ilvl w:val="0"/>
          <w:numId w:val="7"/>
        </w:numPr>
        <w:rPr>
          <w:rFonts w:asciiTheme="minorHAnsi" w:hAnsiTheme="minorHAnsi"/>
          <w:color w:val="auto"/>
        </w:rPr>
      </w:pPr>
      <w:r w:rsidRPr="007B352F">
        <w:rPr>
          <w:rFonts w:asciiTheme="minorHAnsi" w:hAnsiTheme="minorHAnsi"/>
          <w:color w:val="auto"/>
        </w:rPr>
        <w:t>V případě prodlení prodávajícího s termínem dodávky věci je kupující oprávněn účtovat smluvní pokutu ve výši 0,05 % z celkové ceny plnění za každý byť i započatý den prodlení.</w:t>
      </w:r>
    </w:p>
    <w:p w:rsidR="007A26C5" w:rsidRPr="007B352F" w:rsidRDefault="007A26C5" w:rsidP="007A26C5">
      <w:pPr>
        <w:pStyle w:val="Vchoz"/>
        <w:numPr>
          <w:ilvl w:val="0"/>
          <w:numId w:val="7"/>
        </w:numPr>
        <w:rPr>
          <w:rFonts w:asciiTheme="minorHAnsi" w:hAnsiTheme="minorHAnsi"/>
          <w:color w:val="auto"/>
        </w:rPr>
      </w:pPr>
      <w:r w:rsidRPr="007B352F">
        <w:rPr>
          <w:rFonts w:asciiTheme="minorHAnsi" w:hAnsiTheme="minorHAnsi"/>
          <w:color w:val="auto"/>
        </w:rPr>
        <w:t>V případě prodlení kupujícího s úhradou ceny za dodávku věci, je prodávající oprávněn účtovat kupujícímu smluvní pokutu ve výši 0,05 % z dlužné částky za každý byť i započatý den prodlení.</w:t>
      </w:r>
    </w:p>
    <w:p w:rsidR="007A26C5" w:rsidRPr="007B352F" w:rsidRDefault="007A26C5" w:rsidP="007A26C5">
      <w:pPr>
        <w:pStyle w:val="Vchoz"/>
        <w:jc w:val="center"/>
        <w:rPr>
          <w:rFonts w:asciiTheme="minorHAnsi" w:hAnsiTheme="minorHAnsi"/>
          <w:b/>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7</w:t>
      </w:r>
    </w:p>
    <w:p w:rsidR="007A26C5" w:rsidRPr="007B352F" w:rsidRDefault="007A26C5" w:rsidP="007A26C5">
      <w:pPr>
        <w:pStyle w:val="Vchoz"/>
        <w:jc w:val="center"/>
        <w:rPr>
          <w:rFonts w:asciiTheme="minorHAnsi" w:hAnsiTheme="minorHAnsi"/>
          <w:b/>
          <w:bCs/>
          <w:color w:val="auto"/>
        </w:rPr>
      </w:pPr>
      <w:r w:rsidRPr="007B352F">
        <w:rPr>
          <w:rFonts w:asciiTheme="minorHAnsi" w:hAnsiTheme="minorHAnsi"/>
          <w:b/>
          <w:bCs/>
          <w:color w:val="auto"/>
        </w:rPr>
        <w:t>Licence</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nevýhradní licenci k veškerým známým způsobům užití takového díla, a to v rozsahu minimálně nezbytném pro řádné užívání díla kupujícím;</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neomezenou územním či množstevním rozsahem a rovněž tak neomezenou způsobem nebo rozsahem užití;</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udělenou na dobu určitou,</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 xml:space="preserve">licenci převoditelnou a postupitelnou, tj. která je udělena s právem postoupení licence třetí osobě </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kterou není kupující povinen využít.</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Licence je poskytnutá v maximálním rozsahu povoleném platnými právními předpisy.</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Prodávající prohlašuje, že odměna za poskytnutí licence kupujícímu je již zahrnuta v kupní ceně za poskytnuté plnění dle této kupní smlouvy.</w:t>
      </w:r>
    </w:p>
    <w:p w:rsidR="004E6CD9" w:rsidRDefault="004E6CD9" w:rsidP="007A26C5">
      <w:pPr>
        <w:pStyle w:val="Vchoz"/>
        <w:rPr>
          <w:rFonts w:asciiTheme="minorHAnsi" w:hAnsiTheme="minorHAnsi"/>
          <w:color w:val="auto"/>
        </w:rPr>
      </w:pPr>
    </w:p>
    <w:p w:rsidR="004E6CD9" w:rsidRPr="007B352F" w:rsidRDefault="004E6CD9"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8</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Ukončení smlouvy odstoupením</w:t>
      </w:r>
    </w:p>
    <w:p w:rsidR="007A26C5" w:rsidRPr="007B352F"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B352F"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Smluvní strany výslovně sjednávají, že za podstatné porušení této smlouvy ve smyslu § 1977 a § 2106 zákona č. 89/2012 Sb., občanského zákoníku, se považuje:</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lastRenderedPageBreak/>
        <w:t>dodání zboží s nevyhovujícími technickými parametry požadovanými kupujícím dle čl. 1. odst. 2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prodlení s termínem dodání delším než 15 dní</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nepravdivost prohlášení prodávajícího dle čl. 1. odst. 1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opakované prodlení s odstraněním vad dle čl. 5.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prodlení s provedením výměny předmětu koupě delším než 10 dní ode dne oznámení neodstranitelné vady anebo vady, která se vyskytla na předmětu koupě opakovaně</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zahájení insolvenčního řízení u prodávajícího nebo kupujícího</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Odstoupením od smlouvy zanikají všechna práva a povinnosti stran ze smlouvy. Odstoupení od smlouvy se však nedotýká nároku na náhradu škody vzniklé porušením smlouvy.</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9</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Závěrečná ustanovení</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Změny této smlouvy jsou možné pouze písemnými číslovanými dodatky podepsanými oprávněnými zástupci obou stran.</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Smlouva nabývá platnosti a účinnosti dnem podpisu poslední ze stran.</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Tato smlouva se řídí právním řádem České republiky.</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B352F" w:rsidRDefault="007A26C5" w:rsidP="00AB7A22">
      <w:pPr>
        <w:pStyle w:val="Vchoz"/>
        <w:numPr>
          <w:ilvl w:val="0"/>
          <w:numId w:val="8"/>
        </w:numPr>
        <w:rPr>
          <w:rFonts w:asciiTheme="minorHAnsi" w:hAnsiTheme="minorHAnsi"/>
          <w:color w:val="auto"/>
        </w:rPr>
      </w:pPr>
      <w:r w:rsidRPr="007B352F">
        <w:rPr>
          <w:rFonts w:asciiTheme="minorHAnsi" w:hAnsiTheme="minorHAnsi"/>
          <w:color w:val="auto"/>
        </w:rPr>
        <w:t xml:space="preserve">Integrální součástí této smlouvy </w:t>
      </w:r>
      <w:r w:rsidR="007D6FDB" w:rsidRPr="007B352F">
        <w:rPr>
          <w:rFonts w:asciiTheme="minorHAnsi" w:hAnsiTheme="minorHAnsi"/>
          <w:color w:val="auto"/>
        </w:rPr>
        <w:t>je t</w:t>
      </w:r>
      <w:r w:rsidRPr="007B352F">
        <w:rPr>
          <w:rFonts w:asciiTheme="minorHAnsi" w:hAnsiTheme="minorHAnsi"/>
          <w:color w:val="auto"/>
        </w:rPr>
        <w:t xml:space="preserve">echnická specifikace dodávaného IT vybavení z nabídky prodávajícího, na základě které </w:t>
      </w:r>
      <w:r w:rsidR="00AB7A22" w:rsidRPr="007B352F">
        <w:rPr>
          <w:rFonts w:asciiTheme="minorHAnsi" w:hAnsiTheme="minorHAnsi"/>
          <w:color w:val="auto"/>
        </w:rPr>
        <w:t>zvítězil v poptávkovém</w:t>
      </w:r>
      <w:r w:rsidR="007D6FDB" w:rsidRPr="007B352F">
        <w:rPr>
          <w:rFonts w:asciiTheme="minorHAnsi" w:hAnsiTheme="minorHAnsi"/>
          <w:color w:val="auto"/>
        </w:rPr>
        <w:t xml:space="preserve"> řízení</w:t>
      </w:r>
      <w:r w:rsidRPr="007B352F">
        <w:rPr>
          <w:rFonts w:asciiTheme="minorHAnsi" w:hAnsiTheme="minorHAnsi"/>
          <w:color w:val="auto"/>
        </w:rPr>
        <w:t>.</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Tato smlouva odpovídá svobodným vůlím všech zúčastněných. Všichni zúčastnění konstatují, že jejímu textu rozumí a se vší vážností s ním souhlasí. Na důkaz toho připojují své podpisy.</w:t>
      </w:r>
    </w:p>
    <w:p w:rsidR="007A26C5" w:rsidRPr="007B352F" w:rsidRDefault="007A26C5" w:rsidP="007A26C5">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szCs w:val="24"/>
        </w:rPr>
      </w:pPr>
      <w:r w:rsidRPr="007B352F">
        <w:rPr>
          <w:rFonts w:asciiTheme="minorHAnsi" w:hAnsiTheme="minorHAnsi"/>
          <w:color w:val="auto"/>
          <w:szCs w:val="24"/>
        </w:rPr>
        <w:t>V Plzni dne</w:t>
      </w:r>
      <w:r w:rsidRPr="007B352F">
        <w:rPr>
          <w:rFonts w:asciiTheme="minorHAnsi" w:hAnsiTheme="minorHAnsi"/>
          <w:color w:val="auto"/>
          <w:szCs w:val="24"/>
        </w:rPr>
        <w:tab/>
      </w:r>
      <w:proofErr w:type="gramStart"/>
      <w:r w:rsidR="00916413">
        <w:rPr>
          <w:rFonts w:asciiTheme="minorHAnsi" w:hAnsiTheme="minorHAnsi"/>
          <w:color w:val="auto"/>
          <w:szCs w:val="24"/>
        </w:rPr>
        <w:t>28.1.2019</w:t>
      </w:r>
      <w:proofErr w:type="gramEnd"/>
      <w:r w:rsidR="00916413">
        <w:rPr>
          <w:rFonts w:asciiTheme="minorHAnsi" w:hAnsiTheme="minorHAnsi"/>
          <w:color w:val="auto"/>
          <w:szCs w:val="24"/>
        </w:rPr>
        <w:tab/>
      </w:r>
      <w:r w:rsidRPr="007B352F">
        <w:rPr>
          <w:rFonts w:asciiTheme="minorHAnsi" w:hAnsiTheme="minorHAnsi"/>
          <w:color w:val="auto"/>
          <w:szCs w:val="24"/>
        </w:rPr>
        <w:tab/>
      </w:r>
      <w:r w:rsidRPr="007B352F">
        <w:rPr>
          <w:rFonts w:asciiTheme="minorHAnsi" w:hAnsiTheme="minorHAnsi"/>
          <w:color w:val="auto"/>
          <w:szCs w:val="24"/>
        </w:rPr>
        <w:tab/>
      </w:r>
      <w:r w:rsidRPr="007B352F">
        <w:rPr>
          <w:rFonts w:asciiTheme="minorHAnsi" w:hAnsiTheme="minorHAnsi"/>
          <w:color w:val="auto"/>
          <w:szCs w:val="24"/>
        </w:rPr>
        <w:tab/>
        <w:t xml:space="preserve">          V Plzni dne </w:t>
      </w:r>
      <w:r w:rsidR="00916413">
        <w:rPr>
          <w:rFonts w:asciiTheme="minorHAnsi" w:hAnsiTheme="minorHAnsi"/>
          <w:color w:val="auto"/>
          <w:szCs w:val="24"/>
        </w:rPr>
        <w:t xml:space="preserve"> 28.1.2019</w:t>
      </w:r>
    </w:p>
    <w:p w:rsidR="007A26C5" w:rsidRPr="007B352F" w:rsidRDefault="007A26C5" w:rsidP="007A26C5">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rPr>
      </w:pPr>
      <w:r w:rsidRPr="007B352F">
        <w:rPr>
          <w:rFonts w:asciiTheme="minorHAnsi" w:hAnsiTheme="minorHAnsi"/>
          <w:color w:val="auto"/>
          <w:sz w:val="22"/>
        </w:rPr>
        <w:t xml:space="preserve">      …………………………………</w:t>
      </w:r>
      <w:r w:rsidRPr="007B352F">
        <w:rPr>
          <w:rFonts w:asciiTheme="minorHAnsi" w:hAnsiTheme="minorHAnsi"/>
          <w:color w:val="auto"/>
          <w:sz w:val="22"/>
        </w:rPr>
        <w:tab/>
      </w:r>
      <w:r w:rsidRPr="007B352F">
        <w:rPr>
          <w:rFonts w:asciiTheme="minorHAnsi" w:hAnsiTheme="minorHAnsi"/>
          <w:color w:val="auto"/>
          <w:sz w:val="22"/>
        </w:rPr>
        <w:tab/>
      </w:r>
      <w:r w:rsidRPr="007B352F">
        <w:rPr>
          <w:rFonts w:asciiTheme="minorHAnsi" w:hAnsiTheme="minorHAnsi"/>
          <w:color w:val="auto"/>
          <w:sz w:val="22"/>
        </w:rPr>
        <w:tab/>
      </w:r>
      <w:r w:rsidRPr="007B352F">
        <w:rPr>
          <w:rFonts w:asciiTheme="minorHAnsi" w:hAnsiTheme="minorHAnsi"/>
          <w:color w:val="auto"/>
          <w:sz w:val="22"/>
        </w:rPr>
        <w:tab/>
      </w:r>
      <w:r w:rsidR="00E5212C" w:rsidRPr="007B352F">
        <w:rPr>
          <w:rFonts w:asciiTheme="minorHAnsi" w:hAnsiTheme="minorHAnsi"/>
          <w:color w:val="auto"/>
          <w:sz w:val="22"/>
        </w:rPr>
        <w:tab/>
      </w:r>
      <w:r w:rsidRPr="007B352F">
        <w:rPr>
          <w:rFonts w:asciiTheme="minorHAnsi" w:hAnsiTheme="minorHAnsi"/>
          <w:color w:val="auto"/>
          <w:sz w:val="22"/>
        </w:rPr>
        <w:t>…………………………………</w:t>
      </w:r>
    </w:p>
    <w:p w:rsidR="007A26C5" w:rsidRPr="007B352F" w:rsidRDefault="007A26C5" w:rsidP="007A26C5">
      <w:pPr>
        <w:pStyle w:val="Vchoz"/>
        <w:rPr>
          <w:rFonts w:asciiTheme="minorHAnsi" w:hAnsiTheme="minorHAnsi"/>
          <w:b/>
          <w:color w:val="auto"/>
        </w:rPr>
      </w:pPr>
      <w:r w:rsidRPr="007B352F">
        <w:rPr>
          <w:rFonts w:asciiTheme="minorHAnsi" w:hAnsiTheme="minorHAnsi"/>
          <w:color w:val="auto"/>
        </w:rPr>
        <w:t xml:space="preserve"> </w:t>
      </w:r>
      <w:r w:rsidRPr="007B352F">
        <w:rPr>
          <w:rFonts w:asciiTheme="minorHAnsi" w:hAnsiTheme="minorHAnsi"/>
          <w:b/>
          <w:color w:val="auto"/>
          <w:sz w:val="22"/>
          <w:szCs w:val="22"/>
        </w:rPr>
        <w:t xml:space="preserve">MUDr. </w:t>
      </w:r>
      <w:r w:rsidR="007B352F" w:rsidRPr="007B352F">
        <w:rPr>
          <w:rFonts w:asciiTheme="minorHAnsi" w:hAnsiTheme="minorHAnsi"/>
          <w:b/>
          <w:color w:val="auto"/>
          <w:sz w:val="22"/>
          <w:szCs w:val="22"/>
        </w:rPr>
        <w:t xml:space="preserve">et Bc. </w:t>
      </w:r>
      <w:r w:rsidRPr="007B352F">
        <w:rPr>
          <w:rFonts w:asciiTheme="minorHAnsi" w:hAnsiTheme="minorHAnsi"/>
          <w:b/>
          <w:color w:val="auto"/>
          <w:sz w:val="22"/>
          <w:szCs w:val="22"/>
        </w:rPr>
        <w:t>Pavel Hrdlička</w:t>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b/>
          <w:color w:val="auto"/>
          <w:sz w:val="22"/>
          <w:szCs w:val="22"/>
        </w:rPr>
        <w:tab/>
      </w:r>
      <w:r w:rsidR="007B352F" w:rsidRPr="007B352F">
        <w:rPr>
          <w:rFonts w:asciiTheme="minorHAnsi" w:hAnsiTheme="minorHAnsi"/>
          <w:b/>
          <w:color w:val="auto"/>
          <w:sz w:val="22"/>
          <w:szCs w:val="22"/>
        </w:rPr>
        <w:t xml:space="preserve">    Ing. Karel Kohout</w:t>
      </w:r>
    </w:p>
    <w:p w:rsidR="0011581A" w:rsidRPr="007B352F" w:rsidRDefault="007A26C5" w:rsidP="007A26C5">
      <w:pPr>
        <w:rPr>
          <w:rFonts w:asciiTheme="minorHAnsi" w:hAnsiTheme="minorHAnsi"/>
        </w:rPr>
      </w:pPr>
      <w:r w:rsidRPr="007B352F">
        <w:rPr>
          <w:rFonts w:asciiTheme="minorHAnsi" w:hAnsiTheme="minorHAnsi"/>
          <w:sz w:val="22"/>
          <w:szCs w:val="22"/>
        </w:rPr>
        <w:t xml:space="preserve">                  ředitel  </w:t>
      </w:r>
      <w:r w:rsidR="00E5212C" w:rsidRPr="007B352F">
        <w:rPr>
          <w:rFonts w:asciiTheme="minorHAnsi" w:hAnsiTheme="minorHAnsi"/>
          <w:sz w:val="22"/>
        </w:rPr>
        <w:t xml:space="preserve">             </w:t>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7B352F" w:rsidRPr="007B352F">
        <w:rPr>
          <w:rFonts w:asciiTheme="minorHAnsi" w:hAnsiTheme="minorHAnsi"/>
          <w:sz w:val="22"/>
        </w:rPr>
        <w:t xml:space="preserve">             </w:t>
      </w:r>
      <w:r w:rsidR="00E5212C" w:rsidRPr="007B352F">
        <w:rPr>
          <w:rFonts w:asciiTheme="minorHAnsi" w:hAnsiTheme="minorHAnsi"/>
          <w:sz w:val="22"/>
        </w:rPr>
        <w:t xml:space="preserve"> </w:t>
      </w:r>
      <w:r w:rsidR="007B352F" w:rsidRPr="007B352F">
        <w:rPr>
          <w:rFonts w:asciiTheme="minorHAnsi" w:hAnsiTheme="minorHAnsi"/>
          <w:sz w:val="22"/>
        </w:rPr>
        <w:t>jednatel</w:t>
      </w:r>
    </w:p>
    <w:sectPr w:rsidR="0011581A" w:rsidRPr="007B352F" w:rsidSect="00AB7A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E2"/>
    <w:rsid w:val="002D3491"/>
    <w:rsid w:val="00307CC5"/>
    <w:rsid w:val="004E6CD9"/>
    <w:rsid w:val="007A26C5"/>
    <w:rsid w:val="007B352F"/>
    <w:rsid w:val="007B60E2"/>
    <w:rsid w:val="007C243E"/>
    <w:rsid w:val="007D6FDB"/>
    <w:rsid w:val="008F2954"/>
    <w:rsid w:val="00911E49"/>
    <w:rsid w:val="00916413"/>
    <w:rsid w:val="009A5180"/>
    <w:rsid w:val="00AB7A22"/>
    <w:rsid w:val="00AD1A31"/>
    <w:rsid w:val="00D27EB6"/>
    <w:rsid w:val="00DC1711"/>
    <w:rsid w:val="00E5212C"/>
    <w:rsid w:val="00F65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A8BF0-3E5B-476F-94C6-8EFA48B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8138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Petr Jáchim</cp:lastModifiedBy>
  <cp:revision>3</cp:revision>
  <dcterms:created xsi:type="dcterms:W3CDTF">2019-01-29T06:17:00Z</dcterms:created>
  <dcterms:modified xsi:type="dcterms:W3CDTF">2019-01-29T06:20:00Z</dcterms:modified>
</cp:coreProperties>
</file>