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90" w:rsidRPr="00CF74B3" w:rsidRDefault="00A83290" w:rsidP="00A83290">
      <w:pPr>
        <w:jc w:val="center"/>
        <w:rPr>
          <w:caps/>
          <w:spacing w:val="100"/>
          <w:sz w:val="28"/>
          <w:szCs w:val="28"/>
        </w:rPr>
      </w:pPr>
    </w:p>
    <w:p w:rsidR="00A83290" w:rsidRDefault="00A83290" w:rsidP="00A83290">
      <w:pPr>
        <w:jc w:val="center"/>
        <w:rPr>
          <w:caps/>
          <w:spacing w:val="100"/>
          <w:sz w:val="28"/>
          <w:szCs w:val="28"/>
        </w:rPr>
      </w:pPr>
    </w:p>
    <w:p w:rsidR="00A83290" w:rsidRDefault="00A83290" w:rsidP="00A83290">
      <w:pPr>
        <w:jc w:val="center"/>
        <w:rPr>
          <w:caps/>
          <w:spacing w:val="100"/>
          <w:sz w:val="28"/>
          <w:szCs w:val="28"/>
        </w:rPr>
      </w:pPr>
    </w:p>
    <w:p w:rsidR="00A83290" w:rsidRDefault="00A83290" w:rsidP="00A83290">
      <w:pPr>
        <w:jc w:val="center"/>
        <w:rPr>
          <w:caps/>
          <w:spacing w:val="100"/>
          <w:sz w:val="28"/>
          <w:szCs w:val="28"/>
        </w:rPr>
      </w:pPr>
    </w:p>
    <w:p w:rsidR="00A83290" w:rsidRDefault="00A83290" w:rsidP="00A83290">
      <w:pPr>
        <w:jc w:val="center"/>
        <w:rPr>
          <w:caps/>
          <w:spacing w:val="100"/>
          <w:sz w:val="28"/>
          <w:szCs w:val="28"/>
        </w:rPr>
      </w:pPr>
    </w:p>
    <w:p w:rsidR="00A83290" w:rsidRDefault="00A83290" w:rsidP="00A83290">
      <w:pPr>
        <w:jc w:val="center"/>
        <w:rPr>
          <w:caps/>
          <w:spacing w:val="100"/>
          <w:sz w:val="28"/>
          <w:szCs w:val="28"/>
        </w:rPr>
      </w:pPr>
    </w:p>
    <w:p w:rsidR="00A83290" w:rsidRDefault="00A83290" w:rsidP="00A83290">
      <w:pPr>
        <w:jc w:val="center"/>
        <w:rPr>
          <w:caps/>
          <w:spacing w:val="100"/>
          <w:sz w:val="28"/>
          <w:szCs w:val="28"/>
        </w:rPr>
      </w:pPr>
    </w:p>
    <w:p w:rsidR="00A83290" w:rsidRPr="00D44AFA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D44AFA" w:rsidRDefault="00A83290" w:rsidP="00A83290">
      <w:pPr>
        <w:jc w:val="center"/>
      </w:pPr>
    </w:p>
    <w:p w:rsidR="00A83290" w:rsidRPr="00D44AFA" w:rsidRDefault="00A83290" w:rsidP="00A83290"/>
    <w:p w:rsidR="00A83290" w:rsidRDefault="00A83290" w:rsidP="00A83290"/>
    <w:p w:rsidR="00A83290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7C651E" w:rsidRDefault="00A83290" w:rsidP="00A83290">
      <w:pPr>
        <w:jc w:val="center"/>
        <w:outlineLvl w:val="0"/>
        <w:rPr>
          <w:b/>
          <w:sz w:val="40"/>
          <w:szCs w:val="40"/>
        </w:rPr>
      </w:pPr>
      <w:r w:rsidRPr="007C651E">
        <w:rPr>
          <w:b/>
          <w:sz w:val="40"/>
          <w:szCs w:val="40"/>
        </w:rPr>
        <w:t>Smlouva o poskytování ICT služeb</w:t>
      </w:r>
    </w:p>
    <w:p w:rsidR="00A83290" w:rsidRPr="00A550BE" w:rsidRDefault="00A83290" w:rsidP="00A83290"/>
    <w:p w:rsidR="00A83290" w:rsidRDefault="00A83290" w:rsidP="00A83290">
      <w:pPr>
        <w:jc w:val="center"/>
      </w:pPr>
      <w:r>
        <w:rPr>
          <w:noProof/>
        </w:rPr>
        <w:drawing>
          <wp:inline distT="0" distB="0" distL="0" distR="0">
            <wp:extent cx="3190875" cy="590550"/>
            <wp:effectExtent l="0" t="0" r="9525" b="0"/>
            <wp:docPr id="1" name="Obrázek 1" descr="logo_SYSTEMCONTROL_pr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YSTEMCONTROL_pres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90" w:rsidRDefault="00A83290" w:rsidP="00A83290">
      <w:pPr>
        <w:jc w:val="center"/>
      </w:pPr>
    </w:p>
    <w:p w:rsidR="00A83290" w:rsidRDefault="00A83290" w:rsidP="00A83290">
      <w:pPr>
        <w:jc w:val="center"/>
      </w:pPr>
    </w:p>
    <w:p w:rsidR="00A83290" w:rsidRPr="00A550BE" w:rsidRDefault="00A83290" w:rsidP="00A83290">
      <w:pPr>
        <w:jc w:val="center"/>
      </w:pPr>
      <w:r>
        <w:t>pro společnost</w:t>
      </w:r>
    </w:p>
    <w:p w:rsidR="00A83290" w:rsidRPr="00A550BE" w:rsidRDefault="00A83290" w:rsidP="00A83290"/>
    <w:p w:rsidR="00A83290" w:rsidRDefault="00A83290" w:rsidP="00A83290">
      <w:pPr>
        <w:jc w:val="center"/>
        <w:outlineLvl w:val="0"/>
        <w:rPr>
          <w:sz w:val="23"/>
          <w:szCs w:val="23"/>
        </w:rPr>
      </w:pPr>
      <w:r w:rsidRPr="0038169E">
        <w:t>Základní škola Ostrava-Dubina, Františka Formana 45, příspěvková organizace</w:t>
      </w:r>
      <w:r w:rsidRPr="00B53584">
        <w:rPr>
          <w:sz w:val="23"/>
          <w:szCs w:val="23"/>
        </w:rPr>
        <w:t xml:space="preserve"> </w:t>
      </w:r>
    </w:p>
    <w:p w:rsidR="00A83290" w:rsidRPr="0038169E" w:rsidRDefault="00A83290" w:rsidP="00A83290">
      <w:pPr>
        <w:jc w:val="center"/>
        <w:outlineLvl w:val="0"/>
        <w:rPr>
          <w:sz w:val="23"/>
          <w:szCs w:val="23"/>
        </w:rPr>
      </w:pPr>
      <w:r w:rsidRPr="0038169E">
        <w:rPr>
          <w:sz w:val="23"/>
          <w:szCs w:val="23"/>
        </w:rPr>
        <w:t>Františka Formana 268/45, Ostrava-Dubina, 700 30</w:t>
      </w:r>
    </w:p>
    <w:p w:rsidR="00A83290" w:rsidRPr="00D44AFA" w:rsidRDefault="00A83290" w:rsidP="00A83290">
      <w:pPr>
        <w:jc w:val="center"/>
      </w:pPr>
    </w:p>
    <w:p w:rsidR="00A83290" w:rsidRPr="00D44AFA" w:rsidRDefault="00A83290" w:rsidP="00A83290"/>
    <w:p w:rsidR="00A83290" w:rsidRDefault="00A83290" w:rsidP="00A83290"/>
    <w:p w:rsidR="00A83290" w:rsidRPr="004102A3" w:rsidRDefault="00A83290" w:rsidP="00A83290">
      <w:pPr>
        <w:jc w:val="center"/>
        <w:outlineLvl w:val="0"/>
      </w:pPr>
      <w:r w:rsidRPr="004102A3">
        <w:t xml:space="preserve">Číslo smlouvy: </w:t>
      </w:r>
    </w:p>
    <w:p w:rsidR="00A83290" w:rsidRDefault="00A83290" w:rsidP="00A83290"/>
    <w:p w:rsidR="00A83290" w:rsidRDefault="00A83290" w:rsidP="00A83290"/>
    <w:p w:rsidR="00A83290" w:rsidRDefault="00A83290" w:rsidP="00A83290">
      <w:pPr>
        <w:jc w:val="center"/>
      </w:pPr>
      <w:r>
        <w:t>2018/SOPITS/55/05</w:t>
      </w:r>
    </w:p>
    <w:p w:rsidR="00A83290" w:rsidRDefault="00A83290" w:rsidP="00A83290"/>
    <w:p w:rsidR="00A83290" w:rsidRDefault="00A83290" w:rsidP="00A83290"/>
    <w:p w:rsidR="00A83290" w:rsidRDefault="00A83290" w:rsidP="00A83290"/>
    <w:p w:rsidR="00A83290" w:rsidRDefault="00A83290" w:rsidP="00A83290"/>
    <w:p w:rsidR="00A83290" w:rsidRDefault="00A83290" w:rsidP="00A83290"/>
    <w:p w:rsidR="00A83290" w:rsidRDefault="00A83290" w:rsidP="00A83290"/>
    <w:p w:rsidR="00A83290" w:rsidRDefault="00A83290" w:rsidP="00A83290"/>
    <w:p w:rsidR="00A83290" w:rsidRDefault="00A83290" w:rsidP="00A83290"/>
    <w:p w:rsidR="00A83290" w:rsidRPr="00D44AFA" w:rsidRDefault="00A83290" w:rsidP="00A83290"/>
    <w:p w:rsidR="00A83290" w:rsidRPr="00D44AFA" w:rsidRDefault="00A83290" w:rsidP="00A83290"/>
    <w:p w:rsidR="00A83290" w:rsidRPr="009563F9" w:rsidRDefault="00A83290" w:rsidP="00A83290">
      <w:pPr>
        <w:pBdr>
          <w:bottom w:val="single" w:sz="4" w:space="1" w:color="auto"/>
        </w:pBdr>
        <w:outlineLvl w:val="0"/>
        <w:rPr>
          <w:b/>
          <w:spacing w:val="40"/>
          <w:sz w:val="28"/>
          <w:szCs w:val="28"/>
        </w:rPr>
      </w:pPr>
      <w:r>
        <w:br w:type="page"/>
      </w:r>
      <w:r w:rsidRPr="009563F9">
        <w:rPr>
          <w:b/>
          <w:spacing w:val="40"/>
          <w:sz w:val="28"/>
          <w:szCs w:val="28"/>
        </w:rPr>
        <w:lastRenderedPageBreak/>
        <w:t>Smlouva o poskytování ICT služeb</w:t>
      </w:r>
    </w:p>
    <w:p w:rsidR="00A83290" w:rsidRDefault="00A83290" w:rsidP="00A83290">
      <w:pPr>
        <w:rPr>
          <w:b/>
        </w:rPr>
      </w:pPr>
    </w:p>
    <w:p w:rsidR="00A83290" w:rsidRPr="001B2F52" w:rsidRDefault="00A83290" w:rsidP="00A83290">
      <w:pPr>
        <w:shd w:val="clear" w:color="auto" w:fill="E6E6E6"/>
        <w:jc w:val="center"/>
        <w:outlineLvl w:val="0"/>
        <w:rPr>
          <w:b/>
          <w:sz w:val="22"/>
          <w:szCs w:val="22"/>
        </w:rPr>
      </w:pPr>
      <w:r w:rsidRPr="001B2F52">
        <w:rPr>
          <w:b/>
          <w:sz w:val="22"/>
          <w:szCs w:val="22"/>
        </w:rPr>
        <w:t>Smluvní strany</w:t>
      </w:r>
    </w:p>
    <w:p w:rsidR="00A83290" w:rsidRPr="00A64966" w:rsidRDefault="00A83290" w:rsidP="00A8329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658"/>
        <w:gridCol w:w="2565"/>
        <w:gridCol w:w="332"/>
        <w:gridCol w:w="1058"/>
        <w:gridCol w:w="748"/>
        <w:gridCol w:w="2049"/>
      </w:tblGrid>
      <w:tr w:rsidR="00A83290" w:rsidTr="006054D7">
        <w:tc>
          <w:tcPr>
            <w:tcW w:w="27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b/>
                <w:sz w:val="20"/>
                <w:szCs w:val="20"/>
              </w:rPr>
            </w:pPr>
            <w:r w:rsidRPr="00105720">
              <w:rPr>
                <w:b/>
                <w:sz w:val="20"/>
                <w:szCs w:val="20"/>
              </w:rPr>
              <w:t>Odběratel: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b/>
                <w:sz w:val="20"/>
                <w:szCs w:val="20"/>
              </w:rPr>
            </w:pPr>
            <w:r w:rsidRPr="00105720">
              <w:rPr>
                <w:b/>
                <w:sz w:val="20"/>
                <w:szCs w:val="20"/>
              </w:rPr>
              <w:t>Dodavatel: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Obchodní jméno (dále jen „odběratel“)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Obchodní jméno (dále jen „dodavatel“)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Základní škola Ostrava-Dubina, Františka Formana 45, příspěvková organizace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SYSTEMCONTROL s.r.o.</w:t>
            </w:r>
          </w:p>
        </w:tc>
      </w:tr>
      <w:tr w:rsidR="00A83290" w:rsidTr="006054D7">
        <w:tc>
          <w:tcPr>
            <w:tcW w:w="102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IČ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DIČ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IČ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DIČ</w:t>
            </w:r>
          </w:p>
        </w:tc>
      </w:tr>
      <w:tr w:rsidR="00A83290" w:rsidTr="006054D7">
        <w:tc>
          <w:tcPr>
            <w:tcW w:w="10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noProof/>
                <w:sz w:val="20"/>
                <w:szCs w:val="20"/>
              </w:rPr>
            </w:pPr>
            <w:r w:rsidRPr="00105720">
              <w:rPr>
                <w:noProof/>
                <w:sz w:val="20"/>
                <w:szCs w:val="20"/>
              </w:rPr>
              <w:t>70944661</w:t>
            </w:r>
          </w:p>
        </w:tc>
        <w:tc>
          <w:tcPr>
            <w:tcW w:w="176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noProof/>
                <w:sz w:val="20"/>
                <w:szCs w:val="20"/>
              </w:rPr>
            </w:pPr>
            <w:r w:rsidRPr="00105720">
              <w:rPr>
                <w:noProof/>
                <w:sz w:val="20"/>
                <w:szCs w:val="20"/>
              </w:rPr>
              <w:t>neplátce DPH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28579216</w:t>
            </w:r>
          </w:p>
        </w:tc>
        <w:tc>
          <w:tcPr>
            <w:tcW w:w="1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CZ28579216,</w:t>
            </w:r>
          </w:p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Plátce DPH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Společnost je zapsána v obchodním rejstříku (OR) u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Společnost je zapsána v OR u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noProof/>
                <w:sz w:val="20"/>
                <w:szCs w:val="20"/>
              </w:rPr>
            </w:pPr>
            <w:r w:rsidRPr="00105720">
              <w:rPr>
                <w:noProof/>
                <w:sz w:val="20"/>
                <w:szCs w:val="20"/>
              </w:rPr>
              <w:t>Krajského soudu v</w:t>
            </w:r>
            <w:r>
              <w:rPr>
                <w:noProof/>
                <w:sz w:val="20"/>
                <w:szCs w:val="20"/>
              </w:rPr>
              <w:t> </w:t>
            </w:r>
            <w:r w:rsidRPr="00105720">
              <w:rPr>
                <w:noProof/>
                <w:sz w:val="20"/>
                <w:szCs w:val="20"/>
              </w:rPr>
              <w:t>Ostravě</w:t>
            </w:r>
            <w:r>
              <w:rPr>
                <w:noProof/>
                <w:sz w:val="20"/>
                <w:szCs w:val="20"/>
              </w:rPr>
              <w:t xml:space="preserve"> oddíl Pr, vložka č. 55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Krajského soudu v Ostravě, oddíl C, vložka 32901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Sídlem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Sídlem</w:t>
            </w:r>
          </w:p>
        </w:tc>
      </w:tr>
      <w:tr w:rsidR="00A83290" w:rsidTr="006054D7">
        <w:trPr>
          <w:trHeight w:val="233"/>
        </w:trPr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noProof/>
                <w:sz w:val="20"/>
                <w:szCs w:val="20"/>
              </w:rPr>
            </w:pPr>
            <w:r w:rsidRPr="00105720">
              <w:rPr>
                <w:noProof/>
                <w:sz w:val="20"/>
                <w:szCs w:val="20"/>
              </w:rPr>
              <w:t>Františka Formana 2</w:t>
            </w:r>
            <w:r>
              <w:rPr>
                <w:noProof/>
                <w:sz w:val="20"/>
                <w:szCs w:val="20"/>
              </w:rPr>
              <w:t xml:space="preserve">68/45                                       </w:t>
            </w:r>
            <w:r w:rsidRPr="00105720">
              <w:rPr>
                <w:noProof/>
                <w:sz w:val="20"/>
                <w:szCs w:val="20"/>
              </w:rPr>
              <w:t>Ostrava-Dubina, 700 30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Pr="00105720">
              <w:rPr>
                <w:noProof/>
                <w:sz w:val="20"/>
                <w:szCs w:val="20"/>
              </w:rPr>
              <w:t>CZ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Alšova 573/16</w:t>
            </w:r>
          </w:p>
        </w:tc>
      </w:tr>
      <w:tr w:rsidR="00A83290" w:rsidTr="006054D7">
        <w:trPr>
          <w:trHeight w:val="232"/>
        </w:trPr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proofErr w:type="gramStart"/>
            <w:r w:rsidRPr="00105720">
              <w:rPr>
                <w:sz w:val="20"/>
                <w:szCs w:val="20"/>
              </w:rPr>
              <w:t>708 00  Ostrava</w:t>
            </w:r>
            <w:proofErr w:type="gramEnd"/>
            <w:r w:rsidRPr="00105720">
              <w:rPr>
                <w:sz w:val="20"/>
                <w:szCs w:val="20"/>
              </w:rPr>
              <w:t xml:space="preserve"> – Poruba, CZ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Zastoupení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Zastoupení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noProof/>
                <w:sz w:val="20"/>
                <w:szCs w:val="20"/>
              </w:rPr>
            </w:pPr>
            <w:r w:rsidRPr="00105720">
              <w:rPr>
                <w:noProof/>
                <w:sz w:val="20"/>
                <w:szCs w:val="20"/>
              </w:rPr>
              <w:t>Mgr. Ludmila Večerková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Jakub Navrátil, DBA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statutární zástupce – ředitel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statutární orgán – jednatel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Zmocněnci k jednání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Jméno a příjmení kontaktní osoby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8329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Mgr. Ludmila Večerková</w:t>
            </w:r>
          </w:p>
          <w:p w:rsidR="00A83290" w:rsidRPr="00105720" w:rsidRDefault="00A83290" w:rsidP="00605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Šárka Vlodarčíková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Jakub Navrátil</w:t>
            </w:r>
          </w:p>
        </w:tc>
      </w:tr>
      <w:tr w:rsidR="00A83290" w:rsidTr="006054D7">
        <w:tc>
          <w:tcPr>
            <w:tcW w:w="13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Telefon</w:t>
            </w:r>
          </w:p>
        </w:tc>
        <w:tc>
          <w:tcPr>
            <w:tcW w:w="139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Fax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Telefon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Telefon</w:t>
            </w:r>
          </w:p>
        </w:tc>
      </w:tr>
      <w:tr w:rsidR="00A83290" w:rsidTr="006054D7">
        <w:tc>
          <w:tcPr>
            <w:tcW w:w="139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A83290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398" w:type="pct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+ 420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A83290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+ 420 </w:t>
            </w:r>
          </w:p>
        </w:tc>
      </w:tr>
      <w:tr w:rsidR="00A83290" w:rsidTr="006054D7">
        <w:tc>
          <w:tcPr>
            <w:tcW w:w="13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E-mail</w:t>
            </w:r>
          </w:p>
        </w:tc>
        <w:tc>
          <w:tcPr>
            <w:tcW w:w="139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Jiný kontakt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E-mail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Jiný kontakt</w:t>
            </w:r>
          </w:p>
        </w:tc>
      </w:tr>
      <w:tr w:rsidR="00A83290" w:rsidTr="006054D7">
        <w:tc>
          <w:tcPr>
            <w:tcW w:w="139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139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+ 420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www.systemcontrol.cz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Bankovní spojení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Bankovní spojení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  <w:bookmarkStart w:id="0" w:name="_GoBack"/>
            <w:bookmarkEnd w:id="0"/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Komerční banka a.s.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Česká spořitelna, a.s.,</w:t>
            </w:r>
          </w:p>
        </w:tc>
      </w:tr>
      <w:tr w:rsidR="00A83290" w:rsidTr="006054D7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Pobočka Ostrava-Hrabůvka</w:t>
            </w:r>
            <w:r w:rsidRPr="00105720">
              <w:rPr>
                <w:sz w:val="20"/>
                <w:szCs w:val="20"/>
              </w:rPr>
              <w:t>, CZ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0"/>
                <w:szCs w:val="20"/>
              </w:rPr>
            </w:pPr>
            <w:r w:rsidRPr="00105720">
              <w:rPr>
                <w:sz w:val="20"/>
                <w:szCs w:val="20"/>
              </w:rPr>
              <w:t>pobočka Ostrava-Hrabůvka, Horní 55/1492, CZ</w:t>
            </w:r>
          </w:p>
        </w:tc>
      </w:tr>
    </w:tbl>
    <w:p w:rsidR="00A83290" w:rsidRPr="00D44AFA" w:rsidRDefault="00A83290" w:rsidP="00A83290"/>
    <w:p w:rsidR="00A83290" w:rsidRDefault="00A83290" w:rsidP="00A83290">
      <w:pPr>
        <w:rPr>
          <w:sz w:val="16"/>
          <w:szCs w:val="16"/>
        </w:rPr>
      </w:pPr>
    </w:p>
    <w:p w:rsidR="00A83290" w:rsidRPr="005E0508" w:rsidRDefault="00A83290" w:rsidP="00A83290">
      <w:pPr>
        <w:rPr>
          <w:sz w:val="16"/>
          <w:szCs w:val="16"/>
        </w:rPr>
      </w:pPr>
    </w:p>
    <w:p w:rsidR="00A83290" w:rsidRPr="00FC72F3" w:rsidRDefault="00A83290" w:rsidP="00A83290">
      <w:pPr>
        <w:jc w:val="center"/>
        <w:rPr>
          <w:b/>
          <w:sz w:val="22"/>
          <w:szCs w:val="22"/>
        </w:rPr>
      </w:pPr>
      <w:r w:rsidRPr="00FC72F3">
        <w:rPr>
          <w:b/>
          <w:sz w:val="22"/>
          <w:szCs w:val="22"/>
        </w:rPr>
        <w:t>uzavírají v souladu s § 262 odst. 2</w:t>
      </w:r>
      <w:r>
        <w:rPr>
          <w:b/>
          <w:sz w:val="22"/>
          <w:szCs w:val="22"/>
        </w:rPr>
        <w:t xml:space="preserve"> a</w:t>
      </w:r>
      <w:r w:rsidRPr="00FC72F3">
        <w:rPr>
          <w:b/>
          <w:sz w:val="22"/>
          <w:szCs w:val="22"/>
        </w:rPr>
        <w:t xml:space="preserve"> § 269 odst. 2 obchodního zákoníku č. 513/</w:t>
      </w:r>
      <w:r>
        <w:rPr>
          <w:b/>
          <w:sz w:val="22"/>
          <w:szCs w:val="22"/>
        </w:rPr>
        <w:t>19</w:t>
      </w:r>
      <w:r w:rsidRPr="00FC72F3">
        <w:rPr>
          <w:b/>
          <w:sz w:val="22"/>
          <w:szCs w:val="22"/>
        </w:rPr>
        <w:t>91 Sb. v platném znění tuto smlouvu:</w:t>
      </w:r>
    </w:p>
    <w:p w:rsidR="00A83290" w:rsidRDefault="00A83290" w:rsidP="00A83290">
      <w:pPr>
        <w:rPr>
          <w:sz w:val="22"/>
          <w:szCs w:val="22"/>
        </w:rPr>
      </w:pPr>
    </w:p>
    <w:p w:rsidR="00A83290" w:rsidRDefault="00A83290" w:rsidP="00A83290">
      <w:pPr>
        <w:rPr>
          <w:sz w:val="22"/>
          <w:szCs w:val="22"/>
        </w:rPr>
      </w:pPr>
    </w:p>
    <w:p w:rsidR="00A83290" w:rsidRPr="00FC72F3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FC72F3">
        <w:rPr>
          <w:b/>
          <w:sz w:val="22"/>
          <w:szCs w:val="22"/>
        </w:rPr>
        <w:t>I. Předmět plnění</w:t>
      </w:r>
    </w:p>
    <w:p w:rsidR="00A83290" w:rsidRPr="000A6BE3" w:rsidRDefault="00A83290" w:rsidP="00A83290">
      <w:pPr>
        <w:rPr>
          <w:sz w:val="22"/>
          <w:szCs w:val="22"/>
          <w:u w:val="single"/>
        </w:rPr>
      </w:pPr>
      <w:r w:rsidRPr="000A6BE3">
        <w:rPr>
          <w:sz w:val="22"/>
          <w:szCs w:val="22"/>
          <w:u w:val="single"/>
        </w:rPr>
        <w:t>Předmětem plnění se rozumí: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 xml:space="preserve">Poradenství v oblasti výpočetní techniky – softwaru a hardwaru 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>Komplexní správa sítě, serveru, datových zdrojů, aktivních a pasivních prvků s ní přímo spojených. Správou se rozumí udržování těchto zařízení v provozuschopném stavu dle dané aplikace, určení a zajištění funkce nasazeného uživatelského prostředí. Správa se nevztahuje na software třetích stran. Počet lokálních zásahů – neomezeno.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 xml:space="preserve">Poskytnutí aplikace PES - Portál Efektivní Správy 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>Telefonická a vzdálené podpora. Počet zásahů vzdálenou správou - neomezeno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>Zpracování dat specifikovaných odběratelem, služby databank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>Poradenství a autorizovaná správa školní matriky (SW Bakaláři) dle platných zákonů včetně vstupních školení a odesílání agregovaných dat na ÚIV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>Asistence a procesní zpracování privátních certifikátů a klíčů</w:t>
      </w:r>
    </w:p>
    <w:p w:rsidR="00A83290" w:rsidRPr="00384F85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>Zpracování technických posouzení a vyřazovacích protokolů</w:t>
      </w:r>
    </w:p>
    <w:p w:rsidR="00A83290" w:rsidRDefault="00A83290" w:rsidP="00A83290">
      <w:pPr>
        <w:numPr>
          <w:ilvl w:val="0"/>
          <w:numId w:val="15"/>
        </w:numPr>
        <w:jc w:val="both"/>
        <w:rPr>
          <w:sz w:val="22"/>
          <w:szCs w:val="22"/>
        </w:rPr>
      </w:pPr>
      <w:r w:rsidRPr="00384F85">
        <w:rPr>
          <w:sz w:val="22"/>
          <w:szCs w:val="22"/>
        </w:rPr>
        <w:t>Komunikace s dodavateli služeb spojených s ICT (O2, licence Microsoft apod.)</w:t>
      </w:r>
    </w:p>
    <w:p w:rsidR="00A83290" w:rsidRPr="00A97BF0" w:rsidRDefault="00A83290" w:rsidP="00A83290">
      <w:pPr>
        <w:ind w:firstLine="360"/>
        <w:jc w:val="both"/>
        <w:rPr>
          <w:sz w:val="22"/>
          <w:szCs w:val="22"/>
        </w:rPr>
      </w:pPr>
      <w:r w:rsidRPr="00A97BF0">
        <w:rPr>
          <w:sz w:val="22"/>
          <w:szCs w:val="22"/>
        </w:rPr>
        <w:t>10.</w:t>
      </w:r>
      <w:r w:rsidRPr="00A97BF0">
        <w:rPr>
          <w:sz w:val="22"/>
          <w:szCs w:val="22"/>
        </w:rPr>
        <w:tab/>
        <w:t xml:space="preserve">Správa a servis EZS, tedy především – vzdálená kontrola </w:t>
      </w:r>
      <w:r>
        <w:rPr>
          <w:sz w:val="22"/>
          <w:szCs w:val="22"/>
        </w:rPr>
        <w:t>a konfigurace, lokální servis a</w:t>
      </w:r>
    </w:p>
    <w:p w:rsidR="00A83290" w:rsidRPr="00A97BF0" w:rsidRDefault="00A83290" w:rsidP="00A83290">
      <w:pPr>
        <w:ind w:left="708" w:firstLine="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údržba, </w:t>
      </w:r>
      <w:r w:rsidRPr="00A97BF0">
        <w:rPr>
          <w:sz w:val="22"/>
          <w:szCs w:val="22"/>
        </w:rPr>
        <w:t>provozní konfigurace (rozsah 2 hod měsíčně). Plně</w:t>
      </w:r>
      <w:r>
        <w:rPr>
          <w:sz w:val="22"/>
          <w:szCs w:val="22"/>
        </w:rPr>
        <w:t xml:space="preserve">ní nezahrnuje náhradní díly </w:t>
      </w:r>
      <w:proofErr w:type="gramStart"/>
      <w:r>
        <w:rPr>
          <w:sz w:val="22"/>
          <w:szCs w:val="22"/>
        </w:rPr>
        <w:t>ani  jiné</w:t>
      </w:r>
      <w:proofErr w:type="gramEnd"/>
      <w:r>
        <w:rPr>
          <w:sz w:val="22"/>
          <w:szCs w:val="22"/>
        </w:rPr>
        <w:t xml:space="preserve"> </w:t>
      </w:r>
      <w:r w:rsidRPr="00A97BF0">
        <w:rPr>
          <w:sz w:val="22"/>
          <w:szCs w:val="22"/>
        </w:rPr>
        <w:t>vyžádané komponenty a nezahrnuje úkony specializovaný</w:t>
      </w:r>
      <w:r>
        <w:rPr>
          <w:sz w:val="22"/>
          <w:szCs w:val="22"/>
        </w:rPr>
        <w:t xml:space="preserve">ch servisních center nebo úkony </w:t>
      </w:r>
      <w:r w:rsidRPr="00A97BF0">
        <w:rPr>
          <w:sz w:val="22"/>
          <w:szCs w:val="22"/>
        </w:rPr>
        <w:t>dodavatelů systémů či částí, vyžádá-li si to provozní situace nebo porucha.</w:t>
      </w:r>
    </w:p>
    <w:p w:rsidR="00A83290" w:rsidRDefault="00A83290" w:rsidP="00A83290">
      <w:pPr>
        <w:ind w:left="708" w:hanging="348"/>
        <w:jc w:val="both"/>
        <w:rPr>
          <w:sz w:val="22"/>
          <w:szCs w:val="22"/>
        </w:rPr>
      </w:pPr>
    </w:p>
    <w:p w:rsidR="00A83290" w:rsidRPr="00A97BF0" w:rsidRDefault="00A83290" w:rsidP="00A83290">
      <w:pPr>
        <w:ind w:left="708" w:hanging="348"/>
        <w:jc w:val="both"/>
        <w:rPr>
          <w:sz w:val="22"/>
          <w:szCs w:val="22"/>
        </w:rPr>
      </w:pPr>
      <w:r w:rsidRPr="00A97BF0">
        <w:rPr>
          <w:sz w:val="22"/>
          <w:szCs w:val="22"/>
        </w:rPr>
        <w:t>11.</w:t>
      </w:r>
      <w:r w:rsidRPr="00A97BF0">
        <w:rPr>
          <w:sz w:val="22"/>
          <w:szCs w:val="22"/>
        </w:rPr>
        <w:tab/>
        <w:t>Správa a servis kamerového systému – vzdálen</w:t>
      </w:r>
      <w:r>
        <w:rPr>
          <w:sz w:val="22"/>
          <w:szCs w:val="22"/>
        </w:rPr>
        <w:t xml:space="preserve">á kontrola, udržování systému v </w:t>
      </w:r>
      <w:r w:rsidRPr="00A97BF0">
        <w:rPr>
          <w:sz w:val="22"/>
          <w:szCs w:val="22"/>
        </w:rPr>
        <w:t>provozuschopném stavu, aktualizace firmware, lokální servis (rozsah 1 hod měsíčně). Plnění nezahrnuje náhradní díly ani jiné vyžádané komponenty a nezahrnuje úkony specializovaných servisních center nebo úkony dodavatelů systémů či částí, vyžádá-li si to provozní situace nebo porucha.</w:t>
      </w:r>
    </w:p>
    <w:p w:rsidR="00A83290" w:rsidRDefault="00A83290" w:rsidP="00A83290">
      <w:pPr>
        <w:ind w:left="705" w:hanging="345"/>
        <w:jc w:val="both"/>
        <w:rPr>
          <w:sz w:val="22"/>
          <w:szCs w:val="22"/>
        </w:rPr>
      </w:pPr>
      <w:r w:rsidRPr="00A97BF0">
        <w:rPr>
          <w:sz w:val="22"/>
          <w:szCs w:val="22"/>
        </w:rPr>
        <w:t>12.</w:t>
      </w:r>
      <w:r w:rsidRPr="00A97BF0">
        <w:rPr>
          <w:sz w:val="22"/>
          <w:szCs w:val="22"/>
        </w:rPr>
        <w:tab/>
        <w:t>Správa a servis telefonní sítě – správa telefonní ústředny, správa a se</w:t>
      </w:r>
      <w:r>
        <w:rPr>
          <w:sz w:val="22"/>
          <w:szCs w:val="22"/>
        </w:rPr>
        <w:t xml:space="preserve">rvis klapek (rozsah 2 hod </w:t>
      </w:r>
      <w:r w:rsidRPr="00A97BF0">
        <w:rPr>
          <w:sz w:val="22"/>
          <w:szCs w:val="22"/>
        </w:rPr>
        <w:t>měsíčně). Plnění nezahrnuje náhradní díly ani jiné vyžádané komponenty a nezahrnuje úkony specializovaných servisních center nebo úkony dodavatelů systémů či částí, vyžádá-li si to provozní situace nebo porucha</w:t>
      </w:r>
      <w:r>
        <w:rPr>
          <w:sz w:val="22"/>
          <w:szCs w:val="22"/>
        </w:rPr>
        <w:t>.</w:t>
      </w:r>
    </w:p>
    <w:p w:rsidR="00A83290" w:rsidRDefault="00A83290" w:rsidP="00A83290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A97BF0">
        <w:rPr>
          <w:sz w:val="22"/>
          <w:szCs w:val="22"/>
        </w:rPr>
        <w:t>. Správa systému jednotného času (rozsah 1 hod měsíčně). Plně</w:t>
      </w:r>
      <w:r>
        <w:rPr>
          <w:sz w:val="22"/>
          <w:szCs w:val="22"/>
        </w:rPr>
        <w:t xml:space="preserve">ní nezahrnuje náhradní díly ani </w:t>
      </w:r>
      <w:r w:rsidRPr="00A97BF0">
        <w:rPr>
          <w:sz w:val="22"/>
          <w:szCs w:val="22"/>
        </w:rPr>
        <w:t>jiné vyžádané komponenty a nezahrnuje úkony specializovaných servisních center nebo úkony dodavatelů systémů či částí, vyžádá-li si to provozní situace nebo porucha.</w:t>
      </w:r>
    </w:p>
    <w:p w:rsidR="00A83290" w:rsidRDefault="00A83290" w:rsidP="00A83290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14. Služby nad rámec smlouvy budou řešeny písemnou objednávkou a samostatnou fakturací.</w:t>
      </w:r>
    </w:p>
    <w:p w:rsidR="00A83290" w:rsidRDefault="00A83290" w:rsidP="00A83290">
      <w:pPr>
        <w:jc w:val="both"/>
        <w:rPr>
          <w:sz w:val="22"/>
          <w:szCs w:val="22"/>
        </w:rPr>
      </w:pPr>
    </w:p>
    <w:p w:rsidR="00A83290" w:rsidRPr="00384F85" w:rsidRDefault="00A83290" w:rsidP="00A83290">
      <w:pPr>
        <w:jc w:val="both"/>
        <w:rPr>
          <w:sz w:val="22"/>
          <w:szCs w:val="22"/>
        </w:rPr>
      </w:pPr>
    </w:p>
    <w:p w:rsidR="00A83290" w:rsidRPr="00384F85" w:rsidRDefault="00A83290" w:rsidP="00A83290">
      <w:pPr>
        <w:rPr>
          <w:sz w:val="22"/>
          <w:szCs w:val="22"/>
        </w:rPr>
      </w:pPr>
    </w:p>
    <w:p w:rsidR="00A83290" w:rsidRPr="00FC72F3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FC72F3">
        <w:rPr>
          <w:b/>
          <w:sz w:val="22"/>
          <w:szCs w:val="22"/>
        </w:rPr>
        <w:t>II. Místo plnění</w:t>
      </w:r>
    </w:p>
    <w:p w:rsidR="00A83290" w:rsidRPr="00A277ED" w:rsidRDefault="00A83290" w:rsidP="00A83290">
      <w:pPr>
        <w:rPr>
          <w:sz w:val="22"/>
          <w:szCs w:val="22"/>
          <w:u w:val="single"/>
        </w:rPr>
      </w:pPr>
      <w:r w:rsidRPr="00A277ED">
        <w:rPr>
          <w:sz w:val="22"/>
          <w:szCs w:val="22"/>
          <w:u w:val="single"/>
        </w:rPr>
        <w:t>Předmět plnění této smlouvy se vztahuje:</w:t>
      </w:r>
    </w:p>
    <w:p w:rsidR="00A83290" w:rsidRDefault="00A83290" w:rsidP="00A83290">
      <w:pPr>
        <w:numPr>
          <w:ilvl w:val="0"/>
          <w:numId w:val="4"/>
        </w:numPr>
        <w:spacing w:before="60" w:after="60"/>
        <w:rPr>
          <w:sz w:val="22"/>
          <w:szCs w:val="22"/>
        </w:rPr>
      </w:pPr>
      <w:r w:rsidRPr="00387946">
        <w:rPr>
          <w:sz w:val="22"/>
          <w:szCs w:val="22"/>
        </w:rPr>
        <w:t>na sídlo společnosti</w:t>
      </w:r>
      <w:r>
        <w:rPr>
          <w:sz w:val="22"/>
          <w:szCs w:val="22"/>
        </w:rPr>
        <w:t xml:space="preserve"> odběratele v místě, kde odběratel prostředky výpočetní techniky umístil. </w:t>
      </w:r>
    </w:p>
    <w:p w:rsidR="00A83290" w:rsidRDefault="00A83290" w:rsidP="00A83290">
      <w:pPr>
        <w:numPr>
          <w:ilvl w:val="0"/>
          <w:numId w:val="4"/>
        </w:numPr>
        <w:spacing w:before="60" w:after="60"/>
        <w:ind w:left="357" w:hanging="357"/>
        <w:jc w:val="both"/>
        <w:rPr>
          <w:sz w:val="22"/>
          <w:szCs w:val="22"/>
        </w:rPr>
      </w:pPr>
      <w:r w:rsidRPr="00387946">
        <w:rPr>
          <w:sz w:val="22"/>
          <w:szCs w:val="22"/>
        </w:rPr>
        <w:t>na sídlo dodavatele</w:t>
      </w:r>
      <w:r>
        <w:rPr>
          <w:sz w:val="22"/>
          <w:szCs w:val="22"/>
        </w:rPr>
        <w:t xml:space="preserve">, </w:t>
      </w:r>
      <w:r w:rsidRPr="0038794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387946">
        <w:rPr>
          <w:sz w:val="22"/>
          <w:szCs w:val="22"/>
        </w:rPr>
        <w:t>případě</w:t>
      </w:r>
      <w:r>
        <w:rPr>
          <w:sz w:val="22"/>
          <w:szCs w:val="22"/>
        </w:rPr>
        <w:t xml:space="preserve"> využití prostředků dálkového přístupu a vzdálené správy, nebo v případě, že opravu není možné z různých důvodů provést na místě, je dodavatel oprávněn po obdržení souhlasu odběratele, provést opravu v servisním středisku dodavatele.</w:t>
      </w:r>
    </w:p>
    <w:p w:rsidR="00A83290" w:rsidRDefault="00A83290" w:rsidP="00A83290">
      <w:pPr>
        <w:numPr>
          <w:ilvl w:val="0"/>
          <w:numId w:val="4"/>
        </w:numPr>
        <w:spacing w:before="60"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Dodavatel je oprávněn jednat jménem odběratele s třetími stranami, které se podílejí, nebo podílely na dodávkách zařízení nebo služeb v oblasti ICT.</w:t>
      </w:r>
    </w:p>
    <w:p w:rsidR="00A83290" w:rsidRDefault="00A83290" w:rsidP="00A83290">
      <w:pPr>
        <w:spacing w:before="60" w:after="60"/>
        <w:jc w:val="both"/>
        <w:rPr>
          <w:sz w:val="22"/>
          <w:szCs w:val="22"/>
        </w:rPr>
      </w:pPr>
    </w:p>
    <w:p w:rsidR="00A83290" w:rsidRPr="00FC72F3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FC72F3">
        <w:rPr>
          <w:b/>
          <w:sz w:val="22"/>
          <w:szCs w:val="22"/>
        </w:rPr>
        <w:t xml:space="preserve">III. </w:t>
      </w:r>
      <w:r>
        <w:rPr>
          <w:b/>
          <w:sz w:val="22"/>
          <w:szCs w:val="22"/>
        </w:rPr>
        <w:t>T</w:t>
      </w:r>
      <w:r w:rsidRPr="00FC72F3">
        <w:rPr>
          <w:b/>
          <w:sz w:val="22"/>
          <w:szCs w:val="22"/>
        </w:rPr>
        <w:t>ermíny plnění</w:t>
      </w:r>
    </w:p>
    <w:p w:rsidR="00A83290" w:rsidRDefault="00A83290" w:rsidP="00A83290">
      <w:pPr>
        <w:numPr>
          <w:ilvl w:val="0"/>
          <w:numId w:val="8"/>
        </w:numPr>
        <w:jc w:val="both"/>
        <w:rPr>
          <w:sz w:val="22"/>
          <w:szCs w:val="22"/>
        </w:rPr>
      </w:pPr>
      <w:r w:rsidRPr="00387946">
        <w:rPr>
          <w:sz w:val="22"/>
          <w:szCs w:val="22"/>
        </w:rPr>
        <w:t>Sm</w:t>
      </w:r>
      <w:r>
        <w:rPr>
          <w:sz w:val="22"/>
          <w:szCs w:val="22"/>
        </w:rPr>
        <w:t xml:space="preserve">louva se uzavírá s účinností od </w:t>
      </w:r>
      <w:proofErr w:type="gramStart"/>
      <w:r>
        <w:rPr>
          <w:sz w:val="22"/>
          <w:szCs w:val="22"/>
          <w:u w:val="single"/>
        </w:rPr>
        <w:t>01.2</w:t>
      </w:r>
      <w:r w:rsidRPr="00384F85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9</w:t>
      </w:r>
      <w:proofErr w:type="gramEnd"/>
      <w:r w:rsidRPr="00387946">
        <w:rPr>
          <w:sz w:val="22"/>
          <w:szCs w:val="22"/>
        </w:rPr>
        <w:t xml:space="preserve"> na dobu neurčitou s dvouměsíční výpovědní lhůtou, která</w:t>
      </w:r>
      <w:r>
        <w:rPr>
          <w:sz w:val="22"/>
          <w:szCs w:val="22"/>
        </w:rPr>
        <w:t> </w:t>
      </w:r>
      <w:r w:rsidRPr="00387946">
        <w:rPr>
          <w:sz w:val="22"/>
          <w:szCs w:val="22"/>
        </w:rPr>
        <w:t xml:space="preserve">počne běžet prvním dnem následujícího měsíce, po obdržení písemné výpovědi druhou smluvní stranou. </w:t>
      </w:r>
    </w:p>
    <w:p w:rsidR="00A83290" w:rsidRPr="00387946" w:rsidRDefault="00A83290" w:rsidP="00A8329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Reakční doba je 12 hodin od nahlášení v případě standardních provozních událostí, v případě havarijní události je zkracuje na 4 hodiny.</w:t>
      </w:r>
      <w:r w:rsidRPr="00224657">
        <w:rPr>
          <w:sz w:val="22"/>
          <w:szCs w:val="22"/>
        </w:rPr>
        <w:t xml:space="preserve"> Reakční dobou a reakcí se rozumí zpětná vazba společnosti SYSTEMCONTROL a navržení řešení na odstranění vzniklé provozní události nebo závady</w:t>
      </w:r>
      <w:r>
        <w:rPr>
          <w:sz w:val="22"/>
          <w:szCs w:val="22"/>
        </w:rPr>
        <w:t xml:space="preserve">. </w:t>
      </w:r>
    </w:p>
    <w:p w:rsidR="00A83290" w:rsidRDefault="00A83290" w:rsidP="00A83290">
      <w:pPr>
        <w:pStyle w:val="Zkladntext"/>
        <w:tabs>
          <w:tab w:val="left" w:pos="426"/>
          <w:tab w:val="left" w:pos="567"/>
          <w:tab w:val="left" w:pos="851"/>
        </w:tabs>
        <w:spacing w:after="0"/>
        <w:jc w:val="left"/>
        <w:rPr>
          <w:rFonts w:cs="Arial"/>
          <w:sz w:val="20"/>
        </w:rPr>
      </w:pPr>
    </w:p>
    <w:p w:rsidR="00A83290" w:rsidRDefault="00A83290" w:rsidP="00A83290">
      <w:pPr>
        <w:pStyle w:val="Zkladntext"/>
        <w:tabs>
          <w:tab w:val="left" w:pos="426"/>
          <w:tab w:val="left" w:pos="567"/>
          <w:tab w:val="left" w:pos="851"/>
        </w:tabs>
        <w:spacing w:after="0"/>
        <w:jc w:val="left"/>
        <w:rPr>
          <w:rFonts w:cs="Arial"/>
          <w:sz w:val="20"/>
        </w:rPr>
      </w:pPr>
    </w:p>
    <w:p w:rsidR="00A83290" w:rsidRPr="00AD4ABB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AD4ABB">
        <w:rPr>
          <w:b/>
          <w:sz w:val="22"/>
          <w:szCs w:val="22"/>
        </w:rPr>
        <w:t>IV. Práva a povinnosti smluvních stran</w:t>
      </w:r>
    </w:p>
    <w:p w:rsidR="00A83290" w:rsidRPr="00504FC5" w:rsidRDefault="00A83290" w:rsidP="00A83290">
      <w:pPr>
        <w:pStyle w:val="Zpat"/>
        <w:numPr>
          <w:ilvl w:val="0"/>
          <w:numId w:val="5"/>
        </w:numPr>
        <w:tabs>
          <w:tab w:val="left" w:pos="708"/>
        </w:tabs>
        <w:jc w:val="both"/>
        <w:rPr>
          <w:rFonts w:cs="Arial"/>
          <w:sz w:val="22"/>
          <w:szCs w:val="22"/>
          <w:u w:val="single"/>
        </w:rPr>
      </w:pPr>
      <w:r w:rsidRPr="00504FC5">
        <w:rPr>
          <w:rFonts w:cs="Arial"/>
          <w:sz w:val="22"/>
          <w:szCs w:val="22"/>
          <w:u w:val="single"/>
        </w:rPr>
        <w:t>Odběratel se zavazuje:</w:t>
      </w:r>
    </w:p>
    <w:p w:rsidR="00A83290" w:rsidRPr="000971A3" w:rsidRDefault="00A83290" w:rsidP="00A83290">
      <w:pPr>
        <w:numPr>
          <w:ilvl w:val="0"/>
          <w:numId w:val="1"/>
        </w:numPr>
        <w:jc w:val="both"/>
        <w:rPr>
          <w:sz w:val="22"/>
          <w:szCs w:val="22"/>
        </w:rPr>
      </w:pPr>
      <w:r w:rsidRPr="000971A3">
        <w:rPr>
          <w:sz w:val="22"/>
          <w:szCs w:val="22"/>
        </w:rPr>
        <w:t>Umožnit dodavateli ve sjednaném termín</w:t>
      </w:r>
      <w:r>
        <w:rPr>
          <w:sz w:val="22"/>
          <w:szCs w:val="22"/>
        </w:rPr>
        <w:t xml:space="preserve">u provádět dohodnutou činnost, </w:t>
      </w:r>
      <w:r w:rsidRPr="000971A3">
        <w:rPr>
          <w:sz w:val="22"/>
          <w:szCs w:val="22"/>
        </w:rPr>
        <w:t>poskytnout</w:t>
      </w:r>
      <w:r>
        <w:rPr>
          <w:sz w:val="22"/>
          <w:szCs w:val="22"/>
        </w:rPr>
        <w:t xml:space="preserve"> a zajistit</w:t>
      </w:r>
      <w:r w:rsidRPr="000971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potřebnou vlastní součinnost, ale i třetích osob, jestliže je to pro výkon služeb potřebné. </w:t>
      </w:r>
      <w:r w:rsidRPr="000971A3">
        <w:rPr>
          <w:sz w:val="22"/>
          <w:szCs w:val="22"/>
        </w:rPr>
        <w:t xml:space="preserve"> </w:t>
      </w:r>
    </w:p>
    <w:p w:rsidR="00A83290" w:rsidRDefault="00A83290" w:rsidP="00A83290">
      <w:pPr>
        <w:numPr>
          <w:ilvl w:val="0"/>
          <w:numId w:val="1"/>
        </w:numPr>
        <w:jc w:val="both"/>
        <w:rPr>
          <w:sz w:val="22"/>
          <w:szCs w:val="22"/>
        </w:rPr>
      </w:pPr>
      <w:r w:rsidRPr="000971A3">
        <w:rPr>
          <w:sz w:val="22"/>
          <w:szCs w:val="22"/>
        </w:rPr>
        <w:t xml:space="preserve">Předložit </w:t>
      </w:r>
      <w:r>
        <w:rPr>
          <w:sz w:val="22"/>
          <w:szCs w:val="22"/>
        </w:rPr>
        <w:t xml:space="preserve">dodavateli </w:t>
      </w:r>
      <w:r w:rsidRPr="000971A3">
        <w:rPr>
          <w:sz w:val="22"/>
          <w:szCs w:val="22"/>
        </w:rPr>
        <w:t>na vyžádání veškerou dokumentaci související s informačním systémem, umožnit přístup do všech prostor, ve kterých je zapotřebí ověřit funkci informačního systému a</w:t>
      </w:r>
      <w:r>
        <w:rPr>
          <w:sz w:val="22"/>
          <w:szCs w:val="22"/>
        </w:rPr>
        <w:t> </w:t>
      </w:r>
      <w:r w:rsidRPr="000971A3">
        <w:rPr>
          <w:sz w:val="22"/>
          <w:szCs w:val="22"/>
        </w:rPr>
        <w:t>poskytnout požadované informace.</w:t>
      </w:r>
    </w:p>
    <w:p w:rsidR="00A83290" w:rsidRDefault="00A83290" w:rsidP="00A8329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Umožnit dodavateli a jeho pracovníkům přístup k zařízení a programům na úrovni správce systému. </w:t>
      </w:r>
    </w:p>
    <w:p w:rsidR="00A83290" w:rsidRPr="00504FC5" w:rsidRDefault="00A83290" w:rsidP="00A83290">
      <w:pPr>
        <w:pStyle w:val="Zpat"/>
        <w:numPr>
          <w:ilvl w:val="0"/>
          <w:numId w:val="5"/>
        </w:numPr>
        <w:tabs>
          <w:tab w:val="left" w:pos="708"/>
        </w:tabs>
        <w:jc w:val="both"/>
        <w:rPr>
          <w:rFonts w:cs="Arial"/>
          <w:sz w:val="22"/>
          <w:szCs w:val="22"/>
          <w:u w:val="single"/>
        </w:rPr>
      </w:pPr>
      <w:r w:rsidRPr="00504FC5">
        <w:rPr>
          <w:rFonts w:cs="Arial"/>
          <w:sz w:val="22"/>
          <w:szCs w:val="22"/>
          <w:u w:val="single"/>
        </w:rPr>
        <w:t>Odběratel má právo:</w:t>
      </w:r>
    </w:p>
    <w:p w:rsidR="00A83290" w:rsidRPr="000971A3" w:rsidRDefault="00A83290" w:rsidP="00A83290">
      <w:pPr>
        <w:numPr>
          <w:ilvl w:val="0"/>
          <w:numId w:val="2"/>
        </w:numPr>
        <w:jc w:val="both"/>
        <w:rPr>
          <w:sz w:val="22"/>
          <w:szCs w:val="22"/>
        </w:rPr>
      </w:pPr>
      <w:r w:rsidRPr="000971A3">
        <w:rPr>
          <w:sz w:val="22"/>
          <w:szCs w:val="22"/>
        </w:rPr>
        <w:t>Být v době plnění</w:t>
      </w:r>
      <w:r>
        <w:rPr>
          <w:sz w:val="22"/>
          <w:szCs w:val="22"/>
        </w:rPr>
        <w:t xml:space="preserve"> dodavatelem</w:t>
      </w:r>
      <w:r w:rsidRPr="000971A3">
        <w:rPr>
          <w:sz w:val="22"/>
          <w:szCs w:val="22"/>
        </w:rPr>
        <w:t xml:space="preserve"> informován o stavu a průběhu prací specifikovaných v této smlouvě</w:t>
      </w:r>
      <w:r>
        <w:rPr>
          <w:sz w:val="22"/>
          <w:szCs w:val="22"/>
        </w:rPr>
        <w:t>.</w:t>
      </w:r>
    </w:p>
    <w:p w:rsidR="00A83290" w:rsidRPr="000971A3" w:rsidRDefault="00A83290" w:rsidP="00A83290">
      <w:pPr>
        <w:numPr>
          <w:ilvl w:val="0"/>
          <w:numId w:val="2"/>
        </w:numPr>
        <w:jc w:val="both"/>
        <w:rPr>
          <w:sz w:val="22"/>
          <w:szCs w:val="22"/>
        </w:rPr>
      </w:pPr>
      <w:r w:rsidRPr="000971A3">
        <w:rPr>
          <w:sz w:val="22"/>
          <w:szCs w:val="22"/>
        </w:rPr>
        <w:t xml:space="preserve">Být seznámen s výsledky plnění smlouvy. </w:t>
      </w:r>
    </w:p>
    <w:p w:rsidR="00A83290" w:rsidRPr="00504FC5" w:rsidRDefault="00A83290" w:rsidP="00A83290">
      <w:pPr>
        <w:pStyle w:val="Zpat"/>
        <w:numPr>
          <w:ilvl w:val="0"/>
          <w:numId w:val="5"/>
        </w:numPr>
        <w:tabs>
          <w:tab w:val="left" w:pos="708"/>
        </w:tabs>
        <w:jc w:val="both"/>
        <w:rPr>
          <w:rFonts w:cs="Arial"/>
          <w:sz w:val="22"/>
          <w:szCs w:val="22"/>
          <w:u w:val="single"/>
        </w:rPr>
      </w:pPr>
      <w:r w:rsidRPr="00504FC5">
        <w:rPr>
          <w:rFonts w:cs="Arial"/>
          <w:sz w:val="22"/>
          <w:szCs w:val="22"/>
          <w:u w:val="single"/>
        </w:rPr>
        <w:t>Dodavatel se zavazuje:</w:t>
      </w:r>
    </w:p>
    <w:p w:rsidR="00A83290" w:rsidRDefault="00A83290" w:rsidP="00A8329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0971A3">
        <w:rPr>
          <w:sz w:val="22"/>
          <w:szCs w:val="22"/>
        </w:rPr>
        <w:t>lnění této smlouvy ve sjednaných termínech.</w:t>
      </w:r>
    </w:p>
    <w:p w:rsidR="00A83290" w:rsidRPr="000971A3" w:rsidRDefault="00A83290" w:rsidP="00A8329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Informovat odběratele, v časovém předstihu, o rozšíření rozsahu prací nad rámec této smlouvy resp. paušálního tarifu a toto s odběratelem odsouhlasit.  </w:t>
      </w:r>
      <w:r w:rsidRPr="000971A3">
        <w:rPr>
          <w:sz w:val="22"/>
          <w:szCs w:val="22"/>
        </w:rPr>
        <w:t xml:space="preserve"> </w:t>
      </w:r>
    </w:p>
    <w:p w:rsidR="00A83290" w:rsidRPr="000971A3" w:rsidRDefault="00A83290" w:rsidP="00A83290">
      <w:pPr>
        <w:numPr>
          <w:ilvl w:val="0"/>
          <w:numId w:val="3"/>
        </w:numPr>
        <w:jc w:val="both"/>
        <w:rPr>
          <w:sz w:val="22"/>
          <w:szCs w:val="22"/>
        </w:rPr>
      </w:pPr>
      <w:r w:rsidRPr="000971A3">
        <w:rPr>
          <w:sz w:val="22"/>
          <w:szCs w:val="22"/>
        </w:rPr>
        <w:t xml:space="preserve">Zachovat mlčenlivost o informacích získaných během působení ve společnosti a bez souhlasu odběratele je </w:t>
      </w:r>
      <w:r>
        <w:rPr>
          <w:sz w:val="22"/>
          <w:szCs w:val="22"/>
        </w:rPr>
        <w:t>postupovat třetí osobě.</w:t>
      </w:r>
    </w:p>
    <w:p w:rsidR="00A83290" w:rsidRPr="000B12DC" w:rsidRDefault="00A83290" w:rsidP="00A83290">
      <w:pPr>
        <w:numPr>
          <w:ilvl w:val="0"/>
          <w:numId w:val="4"/>
        </w:numPr>
        <w:jc w:val="both"/>
        <w:rPr>
          <w:sz w:val="22"/>
          <w:szCs w:val="22"/>
          <w:u w:val="single"/>
        </w:rPr>
      </w:pPr>
      <w:r w:rsidRPr="000B12DC">
        <w:rPr>
          <w:sz w:val="22"/>
          <w:szCs w:val="22"/>
          <w:u w:val="single"/>
        </w:rPr>
        <w:t>Dodavatel je oprávněn:</w:t>
      </w:r>
    </w:p>
    <w:p w:rsidR="00A83290" w:rsidRPr="000971A3" w:rsidRDefault="00A83290" w:rsidP="00A83290">
      <w:pPr>
        <w:numPr>
          <w:ilvl w:val="0"/>
          <w:numId w:val="12"/>
        </w:numPr>
        <w:jc w:val="both"/>
        <w:rPr>
          <w:sz w:val="22"/>
          <w:szCs w:val="22"/>
        </w:rPr>
      </w:pPr>
      <w:r w:rsidRPr="000971A3">
        <w:rPr>
          <w:sz w:val="22"/>
          <w:szCs w:val="22"/>
        </w:rPr>
        <w:t>V případě nemoci za sebe vyslat adekvátní náhradu.</w:t>
      </w:r>
    </w:p>
    <w:p w:rsidR="00A83290" w:rsidRDefault="00A83290" w:rsidP="00A83290">
      <w:pPr>
        <w:rPr>
          <w:sz w:val="22"/>
          <w:szCs w:val="22"/>
        </w:rPr>
      </w:pPr>
    </w:p>
    <w:p w:rsidR="00A83290" w:rsidRPr="000971A3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0971A3">
        <w:rPr>
          <w:b/>
          <w:sz w:val="22"/>
          <w:szCs w:val="22"/>
        </w:rPr>
        <w:t>V. Cena</w:t>
      </w:r>
      <w:r>
        <w:rPr>
          <w:b/>
          <w:sz w:val="22"/>
          <w:szCs w:val="22"/>
        </w:rPr>
        <w:t xml:space="preserve"> plnění</w:t>
      </w:r>
    </w:p>
    <w:p w:rsidR="00A83290" w:rsidRPr="00504FC5" w:rsidRDefault="00A83290" w:rsidP="00A83290">
      <w:pPr>
        <w:pStyle w:val="Zpat"/>
        <w:numPr>
          <w:ilvl w:val="0"/>
          <w:numId w:val="6"/>
        </w:numPr>
        <w:tabs>
          <w:tab w:val="left" w:pos="708"/>
        </w:tabs>
        <w:jc w:val="both"/>
        <w:rPr>
          <w:rFonts w:cs="Arial"/>
          <w:sz w:val="22"/>
          <w:szCs w:val="22"/>
        </w:rPr>
      </w:pPr>
      <w:r w:rsidRPr="00504FC5">
        <w:rPr>
          <w:rFonts w:cs="Arial"/>
          <w:sz w:val="22"/>
          <w:szCs w:val="22"/>
        </w:rPr>
        <w:t>Smluvní strany se řídí ustanoveními zákonu č. 526/1990</w:t>
      </w:r>
      <w:r>
        <w:rPr>
          <w:rFonts w:cs="Arial"/>
          <w:sz w:val="22"/>
          <w:szCs w:val="22"/>
        </w:rPr>
        <w:t xml:space="preserve"> Sb.</w:t>
      </w:r>
      <w:r w:rsidRPr="00504FC5">
        <w:rPr>
          <w:rFonts w:cs="Arial"/>
          <w:sz w:val="22"/>
          <w:szCs w:val="22"/>
        </w:rPr>
        <w:t xml:space="preserve"> o cenách. V případě plnění této smlouvy, je služba poskytována – nakupována dopředu (viz. </w:t>
      </w:r>
      <w:proofErr w:type="gramStart"/>
      <w:r w:rsidRPr="00504FC5">
        <w:rPr>
          <w:rFonts w:cs="Arial"/>
          <w:sz w:val="22"/>
          <w:szCs w:val="22"/>
        </w:rPr>
        <w:t>paušální</w:t>
      </w:r>
      <w:proofErr w:type="gramEnd"/>
      <w:r w:rsidRPr="00504FC5">
        <w:rPr>
          <w:rFonts w:cs="Arial"/>
          <w:sz w:val="22"/>
          <w:szCs w:val="22"/>
        </w:rPr>
        <w:t xml:space="preserve"> tarif) a plnění je prováděno dle konkrétních požadavků odběratele. </w:t>
      </w:r>
    </w:p>
    <w:p w:rsidR="00A83290" w:rsidRDefault="00A83290" w:rsidP="00A83290">
      <w:pPr>
        <w:pStyle w:val="Zpat"/>
        <w:numPr>
          <w:ilvl w:val="0"/>
          <w:numId w:val="6"/>
        </w:numPr>
        <w:tabs>
          <w:tab w:val="left" w:pos="708"/>
        </w:tabs>
        <w:jc w:val="both"/>
        <w:rPr>
          <w:rFonts w:cs="Arial"/>
          <w:sz w:val="22"/>
          <w:szCs w:val="22"/>
        </w:rPr>
      </w:pPr>
      <w:r w:rsidRPr="00504FC5">
        <w:rPr>
          <w:rFonts w:cs="Arial"/>
          <w:sz w:val="22"/>
          <w:szCs w:val="22"/>
        </w:rPr>
        <w:t>Odběratel si paušálním tarifem předplácí práce</w:t>
      </w:r>
      <w:r>
        <w:rPr>
          <w:rFonts w:cs="Arial"/>
          <w:sz w:val="22"/>
          <w:szCs w:val="22"/>
        </w:rPr>
        <w:t xml:space="preserve"> </w:t>
      </w:r>
      <w:r w:rsidRPr="00504FC5">
        <w:rPr>
          <w:rFonts w:cs="Arial"/>
          <w:sz w:val="22"/>
          <w:szCs w:val="22"/>
        </w:rPr>
        <w:t xml:space="preserve">v rozsahu předmětu plnění. Tento paušální tarif odběratel čerpá v libovolném termínu aktuálního měsíce. </w:t>
      </w:r>
    </w:p>
    <w:p w:rsidR="00A83290" w:rsidRDefault="00A83290" w:rsidP="00A83290">
      <w:pPr>
        <w:pStyle w:val="Zpat"/>
        <w:numPr>
          <w:ilvl w:val="0"/>
          <w:numId w:val="6"/>
        </w:numPr>
        <w:tabs>
          <w:tab w:val="left" w:pos="708"/>
        </w:tabs>
        <w:jc w:val="both"/>
        <w:rPr>
          <w:rFonts w:cs="Arial"/>
          <w:sz w:val="22"/>
          <w:szCs w:val="22"/>
        </w:rPr>
      </w:pPr>
      <w:r w:rsidRPr="00DF3F61">
        <w:rPr>
          <w:rFonts w:cs="Arial"/>
          <w:sz w:val="22"/>
          <w:szCs w:val="22"/>
        </w:rPr>
        <w:t>V případě nadstandardní činnosti s vysokou odbornou náročností nebo při lokalizaci neobvyklé závady a jejího řešení se mohou smluvní strany dohodnout na úplatě nad rámec paušálního tarifu</w:t>
      </w:r>
      <w:r>
        <w:rPr>
          <w:rFonts w:cs="Arial"/>
          <w:sz w:val="22"/>
          <w:szCs w:val="22"/>
        </w:rPr>
        <w:t xml:space="preserve"> v rámci vícepráce</w:t>
      </w:r>
      <w:r w:rsidRPr="00DF3F61">
        <w:rPr>
          <w:rFonts w:cs="Arial"/>
          <w:sz w:val="22"/>
          <w:szCs w:val="22"/>
        </w:rPr>
        <w:t>.</w:t>
      </w:r>
      <w:r w:rsidRPr="00DF3F61">
        <w:rPr>
          <w:rFonts w:cs="Arial"/>
          <w:sz w:val="22"/>
          <w:szCs w:val="22"/>
        </w:rPr>
        <w:tab/>
      </w:r>
    </w:p>
    <w:p w:rsidR="00A83290" w:rsidRDefault="00A83290" w:rsidP="00A83290">
      <w:pPr>
        <w:pStyle w:val="Zkladntextodsazen"/>
        <w:tabs>
          <w:tab w:val="left" w:pos="426"/>
          <w:tab w:val="left" w:pos="851"/>
        </w:tabs>
        <w:ind w:left="0"/>
        <w:rPr>
          <w:rFonts w:cs="Arial"/>
          <w:b/>
          <w:color w:val="FF0000"/>
          <w:sz w:val="20"/>
        </w:rPr>
      </w:pPr>
    </w:p>
    <w:p w:rsidR="00A83290" w:rsidRPr="00F21DFC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F21DFC">
        <w:rPr>
          <w:b/>
          <w:sz w:val="22"/>
          <w:szCs w:val="22"/>
        </w:rPr>
        <w:t>VI.  Platební a fakturační podmínky</w:t>
      </w:r>
    </w:p>
    <w:p w:rsidR="00A83290" w:rsidRDefault="00A83290" w:rsidP="00A83290">
      <w:pPr>
        <w:pStyle w:val="Zpat"/>
        <w:numPr>
          <w:ilvl w:val="0"/>
          <w:numId w:val="7"/>
        </w:numPr>
        <w:tabs>
          <w:tab w:val="left" w:pos="708"/>
        </w:tabs>
        <w:rPr>
          <w:rFonts w:cs="Arial"/>
          <w:bCs/>
          <w:sz w:val="22"/>
          <w:szCs w:val="22"/>
        </w:rPr>
      </w:pPr>
      <w:r w:rsidRPr="005435A8">
        <w:rPr>
          <w:rFonts w:cs="Arial"/>
          <w:sz w:val="22"/>
          <w:szCs w:val="22"/>
        </w:rPr>
        <w:t xml:space="preserve">Fakturace bude provedena </w:t>
      </w:r>
      <w:r>
        <w:rPr>
          <w:rFonts w:cs="Arial"/>
          <w:sz w:val="22"/>
          <w:szCs w:val="22"/>
        </w:rPr>
        <w:t xml:space="preserve">v rozsahu </w:t>
      </w:r>
      <w:r w:rsidRPr="005435A8">
        <w:rPr>
          <w:rFonts w:cs="Arial"/>
          <w:sz w:val="22"/>
          <w:szCs w:val="22"/>
        </w:rPr>
        <w:t xml:space="preserve">předmětu </w:t>
      </w:r>
      <w:r>
        <w:rPr>
          <w:rFonts w:cs="Arial"/>
          <w:sz w:val="22"/>
          <w:szCs w:val="22"/>
        </w:rPr>
        <w:t xml:space="preserve">plnění, </w:t>
      </w:r>
      <w:r w:rsidRPr="005435A8">
        <w:rPr>
          <w:rFonts w:cs="Arial"/>
          <w:sz w:val="22"/>
          <w:szCs w:val="22"/>
        </w:rPr>
        <w:t>specifikovaného v</w:t>
      </w:r>
      <w:r>
        <w:rPr>
          <w:rFonts w:cs="Arial"/>
          <w:sz w:val="22"/>
          <w:szCs w:val="22"/>
        </w:rPr>
        <w:t> bodě 1</w:t>
      </w:r>
      <w:r w:rsidRPr="005435A8">
        <w:rPr>
          <w:rFonts w:cs="Arial"/>
          <w:sz w:val="22"/>
          <w:szCs w:val="22"/>
        </w:rPr>
        <w:t xml:space="preserve"> této smlouvy.</w:t>
      </w:r>
    </w:p>
    <w:p w:rsidR="00A83290" w:rsidRPr="005435A8" w:rsidRDefault="00A83290" w:rsidP="00A83290">
      <w:pPr>
        <w:pStyle w:val="Zpat"/>
        <w:numPr>
          <w:ilvl w:val="0"/>
          <w:numId w:val="7"/>
        </w:numPr>
        <w:tabs>
          <w:tab w:val="left" w:pos="708"/>
        </w:tabs>
        <w:jc w:val="both"/>
        <w:rPr>
          <w:rFonts w:cs="Arial"/>
          <w:sz w:val="22"/>
          <w:szCs w:val="22"/>
        </w:rPr>
      </w:pPr>
      <w:r w:rsidRPr="005435A8">
        <w:rPr>
          <w:rFonts w:cs="Arial"/>
          <w:sz w:val="22"/>
          <w:szCs w:val="22"/>
        </w:rPr>
        <w:t xml:space="preserve">Daňový doklad je </w:t>
      </w:r>
      <w:r>
        <w:rPr>
          <w:rFonts w:cs="Arial"/>
          <w:sz w:val="22"/>
          <w:szCs w:val="22"/>
        </w:rPr>
        <w:t>dodavatel</w:t>
      </w:r>
      <w:r w:rsidRPr="005435A8">
        <w:rPr>
          <w:rFonts w:cs="Arial"/>
          <w:sz w:val="22"/>
          <w:szCs w:val="22"/>
        </w:rPr>
        <w:t xml:space="preserve"> oprávněn vystavit na podkladě </w:t>
      </w:r>
      <w:r>
        <w:rPr>
          <w:rFonts w:cs="Arial"/>
          <w:sz w:val="22"/>
          <w:szCs w:val="22"/>
        </w:rPr>
        <w:t xml:space="preserve">provedeného </w:t>
      </w:r>
      <w:r w:rsidRPr="005435A8">
        <w:rPr>
          <w:rFonts w:cs="Arial"/>
          <w:sz w:val="22"/>
          <w:szCs w:val="22"/>
        </w:rPr>
        <w:t>díla prostého</w:t>
      </w:r>
      <w:r>
        <w:rPr>
          <w:rFonts w:cs="Arial"/>
          <w:sz w:val="22"/>
          <w:szCs w:val="22"/>
        </w:rPr>
        <w:t xml:space="preserve"> </w:t>
      </w:r>
      <w:r w:rsidRPr="005435A8">
        <w:rPr>
          <w:rFonts w:cs="Arial"/>
          <w:sz w:val="22"/>
          <w:szCs w:val="22"/>
        </w:rPr>
        <w:t>vad a</w:t>
      </w:r>
      <w:r>
        <w:rPr>
          <w:rFonts w:cs="Arial"/>
          <w:sz w:val="22"/>
          <w:szCs w:val="22"/>
        </w:rPr>
        <w:t xml:space="preserve"> nedodělků, vyjma úhrady paušálního tarifu (viz. </w:t>
      </w:r>
      <w:proofErr w:type="gramStart"/>
      <w:r>
        <w:rPr>
          <w:rFonts w:cs="Arial"/>
          <w:sz w:val="22"/>
          <w:szCs w:val="22"/>
        </w:rPr>
        <w:t>čl.</w:t>
      </w:r>
      <w:proofErr w:type="gramEnd"/>
      <w:r>
        <w:rPr>
          <w:rFonts w:cs="Arial"/>
          <w:sz w:val="22"/>
          <w:szCs w:val="22"/>
        </w:rPr>
        <w:t xml:space="preserve"> V, odst. 2).</w:t>
      </w:r>
    </w:p>
    <w:p w:rsidR="00A83290" w:rsidRDefault="00A83290" w:rsidP="00A83290">
      <w:pPr>
        <w:numPr>
          <w:ilvl w:val="0"/>
          <w:numId w:val="7"/>
        </w:numPr>
        <w:jc w:val="both"/>
        <w:rPr>
          <w:sz w:val="22"/>
          <w:szCs w:val="22"/>
        </w:rPr>
      </w:pPr>
      <w:r w:rsidRPr="00387946">
        <w:rPr>
          <w:sz w:val="22"/>
          <w:szCs w:val="22"/>
        </w:rPr>
        <w:t xml:space="preserve">Odběratel se zavazuje, uhradit paušální měsíční částku ve </w:t>
      </w:r>
      <w:r w:rsidRPr="00105720">
        <w:rPr>
          <w:color w:val="000000"/>
          <w:sz w:val="22"/>
          <w:szCs w:val="22"/>
        </w:rPr>
        <w:t xml:space="preserve">výši </w:t>
      </w:r>
      <w:r>
        <w:rPr>
          <w:b/>
          <w:color w:val="000000"/>
          <w:sz w:val="22"/>
          <w:szCs w:val="22"/>
        </w:rPr>
        <w:t>1395</w:t>
      </w:r>
      <w:r w:rsidRPr="00105720">
        <w:rPr>
          <w:b/>
          <w:color w:val="000000"/>
          <w:sz w:val="22"/>
          <w:szCs w:val="22"/>
        </w:rPr>
        <w:t>0,- Kč</w:t>
      </w:r>
      <w:r w:rsidRPr="00105720">
        <w:rPr>
          <w:color w:val="000000"/>
          <w:sz w:val="22"/>
          <w:szCs w:val="22"/>
        </w:rPr>
        <w:t xml:space="preserve"> (slovy: </w:t>
      </w:r>
      <w:proofErr w:type="spellStart"/>
      <w:r w:rsidRPr="00105720">
        <w:rPr>
          <w:b/>
          <w:color w:val="000000"/>
          <w:sz w:val="22"/>
          <w:szCs w:val="22"/>
        </w:rPr>
        <w:t>třináctisícdevětset</w:t>
      </w:r>
      <w:r>
        <w:rPr>
          <w:b/>
          <w:color w:val="000000"/>
          <w:sz w:val="22"/>
          <w:szCs w:val="22"/>
        </w:rPr>
        <w:t>padesát</w:t>
      </w:r>
      <w:proofErr w:type="spellEnd"/>
      <w:r w:rsidRPr="00105720">
        <w:rPr>
          <w:color w:val="000000"/>
          <w:sz w:val="22"/>
          <w:szCs w:val="22"/>
        </w:rPr>
        <w:t>) za paušální tarif, a to na základě dodavatelem vystaveného daňového</w:t>
      </w:r>
      <w:r>
        <w:rPr>
          <w:sz w:val="22"/>
          <w:szCs w:val="22"/>
        </w:rPr>
        <w:t xml:space="preserve"> dokladu, který bude vystaven vždy k prvnímu dni v měsíci, za něž je vystaven. Uvedená cena je konečná a uvedena včetně DPH.</w:t>
      </w:r>
    </w:p>
    <w:p w:rsidR="00A83290" w:rsidRDefault="00A83290" w:rsidP="00A83290">
      <w:pPr>
        <w:pStyle w:val="Zpat"/>
        <w:numPr>
          <w:ilvl w:val="0"/>
          <w:numId w:val="7"/>
        </w:numPr>
        <w:tabs>
          <w:tab w:val="left" w:pos="708"/>
        </w:tabs>
        <w:jc w:val="both"/>
        <w:rPr>
          <w:rFonts w:cs="Arial"/>
          <w:sz w:val="22"/>
          <w:szCs w:val="22"/>
        </w:rPr>
      </w:pPr>
      <w:r w:rsidRPr="005435A8">
        <w:rPr>
          <w:rFonts w:cs="Arial"/>
          <w:sz w:val="22"/>
          <w:szCs w:val="22"/>
        </w:rPr>
        <w:t xml:space="preserve">Splatnost </w:t>
      </w:r>
      <w:r>
        <w:rPr>
          <w:rFonts w:cs="Arial"/>
          <w:sz w:val="22"/>
          <w:szCs w:val="22"/>
        </w:rPr>
        <w:t xml:space="preserve">daňového dokladu, kterým odběratel hradí paušální tarif, </w:t>
      </w:r>
      <w:r w:rsidRPr="005435A8">
        <w:rPr>
          <w:rFonts w:cs="Arial"/>
          <w:sz w:val="22"/>
          <w:szCs w:val="22"/>
        </w:rPr>
        <w:t xml:space="preserve">je </w:t>
      </w:r>
      <w:r>
        <w:rPr>
          <w:rFonts w:cs="Arial"/>
          <w:sz w:val="22"/>
          <w:szCs w:val="22"/>
        </w:rPr>
        <w:t>7 kalendářních dnů od data jeho</w:t>
      </w:r>
      <w:r w:rsidRPr="005435A8">
        <w:rPr>
          <w:rFonts w:cs="Arial"/>
          <w:sz w:val="22"/>
          <w:szCs w:val="22"/>
        </w:rPr>
        <w:t xml:space="preserve"> doručení o</w:t>
      </w:r>
      <w:r>
        <w:rPr>
          <w:rFonts w:cs="Arial"/>
          <w:sz w:val="22"/>
          <w:szCs w:val="22"/>
        </w:rPr>
        <w:t>dběrateli</w:t>
      </w:r>
      <w:r w:rsidRPr="005435A8">
        <w:rPr>
          <w:rFonts w:cs="Arial"/>
          <w:sz w:val="22"/>
          <w:szCs w:val="22"/>
        </w:rPr>
        <w:t>. V</w:t>
      </w:r>
      <w:r>
        <w:rPr>
          <w:rFonts w:cs="Arial"/>
          <w:sz w:val="22"/>
          <w:szCs w:val="22"/>
        </w:rPr>
        <w:t xml:space="preserve"> případě </w:t>
      </w:r>
      <w:r w:rsidRPr="005435A8">
        <w:rPr>
          <w:rFonts w:cs="Arial"/>
          <w:sz w:val="22"/>
          <w:szCs w:val="22"/>
        </w:rPr>
        <w:t>pochybnost</w:t>
      </w:r>
      <w:r>
        <w:rPr>
          <w:rFonts w:cs="Arial"/>
          <w:sz w:val="22"/>
          <w:szCs w:val="22"/>
        </w:rPr>
        <w:t>í se má za to, že daňový doklad byl doručen třetí den</w:t>
      </w:r>
      <w:r w:rsidRPr="005435A8">
        <w:rPr>
          <w:rFonts w:cs="Arial"/>
          <w:sz w:val="22"/>
          <w:szCs w:val="22"/>
        </w:rPr>
        <w:t xml:space="preserve"> od data odeslání.</w:t>
      </w:r>
    </w:p>
    <w:p w:rsidR="00A83290" w:rsidRDefault="00A83290" w:rsidP="00A83290">
      <w:pPr>
        <w:pStyle w:val="Zpat"/>
        <w:numPr>
          <w:ilvl w:val="0"/>
          <w:numId w:val="7"/>
        </w:numPr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Splatnost daňových dokladů</w:t>
      </w:r>
      <w:r w:rsidRPr="00504FC5">
        <w:rPr>
          <w:rFonts w:cs="Arial"/>
          <w:sz w:val="22"/>
          <w:szCs w:val="22"/>
        </w:rPr>
        <w:t>, kterým odběr</w:t>
      </w:r>
      <w:r>
        <w:rPr>
          <w:rFonts w:cs="Arial"/>
          <w:sz w:val="22"/>
          <w:szCs w:val="22"/>
        </w:rPr>
        <w:t>atel hradí vícepráce, které byly</w:t>
      </w:r>
      <w:r w:rsidRPr="00504FC5">
        <w:rPr>
          <w:rFonts w:cs="Arial"/>
          <w:sz w:val="22"/>
          <w:szCs w:val="22"/>
        </w:rPr>
        <w:t xml:space="preserve"> vykonány nad</w:t>
      </w:r>
      <w:r>
        <w:rPr>
          <w:rFonts w:cs="Arial"/>
          <w:sz w:val="22"/>
          <w:szCs w:val="22"/>
        </w:rPr>
        <w:t> </w:t>
      </w:r>
      <w:r w:rsidRPr="00504FC5">
        <w:rPr>
          <w:rFonts w:cs="Arial"/>
          <w:sz w:val="22"/>
          <w:szCs w:val="22"/>
        </w:rPr>
        <w:t>stanovený paušální ta</w:t>
      </w:r>
      <w:r>
        <w:rPr>
          <w:rFonts w:cs="Arial"/>
          <w:sz w:val="22"/>
          <w:szCs w:val="22"/>
        </w:rPr>
        <w:t xml:space="preserve">rif </w:t>
      </w:r>
      <w:proofErr w:type="gramStart"/>
      <w:r>
        <w:rPr>
          <w:rFonts w:cs="Arial"/>
          <w:sz w:val="22"/>
          <w:szCs w:val="22"/>
        </w:rPr>
        <w:t>je</w:t>
      </w:r>
      <w:proofErr w:type="gramEnd"/>
      <w:r>
        <w:rPr>
          <w:rFonts w:cs="Arial"/>
          <w:sz w:val="22"/>
          <w:szCs w:val="22"/>
        </w:rPr>
        <w:t xml:space="preserve"> vždy na vzájemné dohodě.</w:t>
      </w:r>
    </w:p>
    <w:p w:rsidR="00A83290" w:rsidRDefault="00A83290" w:rsidP="00A83290">
      <w:pPr>
        <w:pStyle w:val="Zpat"/>
        <w:numPr>
          <w:ilvl w:val="0"/>
          <w:numId w:val="7"/>
        </w:numPr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Vyžádaný materiál, náhradní díly, komponenty či jiné </w:t>
      </w:r>
      <w:proofErr w:type="gramStart"/>
      <w:r>
        <w:rPr>
          <w:rFonts w:cs="Arial"/>
          <w:sz w:val="22"/>
          <w:szCs w:val="22"/>
        </w:rPr>
        <w:t>zboží</w:t>
      </w:r>
      <w:proofErr w:type="gramEnd"/>
      <w:r>
        <w:rPr>
          <w:rFonts w:cs="Arial"/>
          <w:sz w:val="22"/>
          <w:szCs w:val="22"/>
        </w:rPr>
        <w:t xml:space="preserve"> bude dodáno a následně fakturováno na základě předchozí objednávky.  </w:t>
      </w:r>
    </w:p>
    <w:p w:rsidR="00A83290" w:rsidRPr="005435A8" w:rsidRDefault="00A83290" w:rsidP="00A83290">
      <w:pPr>
        <w:pStyle w:val="Zpat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83290" w:rsidRPr="00651AD6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651AD6">
        <w:rPr>
          <w:b/>
          <w:sz w:val="22"/>
          <w:szCs w:val="22"/>
        </w:rPr>
        <w:t>VII. Smluvní pokuty a úrok z prodlení</w:t>
      </w:r>
    </w:p>
    <w:p w:rsidR="00A83290" w:rsidRDefault="00A83290" w:rsidP="00A83290">
      <w:pPr>
        <w:pStyle w:val="Zpat"/>
        <w:numPr>
          <w:ilvl w:val="0"/>
          <w:numId w:val="9"/>
        </w:numPr>
        <w:autoSpaceDN w:val="0"/>
        <w:jc w:val="both"/>
        <w:rPr>
          <w:rFonts w:cs="Arial"/>
          <w:sz w:val="22"/>
          <w:szCs w:val="22"/>
        </w:rPr>
      </w:pPr>
      <w:r w:rsidRPr="00C26C29">
        <w:rPr>
          <w:rFonts w:cs="Arial"/>
          <w:sz w:val="22"/>
          <w:szCs w:val="22"/>
        </w:rPr>
        <w:t>V případě, že odběratel neuhradí daňové doklady ve stanovené lhůtě, je dodavatel oprávněn vyúčtovat úrok z prodlení ve výši stanovené nařízením vlády č. 163/2005 Sb. z dlužné částky za každý den prodlení s její úhradou, ve výši 0,05 %.</w:t>
      </w:r>
    </w:p>
    <w:p w:rsidR="00A83290" w:rsidRDefault="00A83290" w:rsidP="00A83290">
      <w:pPr>
        <w:pStyle w:val="Zpat"/>
        <w:autoSpaceDN w:val="0"/>
        <w:jc w:val="both"/>
        <w:rPr>
          <w:rFonts w:cs="Arial"/>
          <w:sz w:val="22"/>
          <w:szCs w:val="22"/>
        </w:rPr>
      </w:pPr>
    </w:p>
    <w:p w:rsidR="00A83290" w:rsidRPr="00C26C29" w:rsidRDefault="00A83290" w:rsidP="00A83290">
      <w:pPr>
        <w:pStyle w:val="Zpat"/>
        <w:autoSpaceDN w:val="0"/>
        <w:jc w:val="both"/>
        <w:rPr>
          <w:rFonts w:cs="Arial"/>
          <w:sz w:val="22"/>
          <w:szCs w:val="22"/>
        </w:rPr>
      </w:pPr>
    </w:p>
    <w:p w:rsidR="00A83290" w:rsidRPr="000971A3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0971A3">
        <w:rPr>
          <w:b/>
          <w:sz w:val="22"/>
          <w:szCs w:val="22"/>
        </w:rPr>
        <w:t>VII</w:t>
      </w:r>
      <w:r>
        <w:rPr>
          <w:b/>
          <w:sz w:val="22"/>
          <w:szCs w:val="22"/>
        </w:rPr>
        <w:t>I</w:t>
      </w:r>
      <w:r w:rsidRPr="000971A3">
        <w:rPr>
          <w:b/>
          <w:sz w:val="22"/>
          <w:szCs w:val="22"/>
        </w:rPr>
        <w:t>. Záruka za jakost</w:t>
      </w:r>
    </w:p>
    <w:p w:rsidR="00A83290" w:rsidRDefault="00A83290" w:rsidP="00A83290">
      <w:pPr>
        <w:pStyle w:val="Zpat"/>
        <w:numPr>
          <w:ilvl w:val="0"/>
          <w:numId w:val="14"/>
        </w:numPr>
        <w:autoSpaceDN w:val="0"/>
        <w:jc w:val="both"/>
        <w:rPr>
          <w:rFonts w:cs="Arial"/>
          <w:sz w:val="22"/>
          <w:szCs w:val="22"/>
        </w:rPr>
      </w:pPr>
      <w:r w:rsidRPr="00F848E6">
        <w:rPr>
          <w:rFonts w:cs="Arial"/>
          <w:sz w:val="22"/>
          <w:szCs w:val="22"/>
        </w:rPr>
        <w:t>Dodavatel ručí za jakost a funkčnost realizovaných služeb, za předpokladu, že do předmětu plnění a informačního systému školy nezasáhne odběratel či jeho oprávněná osoba, popř. jiná strana negativně.</w:t>
      </w:r>
    </w:p>
    <w:p w:rsidR="00A83290" w:rsidRDefault="00A83290" w:rsidP="00A83290">
      <w:pPr>
        <w:pStyle w:val="Zpat"/>
        <w:numPr>
          <w:ilvl w:val="0"/>
          <w:numId w:val="14"/>
        </w:numPr>
        <w:autoSpaceDN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smlouva včetně záruky za jakost se nevztahuje na řešení mimořádných stavů vzniklých v důsledku:</w:t>
      </w:r>
    </w:p>
    <w:p w:rsidR="00A83290" w:rsidRDefault="00A83290" w:rsidP="00A83290">
      <w:pPr>
        <w:pStyle w:val="Zpat"/>
        <w:numPr>
          <w:ilvl w:val="0"/>
          <w:numId w:val="11"/>
        </w:numPr>
        <w:autoSpaceDN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náhlého a smlouvou nepředpokládaného působení přírodních sil (např. blesk, požár, výbuch, povodeň, záplava, krupobití, vichřice).</w:t>
      </w:r>
    </w:p>
    <w:p w:rsidR="00A83290" w:rsidRPr="00F848E6" w:rsidRDefault="00A83290" w:rsidP="00A83290">
      <w:pPr>
        <w:pStyle w:val="Zpat"/>
        <w:numPr>
          <w:ilvl w:val="0"/>
          <w:numId w:val="11"/>
        </w:numPr>
        <w:autoSpaceDN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nedodržení parametrů prostředí, předepsaných v uživatelské nebo technické dokumentaci výrobce prvku.</w:t>
      </w:r>
    </w:p>
    <w:p w:rsidR="00A83290" w:rsidRDefault="00A83290" w:rsidP="00A83290">
      <w:pPr>
        <w:jc w:val="both"/>
        <w:rPr>
          <w:sz w:val="22"/>
          <w:szCs w:val="22"/>
        </w:rPr>
      </w:pPr>
    </w:p>
    <w:p w:rsidR="00A83290" w:rsidRPr="00387946" w:rsidRDefault="00A83290" w:rsidP="00A83290">
      <w:pPr>
        <w:jc w:val="both"/>
        <w:rPr>
          <w:sz w:val="22"/>
          <w:szCs w:val="22"/>
        </w:rPr>
      </w:pPr>
    </w:p>
    <w:p w:rsidR="00A83290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0971A3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X</w:t>
      </w:r>
      <w:r w:rsidRPr="000971A3">
        <w:rPr>
          <w:b/>
          <w:sz w:val="22"/>
          <w:szCs w:val="22"/>
        </w:rPr>
        <w:t>. Závěrečná ustanovení</w:t>
      </w:r>
    </w:p>
    <w:p w:rsidR="00A83290" w:rsidRPr="00057D1E" w:rsidRDefault="00A83290" w:rsidP="00A83290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proofErr w:type="gramStart"/>
      <w:r w:rsidRPr="00D36EFD">
        <w:rPr>
          <w:rFonts w:cs="Arial"/>
          <w:sz w:val="22"/>
          <w:szCs w:val="22"/>
        </w:rPr>
        <w:lastRenderedPageBreak/>
        <w:t>Tuto  smlouvu</w:t>
      </w:r>
      <w:proofErr w:type="gramEnd"/>
      <w:r w:rsidRPr="00D36EFD">
        <w:rPr>
          <w:rFonts w:cs="Arial"/>
          <w:sz w:val="22"/>
          <w:szCs w:val="22"/>
        </w:rPr>
        <w:t xml:space="preserve">  lze měnit  nebo  zrušit pouze </w:t>
      </w:r>
      <w:r>
        <w:rPr>
          <w:rFonts w:cs="Arial"/>
          <w:sz w:val="22"/>
          <w:szCs w:val="22"/>
        </w:rPr>
        <w:t>písemným</w:t>
      </w:r>
      <w:r w:rsidRPr="00D36EFD">
        <w:rPr>
          <w:rFonts w:cs="Arial"/>
          <w:sz w:val="22"/>
          <w:szCs w:val="22"/>
        </w:rPr>
        <w:t>, oboustranně  potvrzeným   smluvním</w:t>
      </w:r>
      <w:r>
        <w:rPr>
          <w:rFonts w:cs="Arial"/>
          <w:sz w:val="22"/>
          <w:szCs w:val="22"/>
        </w:rPr>
        <w:t xml:space="preserve"> </w:t>
      </w:r>
      <w:r w:rsidRPr="00D36EFD">
        <w:rPr>
          <w:rFonts w:cs="Arial"/>
          <w:sz w:val="22"/>
          <w:szCs w:val="22"/>
        </w:rPr>
        <w:t>ujednáním, podepsaným pověřenými zástupci obou stran.</w:t>
      </w:r>
    </w:p>
    <w:p w:rsidR="00A83290" w:rsidRPr="00057D1E" w:rsidRDefault="00A83290" w:rsidP="00A83290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D36EFD">
        <w:rPr>
          <w:rFonts w:cs="Arial"/>
          <w:sz w:val="22"/>
          <w:szCs w:val="22"/>
        </w:rPr>
        <w:t>Dodatky k této smlouvě lze uzavírat jen v písemné formě s číselným označením dodatku.</w:t>
      </w:r>
    </w:p>
    <w:p w:rsidR="00A83290" w:rsidRPr="00D36EFD" w:rsidRDefault="00A83290" w:rsidP="00A83290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D36EFD">
        <w:rPr>
          <w:rFonts w:cs="Arial"/>
          <w:sz w:val="22"/>
          <w:szCs w:val="22"/>
        </w:rPr>
        <w:t>Práva a povinnosti neupravené touto smlouvou se řídí ustanoveními obchodní</w:t>
      </w:r>
      <w:r>
        <w:rPr>
          <w:rFonts w:cs="Arial"/>
          <w:sz w:val="22"/>
          <w:szCs w:val="22"/>
        </w:rPr>
        <w:t xml:space="preserve">ho </w:t>
      </w:r>
      <w:r w:rsidRPr="00D36EFD">
        <w:rPr>
          <w:rFonts w:cs="Arial"/>
          <w:sz w:val="22"/>
          <w:szCs w:val="22"/>
        </w:rPr>
        <w:t>zákoník</w:t>
      </w:r>
      <w:r>
        <w:rPr>
          <w:rFonts w:cs="Arial"/>
          <w:sz w:val="22"/>
          <w:szCs w:val="22"/>
        </w:rPr>
        <w:t>u č. 513/1991 Sb. ve znění pozdějších předpisů.</w:t>
      </w:r>
    </w:p>
    <w:p w:rsidR="00A83290" w:rsidRDefault="00A83290" w:rsidP="00A83290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387946">
        <w:rPr>
          <w:sz w:val="22"/>
          <w:szCs w:val="22"/>
        </w:rPr>
        <w:t xml:space="preserve">Dodavatel 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se</w:t>
      </w:r>
      <w:proofErr w:type="gramEnd"/>
      <w:r w:rsidRPr="00387946">
        <w:rPr>
          <w:sz w:val="22"/>
          <w:szCs w:val="22"/>
        </w:rPr>
        <w:t xml:space="preserve"> zavazuje, že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bude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respektovat a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chránit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důvěrnost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všech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 xml:space="preserve">informací, </w:t>
      </w:r>
      <w:r>
        <w:rPr>
          <w:sz w:val="22"/>
          <w:szCs w:val="22"/>
        </w:rPr>
        <w:t xml:space="preserve">které </w:t>
      </w:r>
      <w:r w:rsidRPr="00387946">
        <w:rPr>
          <w:sz w:val="22"/>
          <w:szCs w:val="22"/>
        </w:rPr>
        <w:t>získá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během své činnosti u odběratele, včetně všech dokumentů, a že nebude kopírovat ani jiným způsobem reprodukovat jakoukoli část dokumentů obdržených pro účely posuzování.</w:t>
      </w:r>
      <w:r>
        <w:rPr>
          <w:sz w:val="22"/>
          <w:szCs w:val="22"/>
        </w:rPr>
        <w:t xml:space="preserve"> </w:t>
      </w:r>
      <w:r w:rsidRPr="00387946">
        <w:rPr>
          <w:sz w:val="22"/>
          <w:szCs w:val="22"/>
        </w:rPr>
        <w:t>Dále</w:t>
      </w:r>
      <w:r>
        <w:rPr>
          <w:sz w:val="22"/>
          <w:szCs w:val="22"/>
        </w:rPr>
        <w:t> </w:t>
      </w:r>
      <w:r w:rsidRPr="00387946">
        <w:rPr>
          <w:sz w:val="22"/>
          <w:szCs w:val="22"/>
        </w:rPr>
        <w:t xml:space="preserve">prohlašuje, že nebude jednat žádným způsobem ke škodě pověsti organizace, pro kterou </w:t>
      </w:r>
      <w:r>
        <w:rPr>
          <w:sz w:val="22"/>
          <w:szCs w:val="22"/>
        </w:rPr>
        <w:t>vykonává služby definované touto smlouvou.</w:t>
      </w:r>
    </w:p>
    <w:p w:rsidR="00A83290" w:rsidRPr="00EE5363" w:rsidRDefault="00A83290" w:rsidP="00A8329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Tato smlouva nabývá platnosti</w:t>
      </w:r>
      <w:r w:rsidRPr="00D36EFD">
        <w:rPr>
          <w:rFonts w:cs="Arial"/>
          <w:sz w:val="22"/>
          <w:szCs w:val="22"/>
        </w:rPr>
        <w:t xml:space="preserve"> podpisem obou smluvních stran.</w:t>
      </w:r>
    </w:p>
    <w:p w:rsidR="00A83290" w:rsidRDefault="00A83290" w:rsidP="00A83290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smlouva nahrazuje a v plném rozsahu ruší všechny předchozí smlouvy a dodatky o poskytování ICT služeb, tedy především  smlouvu č. </w:t>
      </w:r>
      <w:r w:rsidRPr="00DB091C">
        <w:rPr>
          <w:rFonts w:cs="Arial"/>
          <w:sz w:val="22"/>
          <w:szCs w:val="22"/>
        </w:rPr>
        <w:t>2012/SOPITS/50/022</w:t>
      </w:r>
      <w:r>
        <w:rPr>
          <w:rFonts w:cs="Arial"/>
          <w:sz w:val="22"/>
          <w:szCs w:val="22"/>
        </w:rPr>
        <w:t xml:space="preserve"> a dodatek </w:t>
      </w:r>
      <w:proofErr w:type="gramStart"/>
      <w:r>
        <w:rPr>
          <w:rFonts w:cs="Arial"/>
          <w:sz w:val="22"/>
          <w:szCs w:val="22"/>
        </w:rPr>
        <w:t>č.1 ke</w:t>
      </w:r>
      <w:proofErr w:type="gramEnd"/>
      <w:r>
        <w:rPr>
          <w:rFonts w:cs="Arial"/>
          <w:sz w:val="22"/>
          <w:szCs w:val="22"/>
        </w:rPr>
        <w:t xml:space="preserve"> smlouvě </w:t>
      </w:r>
      <w:r w:rsidRPr="00DB091C">
        <w:rPr>
          <w:rFonts w:cs="Arial"/>
          <w:sz w:val="22"/>
          <w:szCs w:val="22"/>
        </w:rPr>
        <w:t>č. 2012/SOPITS/50/022</w:t>
      </w:r>
      <w:r>
        <w:rPr>
          <w:rFonts w:cs="Arial"/>
          <w:sz w:val="22"/>
          <w:szCs w:val="22"/>
        </w:rPr>
        <w:t>.</w:t>
      </w:r>
    </w:p>
    <w:p w:rsidR="00A83290" w:rsidRDefault="00A83290" w:rsidP="00A83290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C871B2">
        <w:rPr>
          <w:rFonts w:cs="Arial"/>
          <w:sz w:val="22"/>
          <w:szCs w:val="22"/>
        </w:rPr>
        <w:t xml:space="preserve">Smluvní strany se dohodly, že má-li být tato smlouva v souladu se zákonem č. 340/2015 Sb., o registru smluv ("ZRS"), uveřejněna prostřednictvím registru smluv, pak její uveřejnění se zavazuje zajistit na své náklady postupem stanoveným výše uvedeným zákonem Odběratel. Smluvní strany berou na vědomí a souhlasí s tím, že před uveřejněním této smlouvy v </w:t>
      </w:r>
      <w:proofErr w:type="gramStart"/>
      <w:r w:rsidRPr="00C871B2">
        <w:rPr>
          <w:rFonts w:cs="Arial"/>
          <w:sz w:val="22"/>
          <w:szCs w:val="22"/>
        </w:rPr>
        <w:t>re</w:t>
      </w:r>
      <w:r>
        <w:rPr>
          <w:rFonts w:cs="Arial"/>
          <w:sz w:val="22"/>
          <w:szCs w:val="22"/>
        </w:rPr>
        <w:t>gistru  smluv</w:t>
      </w:r>
      <w:proofErr w:type="gramEnd"/>
      <w:r>
        <w:rPr>
          <w:rFonts w:cs="Arial"/>
          <w:sz w:val="22"/>
          <w:szCs w:val="22"/>
        </w:rPr>
        <w:t xml:space="preserve"> zajistí odběrateli</w:t>
      </w:r>
      <w:r w:rsidRPr="00C871B2">
        <w:rPr>
          <w:rFonts w:cs="Arial"/>
          <w:sz w:val="22"/>
          <w:szCs w:val="22"/>
        </w:rPr>
        <w:t xml:space="preserve"> znečitelnění těch ustanovení, která představují výjimku z povinnosti a dále osobní údaje, vč. podpisových vzorů zástupců smluvních stran. Dodavatel prohlašuje, že se zveřejněním souhlasí, a že tato smlouva neobsahuje žádná další ustanovení (nad rámec výše uvedených), která by požadoval znečitelnit. V případě, že Objednatel uveřejní tuto smlouvu v registru smluv v souladu s tímto ujednáním, zavazuje se dodavatel nezveřejnit tuto smlouvu v registru smluv duplicitně.</w:t>
      </w:r>
    </w:p>
    <w:p w:rsidR="00A83290" w:rsidRDefault="00A83290" w:rsidP="00A83290">
      <w:pPr>
        <w:jc w:val="both"/>
        <w:rPr>
          <w:rFonts w:cs="Arial"/>
          <w:sz w:val="22"/>
          <w:szCs w:val="22"/>
        </w:rPr>
      </w:pPr>
    </w:p>
    <w:p w:rsidR="00A83290" w:rsidRPr="00EE5363" w:rsidRDefault="00A83290" w:rsidP="00A83290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EE5363">
        <w:rPr>
          <w:b/>
          <w:sz w:val="22"/>
          <w:szCs w:val="22"/>
        </w:rPr>
        <w:t>X. Podpisy smluvních stran</w:t>
      </w:r>
    </w:p>
    <w:p w:rsidR="00A83290" w:rsidRPr="00387946" w:rsidRDefault="00A83290" w:rsidP="00A83290">
      <w:pPr>
        <w:numPr>
          <w:ilvl w:val="0"/>
          <w:numId w:val="13"/>
        </w:numPr>
        <w:jc w:val="both"/>
        <w:rPr>
          <w:sz w:val="22"/>
          <w:szCs w:val="22"/>
        </w:rPr>
      </w:pPr>
      <w:r w:rsidRPr="00387946">
        <w:rPr>
          <w:sz w:val="22"/>
          <w:szCs w:val="22"/>
        </w:rPr>
        <w:t xml:space="preserve">Tato smlouva </w:t>
      </w:r>
      <w:r>
        <w:rPr>
          <w:sz w:val="22"/>
          <w:szCs w:val="22"/>
        </w:rPr>
        <w:t>s</w:t>
      </w:r>
      <w:r w:rsidRPr="0038794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vyhotovuje </w:t>
      </w:r>
      <w:r w:rsidRPr="00387946">
        <w:rPr>
          <w:sz w:val="22"/>
          <w:szCs w:val="22"/>
        </w:rPr>
        <w:t>ve</w:t>
      </w:r>
      <w:r>
        <w:rPr>
          <w:sz w:val="22"/>
          <w:szCs w:val="22"/>
        </w:rPr>
        <w:t xml:space="preserve"> dvou</w:t>
      </w:r>
      <w:r w:rsidRPr="00387946">
        <w:rPr>
          <w:sz w:val="22"/>
          <w:szCs w:val="22"/>
        </w:rPr>
        <w:t xml:space="preserve"> </w:t>
      </w:r>
      <w:r>
        <w:rPr>
          <w:sz w:val="22"/>
          <w:szCs w:val="22"/>
        </w:rPr>
        <w:t>stejnopisech stejné právní účinnosti, z nichž každá smluvní strana obdrží jedno vyhotovení.</w:t>
      </w:r>
    </w:p>
    <w:p w:rsidR="00A83290" w:rsidRDefault="00A83290" w:rsidP="00A83290">
      <w:pPr>
        <w:numPr>
          <w:ilvl w:val="0"/>
          <w:numId w:val="13"/>
        </w:numPr>
        <w:jc w:val="both"/>
        <w:rPr>
          <w:sz w:val="22"/>
          <w:szCs w:val="22"/>
        </w:rPr>
      </w:pPr>
      <w:r w:rsidRPr="004F12CE">
        <w:rPr>
          <w:sz w:val="22"/>
          <w:szCs w:val="22"/>
        </w:rPr>
        <w:t xml:space="preserve">Obě smluvní strany prohlašují, že si tuto smlouvu před jejím podpisem přečetly, že byla uzavřena po jejím řádném projednání podle pravé a svobodné vůle a nikoli v tísni za jednostranně nevýhodných podmínek. </w:t>
      </w:r>
    </w:p>
    <w:p w:rsidR="00A83290" w:rsidRDefault="00A83290" w:rsidP="00A83290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Autentičnost této smlouvy potvrzují zástupci smluvních stran svými podpisy.</w:t>
      </w:r>
    </w:p>
    <w:p w:rsidR="00A83290" w:rsidRDefault="00A83290" w:rsidP="00A83290">
      <w:pPr>
        <w:jc w:val="both"/>
        <w:rPr>
          <w:sz w:val="22"/>
          <w:szCs w:val="22"/>
        </w:rPr>
      </w:pPr>
    </w:p>
    <w:p w:rsidR="00A83290" w:rsidRDefault="00A83290" w:rsidP="00A83290">
      <w:pPr>
        <w:jc w:val="both"/>
        <w:rPr>
          <w:sz w:val="22"/>
          <w:szCs w:val="22"/>
        </w:rPr>
      </w:pPr>
    </w:p>
    <w:p w:rsidR="00A83290" w:rsidRDefault="00A83290" w:rsidP="00A83290">
      <w:pPr>
        <w:jc w:val="both"/>
        <w:rPr>
          <w:sz w:val="22"/>
          <w:szCs w:val="22"/>
        </w:rPr>
      </w:pPr>
    </w:p>
    <w:p w:rsidR="00A83290" w:rsidRDefault="00A83290" w:rsidP="00A83290">
      <w:pPr>
        <w:jc w:val="both"/>
        <w:rPr>
          <w:sz w:val="22"/>
          <w:szCs w:val="22"/>
        </w:rPr>
      </w:pPr>
    </w:p>
    <w:p w:rsidR="00A83290" w:rsidRPr="004F12CE" w:rsidRDefault="00A83290" w:rsidP="00A83290">
      <w:pPr>
        <w:jc w:val="both"/>
        <w:rPr>
          <w:sz w:val="22"/>
          <w:szCs w:val="22"/>
        </w:rPr>
      </w:pPr>
    </w:p>
    <w:p w:rsidR="00A83290" w:rsidRDefault="00A83290" w:rsidP="00A83290">
      <w:pPr>
        <w:rPr>
          <w:sz w:val="22"/>
          <w:szCs w:val="22"/>
        </w:rPr>
      </w:pPr>
    </w:p>
    <w:p w:rsidR="00A83290" w:rsidRPr="00932A52" w:rsidRDefault="00A83290" w:rsidP="00A83290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87"/>
        <w:gridCol w:w="1980"/>
        <w:gridCol w:w="3419"/>
      </w:tblGrid>
      <w:tr w:rsidR="00A83290" w:rsidRPr="00105720" w:rsidTr="006054D7">
        <w:tc>
          <w:tcPr>
            <w:tcW w:w="2093" w:type="pct"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  <w:r w:rsidRPr="00105720">
              <w:rPr>
                <w:sz w:val="22"/>
                <w:szCs w:val="22"/>
              </w:rPr>
              <w:t>V Ostravě dne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  <w:r w:rsidRPr="00105720">
              <w:rPr>
                <w:sz w:val="22"/>
                <w:szCs w:val="22"/>
              </w:rPr>
              <w:t>V Ostravě dne</w:t>
            </w:r>
          </w:p>
        </w:tc>
      </w:tr>
      <w:tr w:rsidR="00A83290" w:rsidRPr="00105720" w:rsidTr="006054D7">
        <w:tc>
          <w:tcPr>
            <w:tcW w:w="2093" w:type="pct"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  <w:r w:rsidRPr="00105720">
              <w:rPr>
                <w:sz w:val="22"/>
                <w:szCs w:val="22"/>
              </w:rPr>
              <w:t>Za odběratele:</w:t>
            </w:r>
          </w:p>
        </w:tc>
        <w:tc>
          <w:tcPr>
            <w:tcW w:w="1066" w:type="pct"/>
            <w:vMerge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  <w:r w:rsidRPr="00105720">
              <w:rPr>
                <w:sz w:val="22"/>
                <w:szCs w:val="22"/>
              </w:rPr>
              <w:t>Za dodavatele:</w:t>
            </w:r>
          </w:p>
        </w:tc>
      </w:tr>
      <w:tr w:rsidR="00A83290" w:rsidRPr="00105720" w:rsidTr="006054D7">
        <w:trPr>
          <w:trHeight w:val="1623"/>
        </w:trPr>
        <w:tc>
          <w:tcPr>
            <w:tcW w:w="2093" w:type="pct"/>
            <w:tcBorders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</w:tc>
      </w:tr>
      <w:tr w:rsidR="00A83290" w:rsidRPr="00105720" w:rsidTr="006054D7">
        <w:trPr>
          <w:trHeight w:val="348"/>
        </w:trPr>
        <w:tc>
          <w:tcPr>
            <w:tcW w:w="2093" w:type="pct"/>
            <w:tcBorders>
              <w:top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  <w:r w:rsidRPr="00105720">
              <w:rPr>
                <w:sz w:val="22"/>
                <w:szCs w:val="22"/>
              </w:rPr>
              <w:t>Mgr. Ludmila Večerková</w:t>
            </w:r>
          </w:p>
        </w:tc>
        <w:tc>
          <w:tcPr>
            <w:tcW w:w="1066" w:type="pct"/>
            <w:vMerge/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auto"/>
          </w:tcPr>
          <w:p w:rsidR="00A83290" w:rsidRPr="00105720" w:rsidRDefault="00A83290" w:rsidP="006054D7">
            <w:pPr>
              <w:rPr>
                <w:sz w:val="22"/>
                <w:szCs w:val="22"/>
              </w:rPr>
            </w:pPr>
            <w:r w:rsidRPr="00105720">
              <w:rPr>
                <w:sz w:val="22"/>
                <w:szCs w:val="22"/>
              </w:rPr>
              <w:t xml:space="preserve">Jakub Navrátil, DBA, MBA </w:t>
            </w:r>
          </w:p>
        </w:tc>
      </w:tr>
    </w:tbl>
    <w:p w:rsidR="00A83290" w:rsidRDefault="00A83290" w:rsidP="00A83290">
      <w:pPr>
        <w:sectPr w:rsidR="00A83290" w:rsidSect="00A1031C">
          <w:footerReference w:type="even" r:id="rId7"/>
          <w:footerReference w:type="default" r:id="rId8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290" w:rsidRDefault="00A83290" w:rsidP="00A83290">
      <w:pPr>
        <w:rPr>
          <w:sz w:val="22"/>
          <w:szCs w:val="20"/>
        </w:rPr>
        <w:sectPr w:rsidR="00A83290" w:rsidSect="00556F56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83290" w:rsidRPr="002C5E5A" w:rsidRDefault="00A83290" w:rsidP="00A83290">
      <w:pPr>
        <w:rPr>
          <w:sz w:val="22"/>
          <w:szCs w:val="20"/>
        </w:rPr>
      </w:pPr>
    </w:p>
    <w:p w:rsidR="00790C19" w:rsidRDefault="00790C19"/>
    <w:sectPr w:rsidR="00790C19" w:rsidSect="00A1031C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BB" w:rsidRDefault="00A83290" w:rsidP="007C1F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041BB" w:rsidRDefault="00A832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70"/>
      <w:gridCol w:w="764"/>
      <w:gridCol w:w="2306"/>
      <w:gridCol w:w="1528"/>
      <w:gridCol w:w="1542"/>
    </w:tblGrid>
    <w:tr w:rsidR="00A041BB" w:rsidRPr="00105720" w:rsidTr="00105720">
      <w:tc>
        <w:tcPr>
          <w:tcW w:w="3834" w:type="dxa"/>
          <w:gridSpan w:val="2"/>
          <w:shd w:val="clear" w:color="auto" w:fill="auto"/>
        </w:tcPr>
        <w:p w:rsidR="00A041BB" w:rsidRPr="00105720" w:rsidRDefault="00A83290" w:rsidP="0003002F">
          <w:pPr>
            <w:rPr>
              <w:sz w:val="4"/>
              <w:szCs w:val="4"/>
            </w:rPr>
          </w:pPr>
        </w:p>
      </w:tc>
      <w:tc>
        <w:tcPr>
          <w:tcW w:w="3834" w:type="dxa"/>
          <w:gridSpan w:val="2"/>
          <w:shd w:val="clear" w:color="auto" w:fill="auto"/>
          <w:vAlign w:val="center"/>
        </w:tcPr>
        <w:p w:rsidR="00A041BB" w:rsidRPr="00105720" w:rsidRDefault="00A83290" w:rsidP="001E4B58">
          <w:pPr>
            <w:rPr>
              <w:sz w:val="4"/>
              <w:szCs w:val="4"/>
            </w:rPr>
          </w:pPr>
        </w:p>
      </w:tc>
      <w:tc>
        <w:tcPr>
          <w:tcW w:w="1542" w:type="dxa"/>
          <w:shd w:val="clear" w:color="auto" w:fill="auto"/>
          <w:vAlign w:val="center"/>
        </w:tcPr>
        <w:p w:rsidR="00A041BB" w:rsidRPr="00105720" w:rsidRDefault="00A83290" w:rsidP="00105720">
          <w:pPr>
            <w:jc w:val="right"/>
            <w:rPr>
              <w:sz w:val="4"/>
              <w:szCs w:val="4"/>
            </w:rPr>
          </w:pPr>
        </w:p>
      </w:tc>
    </w:tr>
    <w:tr w:rsidR="00A041BB" w:rsidRPr="009375B6" w:rsidTr="00105720">
      <w:tc>
        <w:tcPr>
          <w:tcW w:w="3070" w:type="dxa"/>
          <w:shd w:val="clear" w:color="auto" w:fill="auto"/>
        </w:tcPr>
        <w:p w:rsidR="00A041BB" w:rsidRPr="00105720" w:rsidRDefault="00A83290" w:rsidP="0003002F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304925" cy="238125"/>
                <wp:effectExtent l="0" t="0" r="9525" b="9525"/>
                <wp:docPr id="2" name="Obrázek 2" descr="logo_SYSTEMCONTROL_pres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YSTEMCONTROL_pres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gridSpan w:val="2"/>
          <w:shd w:val="clear" w:color="auto" w:fill="auto"/>
          <w:vAlign w:val="center"/>
        </w:tcPr>
        <w:p w:rsidR="00A041BB" w:rsidRPr="00105720" w:rsidRDefault="00A83290" w:rsidP="001E4B58">
          <w:pPr>
            <w:rPr>
              <w:sz w:val="20"/>
              <w:szCs w:val="20"/>
            </w:rPr>
          </w:pPr>
          <w:r w:rsidRPr="00105720">
            <w:rPr>
              <w:sz w:val="20"/>
              <w:szCs w:val="20"/>
            </w:rPr>
            <w:t>Smlouva o poskytování ICT služeb</w:t>
          </w:r>
        </w:p>
      </w:tc>
      <w:tc>
        <w:tcPr>
          <w:tcW w:w="3070" w:type="dxa"/>
          <w:gridSpan w:val="2"/>
          <w:shd w:val="clear" w:color="auto" w:fill="auto"/>
          <w:vAlign w:val="center"/>
        </w:tcPr>
        <w:p w:rsidR="00A041BB" w:rsidRPr="00105720" w:rsidRDefault="00A83290" w:rsidP="00105720">
          <w:pPr>
            <w:jc w:val="right"/>
            <w:rPr>
              <w:sz w:val="20"/>
              <w:szCs w:val="20"/>
            </w:rPr>
          </w:pPr>
          <w:r w:rsidRPr="00105720">
            <w:rPr>
              <w:sz w:val="20"/>
              <w:szCs w:val="20"/>
            </w:rPr>
            <w:t xml:space="preserve">-Strana </w:t>
          </w:r>
          <w:r w:rsidRPr="00105720">
            <w:rPr>
              <w:sz w:val="20"/>
              <w:szCs w:val="20"/>
            </w:rPr>
            <w:fldChar w:fldCharType="begin"/>
          </w:r>
          <w:r w:rsidRPr="00105720">
            <w:rPr>
              <w:sz w:val="20"/>
              <w:szCs w:val="20"/>
            </w:rPr>
            <w:instrText xml:space="preserve">PAGE  </w:instrText>
          </w:r>
          <w:r w:rsidRPr="001057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 w:rsidRPr="00105720">
            <w:rPr>
              <w:sz w:val="20"/>
              <w:szCs w:val="20"/>
            </w:rPr>
            <w:fldChar w:fldCharType="end"/>
          </w:r>
          <w:r w:rsidRPr="00105720">
            <w:rPr>
              <w:sz w:val="20"/>
              <w:szCs w:val="20"/>
            </w:rPr>
            <w:t xml:space="preserve"> </w:t>
          </w:r>
          <w:proofErr w:type="gramStart"/>
          <w:r w:rsidRPr="00105720">
            <w:rPr>
              <w:sz w:val="20"/>
              <w:szCs w:val="20"/>
            </w:rPr>
            <w:t>ze</w:t>
          </w:r>
          <w:proofErr w:type="gramEnd"/>
          <w:r w:rsidRPr="00105720">
            <w:rPr>
              <w:sz w:val="20"/>
              <w:szCs w:val="20"/>
            </w:rPr>
            <w:t xml:space="preserve"> </w:t>
          </w:r>
          <w:r w:rsidRPr="00105720">
            <w:rPr>
              <w:sz w:val="20"/>
              <w:szCs w:val="20"/>
            </w:rPr>
            <w:fldChar w:fldCharType="begin"/>
          </w:r>
          <w:r w:rsidRPr="00105720">
            <w:rPr>
              <w:sz w:val="20"/>
              <w:szCs w:val="20"/>
            </w:rPr>
            <w:instrText xml:space="preserve"> NUMPAGES </w:instrText>
          </w:r>
          <w:r w:rsidRPr="001057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 w:rsidRPr="00105720">
            <w:rPr>
              <w:sz w:val="20"/>
              <w:szCs w:val="20"/>
            </w:rPr>
            <w:fldChar w:fldCharType="end"/>
          </w:r>
          <w:r w:rsidRPr="00105720">
            <w:rPr>
              <w:sz w:val="20"/>
              <w:szCs w:val="20"/>
            </w:rPr>
            <w:t>-</w:t>
          </w:r>
        </w:p>
      </w:tc>
    </w:tr>
  </w:tbl>
  <w:p w:rsidR="00A041BB" w:rsidRPr="009375B6" w:rsidRDefault="00A83290" w:rsidP="009375B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3067"/>
    <w:multiLevelType w:val="hybridMultilevel"/>
    <w:tmpl w:val="51187B7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465596"/>
    <w:multiLevelType w:val="hybridMultilevel"/>
    <w:tmpl w:val="2E5CC8A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63C7A"/>
    <w:multiLevelType w:val="hybridMultilevel"/>
    <w:tmpl w:val="A44679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46014A"/>
    <w:multiLevelType w:val="hybridMultilevel"/>
    <w:tmpl w:val="59E63BB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790166"/>
    <w:multiLevelType w:val="hybridMultilevel"/>
    <w:tmpl w:val="EEAA7C10"/>
    <w:lvl w:ilvl="0" w:tplc="BCB01B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D4EE41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26CE581C"/>
    <w:multiLevelType w:val="hybridMultilevel"/>
    <w:tmpl w:val="AA7256E0"/>
    <w:lvl w:ilvl="0" w:tplc="BD4EE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63C16"/>
    <w:multiLevelType w:val="hybridMultilevel"/>
    <w:tmpl w:val="99560E88"/>
    <w:lvl w:ilvl="0" w:tplc="BD4EE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00566ED"/>
    <w:multiLevelType w:val="hybridMultilevel"/>
    <w:tmpl w:val="BF605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B0808"/>
    <w:multiLevelType w:val="hybridMultilevel"/>
    <w:tmpl w:val="B138407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620A3D"/>
    <w:multiLevelType w:val="hybridMultilevel"/>
    <w:tmpl w:val="34DA20C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465DEF"/>
    <w:multiLevelType w:val="hybridMultilevel"/>
    <w:tmpl w:val="B59A63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FF0A4B"/>
    <w:multiLevelType w:val="hybridMultilevel"/>
    <w:tmpl w:val="0DDAA8E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210ABD"/>
    <w:multiLevelType w:val="hybridMultilevel"/>
    <w:tmpl w:val="45DA46EC"/>
    <w:lvl w:ilvl="0" w:tplc="BD4EE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6B27763D"/>
    <w:multiLevelType w:val="hybridMultilevel"/>
    <w:tmpl w:val="772E9058"/>
    <w:lvl w:ilvl="0" w:tplc="6C88F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FEE0C1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8D0881"/>
    <w:multiLevelType w:val="hybridMultilevel"/>
    <w:tmpl w:val="2774E6BC"/>
    <w:lvl w:ilvl="0" w:tplc="30243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CB0307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90"/>
    <w:rsid w:val="00790C19"/>
    <w:rsid w:val="00A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83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832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83290"/>
  </w:style>
  <w:style w:type="paragraph" w:styleId="Zkladntext">
    <w:name w:val="Body Text"/>
    <w:basedOn w:val="Normln"/>
    <w:link w:val="ZkladntextChar"/>
    <w:rsid w:val="00A83290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A8329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3290"/>
    <w:pPr>
      <w:numPr>
        <w:ilvl w:val="12"/>
      </w:numPr>
      <w:overflowPunct w:val="0"/>
      <w:autoSpaceDE w:val="0"/>
      <w:autoSpaceDN w:val="0"/>
      <w:adjustRightInd w:val="0"/>
      <w:ind w:left="283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83290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9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83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832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83290"/>
  </w:style>
  <w:style w:type="paragraph" w:styleId="Zkladntext">
    <w:name w:val="Body Text"/>
    <w:basedOn w:val="Normln"/>
    <w:link w:val="ZkladntextChar"/>
    <w:rsid w:val="00A83290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A8329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3290"/>
    <w:pPr>
      <w:numPr>
        <w:ilvl w:val="12"/>
      </w:numPr>
      <w:overflowPunct w:val="0"/>
      <w:autoSpaceDE w:val="0"/>
      <w:autoSpaceDN w:val="0"/>
      <w:adjustRightInd w:val="0"/>
      <w:ind w:left="283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83290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9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Bartošová</cp:lastModifiedBy>
  <cp:revision>1</cp:revision>
  <dcterms:created xsi:type="dcterms:W3CDTF">2019-01-28T07:57:00Z</dcterms:created>
  <dcterms:modified xsi:type="dcterms:W3CDTF">2019-01-28T07:58:00Z</dcterms:modified>
</cp:coreProperties>
</file>