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469E" w14:textId="77777777" w:rsidR="00541ADB" w:rsidRDefault="00A64BE7">
      <w:pPr>
        <w:jc w:val="center"/>
        <w:rPr>
          <w:rFonts w:ascii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b/>
          <w:sz w:val="28"/>
          <w:szCs w:val="28"/>
        </w:rPr>
        <w:t xml:space="preserve">Dodatek č.1ke </w:t>
      </w:r>
      <w:r w:rsidR="00F667E1">
        <w:rPr>
          <w:rFonts w:ascii="Cambria" w:hAnsi="Cambria" w:cs="Cambria"/>
          <w:b/>
          <w:sz w:val="28"/>
          <w:szCs w:val="28"/>
        </w:rPr>
        <w:t>Smlouv</w:t>
      </w:r>
      <w:r>
        <w:rPr>
          <w:rFonts w:ascii="Cambria" w:hAnsi="Cambria" w:cs="Cambria"/>
          <w:b/>
          <w:sz w:val="28"/>
          <w:szCs w:val="28"/>
        </w:rPr>
        <w:t>ě</w:t>
      </w:r>
      <w:r w:rsidR="00F667E1">
        <w:rPr>
          <w:rFonts w:ascii="Cambria" w:hAnsi="Cambria" w:cs="Cambria"/>
          <w:b/>
          <w:sz w:val="28"/>
          <w:szCs w:val="28"/>
        </w:rPr>
        <w:t xml:space="preserve"> o spolupráci a spoluúčasti na řešení projektu</w:t>
      </w:r>
    </w:p>
    <w:p w14:paraId="01A5C849" w14:textId="77777777" w:rsidR="00541ADB" w:rsidRDefault="00541ADB">
      <w:pPr>
        <w:jc w:val="center"/>
        <w:rPr>
          <w:rFonts w:ascii="Cambria" w:hAnsi="Cambria" w:cs="Cambria"/>
          <w:b/>
          <w:sz w:val="28"/>
          <w:szCs w:val="28"/>
        </w:rPr>
      </w:pPr>
    </w:p>
    <w:p w14:paraId="5001446D" w14:textId="77777777" w:rsidR="00541ADB" w:rsidRDefault="00F667E1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Arial" w:eastAsia="Cambria" w:hAnsi="Arial" w:cs="Arial"/>
          <w:b/>
          <w:color w:val="000000"/>
          <w:sz w:val="28"/>
          <w:szCs w:val="28"/>
        </w:rPr>
        <w:t>„</w:t>
      </w:r>
      <w:r>
        <w:rPr>
          <w:rFonts w:ascii="Arial" w:eastAsia="Cambria" w:hAnsi="Arial" w:cs="Arial"/>
          <w:b/>
          <w:bCs/>
          <w:color w:val="000000"/>
          <w:sz w:val="32"/>
          <w:szCs w:val="32"/>
        </w:rPr>
        <w:t xml:space="preserve">Vývoj </w:t>
      </w:r>
      <w:r w:rsidR="00E1202C">
        <w:rPr>
          <w:rFonts w:ascii="Arial" w:eastAsia="Cambria" w:hAnsi="Arial" w:cs="Arial"/>
          <w:b/>
          <w:bCs/>
          <w:color w:val="000000"/>
          <w:sz w:val="32"/>
          <w:szCs w:val="32"/>
        </w:rPr>
        <w:t>sanitárního komplexu</w:t>
      </w:r>
      <w:r>
        <w:rPr>
          <w:rFonts w:ascii="Arial" w:eastAsia="Cambria" w:hAnsi="Arial" w:cs="Arial"/>
          <w:b/>
          <w:bCs/>
          <w:color w:val="000000"/>
          <w:sz w:val="32"/>
          <w:szCs w:val="32"/>
        </w:rPr>
        <w:t xml:space="preserve"> pro osoby s dočasným či trvalým omezením pohybu</w:t>
      </w:r>
      <w:r>
        <w:rPr>
          <w:rFonts w:ascii="Arial" w:eastAsia="Cambria" w:hAnsi="Arial" w:cs="Arial"/>
          <w:b/>
          <w:color w:val="000000"/>
          <w:sz w:val="28"/>
          <w:szCs w:val="28"/>
        </w:rPr>
        <w:t>“</w:t>
      </w:r>
    </w:p>
    <w:p w14:paraId="5BAAF45F" w14:textId="77777777" w:rsidR="00541ADB" w:rsidRDefault="00541ADB">
      <w:pPr>
        <w:jc w:val="center"/>
        <w:rPr>
          <w:rFonts w:ascii="Cambria" w:hAnsi="Cambria" w:cs="Cambria"/>
          <w:b/>
          <w:sz w:val="28"/>
          <w:szCs w:val="28"/>
        </w:rPr>
      </w:pPr>
    </w:p>
    <w:p w14:paraId="486DBF98" w14:textId="77777777" w:rsidR="00541ADB" w:rsidRDefault="00F667E1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8"/>
          <w:szCs w:val="28"/>
        </w:rPr>
        <w:t>a o využití výsledků výzkumu a vývoje</w:t>
      </w:r>
    </w:p>
    <w:p w14:paraId="355C1751" w14:textId="77777777" w:rsidR="00541ADB" w:rsidRDefault="00541ADB">
      <w:pPr>
        <w:rPr>
          <w:rFonts w:ascii="Cambria" w:hAnsi="Cambria" w:cs="Cambria"/>
          <w:sz w:val="22"/>
          <w:szCs w:val="22"/>
        </w:rPr>
      </w:pPr>
    </w:p>
    <w:p w14:paraId="28F743E3" w14:textId="77777777" w:rsidR="00541ADB" w:rsidRDefault="00A64BE7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ze dne 30.4.2018 (dále jen „smlouva o spolupráci“) uzavřené mezi:</w:t>
      </w:r>
    </w:p>
    <w:p w14:paraId="30F41D8E" w14:textId="77777777" w:rsidR="00541ADB" w:rsidRDefault="00541ADB">
      <w:pPr>
        <w:jc w:val="center"/>
        <w:rPr>
          <w:rFonts w:ascii="Cambria" w:hAnsi="Cambria" w:cs="Cambria"/>
          <w:sz w:val="22"/>
          <w:szCs w:val="22"/>
        </w:rPr>
      </w:pPr>
    </w:p>
    <w:p w14:paraId="201E8C02" w14:textId="77777777" w:rsidR="00541ADB" w:rsidRPr="00A64BE7" w:rsidRDefault="00F667E1" w:rsidP="00A64BE7">
      <w:pPr>
        <w:ind w:left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b/>
          <w:sz w:val="22"/>
          <w:szCs w:val="22"/>
        </w:rPr>
        <w:t xml:space="preserve">Alca plast, s.r.o., IČ: </w:t>
      </w:r>
      <w:r w:rsidRPr="00A64BE7">
        <w:rPr>
          <w:rFonts w:ascii="Cambria" w:hAnsi="Cambria" w:cs="Cambria"/>
          <w:b/>
          <w:bCs/>
          <w:sz w:val="22"/>
          <w:szCs w:val="22"/>
        </w:rPr>
        <w:t xml:space="preserve">25655809, </w:t>
      </w:r>
      <w:r w:rsidRPr="00A64BE7">
        <w:rPr>
          <w:rFonts w:ascii="Cambria" w:hAnsi="Cambria" w:cs="Cambria"/>
          <w:b/>
          <w:sz w:val="22"/>
          <w:szCs w:val="22"/>
        </w:rPr>
        <w:t>DIČ</w:t>
      </w:r>
      <w:r w:rsidRPr="00A64BE7">
        <w:rPr>
          <w:rFonts w:ascii="Cambria" w:hAnsi="Cambria" w:cs="Cambria"/>
          <w:b/>
          <w:bCs/>
          <w:sz w:val="22"/>
          <w:szCs w:val="22"/>
        </w:rPr>
        <w:t>: CZ25655809</w:t>
      </w:r>
    </w:p>
    <w:p w14:paraId="4EEDDDC6" w14:textId="77777777" w:rsidR="00541ADB" w:rsidRPr="00A64BE7" w:rsidRDefault="00F667E1">
      <w:pPr>
        <w:ind w:left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se sídlem:  </w:t>
      </w:r>
      <w:r w:rsidRPr="00A64BE7">
        <w:rPr>
          <w:rStyle w:val="Siln"/>
          <w:rFonts w:ascii="Cambria" w:hAnsi="Cambria" w:cs="Arial"/>
          <w:b w:val="0"/>
          <w:bCs w:val="0"/>
          <w:color w:val="000000"/>
          <w:sz w:val="22"/>
          <w:szCs w:val="22"/>
        </w:rPr>
        <w:t>Biskupský dvůr 2095/8, Nové Město, 110 00 Praha 1</w:t>
      </w:r>
    </w:p>
    <w:p w14:paraId="1661E5D9" w14:textId="6981677D" w:rsidR="00541ADB" w:rsidRPr="00A64BE7" w:rsidRDefault="00F667E1">
      <w:pPr>
        <w:ind w:left="737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Společnost vedená u </w:t>
      </w:r>
      <w:r w:rsidRPr="00A64BE7">
        <w:rPr>
          <w:rFonts w:ascii="Cambria" w:hAnsi="Cambria" w:cs="Arial"/>
          <w:color w:val="000000"/>
          <w:sz w:val="22"/>
          <w:szCs w:val="22"/>
        </w:rPr>
        <w:t>Městského soudu v Praze</w:t>
      </w:r>
      <w:r w:rsidRPr="00A64BE7">
        <w:rPr>
          <w:rFonts w:ascii="Cambria" w:hAnsi="Cambria" w:cs="Cambria"/>
          <w:sz w:val="22"/>
          <w:szCs w:val="22"/>
        </w:rPr>
        <w:t xml:space="preserve"> pod spisovou značkou </w:t>
      </w:r>
      <w:r w:rsidRPr="00A64BE7">
        <w:rPr>
          <w:rFonts w:ascii="Cambria" w:hAnsi="Cambria" w:cs="Arial"/>
          <w:color w:val="000000"/>
          <w:sz w:val="22"/>
          <w:szCs w:val="22"/>
        </w:rPr>
        <w:t>C58560</w:t>
      </w:r>
    </w:p>
    <w:p w14:paraId="44BB8568" w14:textId="77777777" w:rsidR="00541ADB" w:rsidRPr="00A64BE7" w:rsidRDefault="00F667E1">
      <w:pPr>
        <w:ind w:left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Zastoupená: </w:t>
      </w:r>
      <w:r w:rsidR="00A64BE7" w:rsidRPr="00A64BE7">
        <w:rPr>
          <w:rFonts w:ascii="Cambria" w:hAnsi="Cambria" w:cs="Arial"/>
          <w:color w:val="000000"/>
          <w:sz w:val="22"/>
          <w:szCs w:val="22"/>
        </w:rPr>
        <w:t xml:space="preserve">Ing. Františkem Fabičovicem, jednatelem </w:t>
      </w:r>
    </w:p>
    <w:p w14:paraId="68F9BCDF" w14:textId="3FEA0F68" w:rsidR="00541ADB" w:rsidRPr="00A64BE7" w:rsidRDefault="00F667E1">
      <w:pPr>
        <w:ind w:left="709"/>
        <w:rPr>
          <w:rFonts w:ascii="Cambria" w:eastAsia="MyriadPro-Light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Adresa pro doručování: </w:t>
      </w:r>
      <w:r w:rsidR="00200E60">
        <w:rPr>
          <w:rFonts w:ascii="Cambria" w:hAnsi="Cambria" w:cs="Cambria"/>
          <w:sz w:val="22"/>
          <w:szCs w:val="22"/>
        </w:rPr>
        <w:t xml:space="preserve"> </w:t>
      </w:r>
      <w:r w:rsidR="00200E60" w:rsidRPr="00C65923">
        <w:rPr>
          <w:rFonts w:ascii="Cambria" w:hAnsi="Cambria" w:cs="Cambria"/>
          <w:sz w:val="22"/>
          <w:szCs w:val="22"/>
        </w:rPr>
        <w:t>Bratislavská 2846, 690 02 Břeclav</w:t>
      </w:r>
      <w:r w:rsidR="00200E60">
        <w:rPr>
          <w:rFonts w:ascii="Cambria" w:hAnsi="Cambria" w:cs="Cambria"/>
          <w:sz w:val="22"/>
          <w:szCs w:val="22"/>
        </w:rPr>
        <w:t xml:space="preserve"> </w:t>
      </w:r>
    </w:p>
    <w:p w14:paraId="4FCFABE6" w14:textId="77777777" w:rsidR="00541ADB" w:rsidRPr="00A64BE7" w:rsidRDefault="00A64BE7">
      <w:pPr>
        <w:ind w:firstLine="709"/>
        <w:rPr>
          <w:rFonts w:ascii="Cambria" w:eastAsia="MyriadPro-Light" w:hAnsi="Cambria" w:cs="Cambria"/>
          <w:sz w:val="22"/>
          <w:szCs w:val="22"/>
        </w:rPr>
      </w:pPr>
      <w:r>
        <w:rPr>
          <w:rFonts w:ascii="Cambria" w:eastAsia="MyriadPro-Light" w:hAnsi="Cambria" w:cs="Cambria"/>
          <w:sz w:val="22"/>
          <w:szCs w:val="22"/>
        </w:rPr>
        <w:t>na straně ž</w:t>
      </w:r>
      <w:r w:rsidR="00F667E1" w:rsidRPr="00A64BE7">
        <w:rPr>
          <w:rFonts w:ascii="Cambria" w:hAnsi="Cambria" w:cs="Cambria"/>
          <w:sz w:val="22"/>
          <w:szCs w:val="22"/>
        </w:rPr>
        <w:t>adatel</w:t>
      </w:r>
      <w:r>
        <w:rPr>
          <w:rFonts w:ascii="Cambria" w:hAnsi="Cambria" w:cs="Cambria"/>
          <w:sz w:val="22"/>
          <w:szCs w:val="22"/>
        </w:rPr>
        <w:t>e</w:t>
      </w:r>
      <w:r w:rsidR="00F667E1" w:rsidRPr="00A64BE7">
        <w:rPr>
          <w:rFonts w:ascii="Cambria" w:hAnsi="Cambria" w:cs="Cambria"/>
          <w:sz w:val="22"/>
          <w:szCs w:val="22"/>
        </w:rPr>
        <w:t xml:space="preserve"> nebo příjemce</w:t>
      </w:r>
      <w:r w:rsidR="00F667E1" w:rsidRPr="00A64BE7">
        <w:rPr>
          <w:rFonts w:ascii="Cambria" w:eastAsia="MyriadPro-Light" w:hAnsi="Cambria" w:cs="Cambria"/>
          <w:sz w:val="22"/>
          <w:szCs w:val="22"/>
        </w:rPr>
        <w:t xml:space="preserve"> </w:t>
      </w:r>
    </w:p>
    <w:p w14:paraId="6D027E2E" w14:textId="77777777" w:rsidR="00541ADB" w:rsidRDefault="00541ADB">
      <w:pPr>
        <w:ind w:firstLine="567"/>
        <w:rPr>
          <w:rFonts w:ascii="Cambria" w:eastAsia="MyriadPro-Light" w:hAnsi="Cambria" w:cs="Cambria"/>
          <w:sz w:val="22"/>
          <w:szCs w:val="22"/>
        </w:rPr>
      </w:pPr>
    </w:p>
    <w:p w14:paraId="13AF8C92" w14:textId="77777777" w:rsidR="00541ADB" w:rsidRDefault="00F667E1">
      <w:pPr>
        <w:ind w:firstLine="709"/>
        <w:rPr>
          <w:rFonts w:ascii="Cambria" w:hAnsi="Cambria" w:cs="Cambria"/>
          <w:sz w:val="22"/>
          <w:szCs w:val="22"/>
        </w:rPr>
      </w:pPr>
      <w:r>
        <w:rPr>
          <w:rFonts w:ascii="Cambria" w:eastAsia="MyriadPro-Light" w:hAnsi="Cambria" w:cs="Cambria"/>
          <w:sz w:val="22"/>
          <w:szCs w:val="22"/>
        </w:rPr>
        <w:t>a</w:t>
      </w:r>
    </w:p>
    <w:p w14:paraId="50B07935" w14:textId="77777777" w:rsidR="00541ADB" w:rsidRDefault="00541ADB">
      <w:pPr>
        <w:ind w:left="709"/>
        <w:rPr>
          <w:rFonts w:ascii="Cambria" w:hAnsi="Cambria" w:cs="Cambria"/>
          <w:sz w:val="22"/>
          <w:szCs w:val="22"/>
        </w:rPr>
      </w:pPr>
    </w:p>
    <w:p w14:paraId="1D26BAA0" w14:textId="77777777" w:rsidR="00541ADB" w:rsidRPr="00A64BE7" w:rsidRDefault="00F667E1" w:rsidP="00A64BE7">
      <w:pPr>
        <w:ind w:left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b/>
          <w:sz w:val="22"/>
          <w:szCs w:val="22"/>
        </w:rPr>
        <w:t>Mikrobiologický ústav AV ČR, v.v.i., IČ: 61388971, DIČ: CZ61388971</w:t>
      </w:r>
    </w:p>
    <w:p w14:paraId="71D253D4" w14:textId="77777777" w:rsidR="00541ADB" w:rsidRPr="00A64BE7" w:rsidRDefault="00F667E1">
      <w:pPr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ab/>
        <w:t xml:space="preserve">se sídlem: </w:t>
      </w:r>
      <w:r w:rsidRPr="00A64BE7">
        <w:rPr>
          <w:rFonts w:ascii="Cambria" w:hAnsi="Cambria" w:cs="Arial"/>
          <w:color w:val="000000"/>
          <w:sz w:val="22"/>
          <w:szCs w:val="22"/>
        </w:rPr>
        <w:t>Vídeňská 1083, Praha 4 – Krč, 142 20</w:t>
      </w:r>
    </w:p>
    <w:p w14:paraId="2CE6E5B3" w14:textId="77777777" w:rsidR="00541ADB" w:rsidRPr="00A64BE7" w:rsidRDefault="00F667E1">
      <w:pPr>
        <w:ind w:firstLine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Společnost </w:t>
      </w:r>
      <w:r w:rsidRPr="00A64BE7">
        <w:rPr>
          <w:rFonts w:ascii="Cambria" w:hAnsi="Cambria" w:cs="Arial"/>
          <w:color w:val="000000"/>
          <w:sz w:val="22"/>
          <w:szCs w:val="22"/>
        </w:rPr>
        <w:t>zapsána v rejstříku veřejných výzkumných institucí dne 01.01.207</w:t>
      </w:r>
    </w:p>
    <w:p w14:paraId="3106DD45" w14:textId="77777777" w:rsidR="00541ADB" w:rsidRPr="00A64BE7" w:rsidRDefault="00F667E1">
      <w:pPr>
        <w:ind w:firstLine="709"/>
        <w:rPr>
          <w:rFonts w:ascii="Cambria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 xml:space="preserve">Zastoupená: </w:t>
      </w:r>
      <w:r w:rsidRPr="00A64BE7">
        <w:rPr>
          <w:rFonts w:ascii="Cambria" w:hAnsi="Cambria" w:cs="Arial"/>
          <w:color w:val="000000"/>
          <w:sz w:val="22"/>
          <w:szCs w:val="22"/>
        </w:rPr>
        <w:t>Ing. Jiřím Haškem CSc., ředitelem</w:t>
      </w:r>
    </w:p>
    <w:p w14:paraId="6F63605A" w14:textId="77777777" w:rsidR="00541ADB" w:rsidRPr="00A64BE7" w:rsidRDefault="00F667E1">
      <w:pPr>
        <w:ind w:left="709"/>
        <w:rPr>
          <w:rFonts w:ascii="Cambria" w:eastAsia="MyriadPro-Light" w:hAnsi="Cambria" w:cs="Cambria"/>
          <w:sz w:val="22"/>
          <w:szCs w:val="22"/>
        </w:rPr>
      </w:pPr>
      <w:r w:rsidRPr="00A64BE7">
        <w:rPr>
          <w:rFonts w:ascii="Cambria" w:hAnsi="Cambria" w:cs="Cambria"/>
          <w:sz w:val="22"/>
          <w:szCs w:val="22"/>
        </w:rPr>
        <w:t>Adresa pro doručování: shodná se sídlem partnera 1</w:t>
      </w:r>
    </w:p>
    <w:p w14:paraId="5274570D" w14:textId="77777777" w:rsidR="00541ADB" w:rsidRPr="00A64BE7" w:rsidRDefault="00A64BE7">
      <w:pPr>
        <w:ind w:firstLine="709"/>
        <w:rPr>
          <w:rFonts w:ascii="Cambria" w:eastAsia="MyriadPro-Light" w:hAnsi="Cambria" w:cs="Cambria"/>
          <w:sz w:val="22"/>
          <w:szCs w:val="22"/>
        </w:rPr>
      </w:pPr>
      <w:r>
        <w:rPr>
          <w:rFonts w:ascii="Cambria" w:eastAsia="MyriadPro-Light" w:hAnsi="Cambria" w:cs="Cambria"/>
          <w:sz w:val="22"/>
          <w:szCs w:val="22"/>
        </w:rPr>
        <w:t xml:space="preserve">na straně </w:t>
      </w:r>
      <w:r w:rsidR="00F667E1" w:rsidRPr="00A64BE7">
        <w:rPr>
          <w:rFonts w:ascii="Cambria" w:eastAsia="MyriadPro-Light" w:hAnsi="Cambria" w:cs="Cambria"/>
          <w:sz w:val="22"/>
          <w:szCs w:val="22"/>
        </w:rPr>
        <w:t>partner</w:t>
      </w:r>
      <w:r>
        <w:rPr>
          <w:rFonts w:ascii="Cambria" w:eastAsia="MyriadPro-Light" w:hAnsi="Cambria" w:cs="Cambria"/>
          <w:sz w:val="22"/>
          <w:szCs w:val="22"/>
        </w:rPr>
        <w:t>a</w:t>
      </w:r>
    </w:p>
    <w:p w14:paraId="543C7F63" w14:textId="77777777" w:rsidR="00541ADB" w:rsidRDefault="00541ADB">
      <w:pPr>
        <w:ind w:firstLine="709"/>
        <w:rPr>
          <w:rFonts w:ascii="Cambria" w:eastAsia="MyriadPro-Light" w:hAnsi="Cambria" w:cs="Cambria"/>
          <w:sz w:val="22"/>
          <w:szCs w:val="22"/>
        </w:rPr>
      </w:pPr>
    </w:p>
    <w:p w14:paraId="2FEFE7DC" w14:textId="77777777" w:rsidR="00A64BE7" w:rsidRDefault="00E1683B" w:rsidP="00E1683B">
      <w:pPr>
        <w:ind w:left="709"/>
        <w:jc w:val="both"/>
        <w:rPr>
          <w:rFonts w:ascii="Cambria" w:eastAsia="MyriadPro-Light" w:hAnsi="Cambria" w:cs="Cambria"/>
          <w:sz w:val="22"/>
          <w:szCs w:val="22"/>
        </w:rPr>
      </w:pPr>
      <w:r>
        <w:rPr>
          <w:rFonts w:ascii="Cambria" w:eastAsia="MyriadPro-Light" w:hAnsi="Cambria" w:cs="Cambria"/>
          <w:sz w:val="22"/>
          <w:szCs w:val="22"/>
        </w:rPr>
        <w:t xml:space="preserve">Pro účely tohoto dodatku č.1 </w:t>
      </w:r>
      <w:r w:rsidR="00A64BE7">
        <w:rPr>
          <w:rFonts w:ascii="Cambria" w:eastAsia="MyriadPro-Light" w:hAnsi="Cambria" w:cs="Cambria"/>
          <w:sz w:val="22"/>
          <w:szCs w:val="22"/>
        </w:rPr>
        <w:t>jsou strany smlouvy společně nazývány „smluvními stranami“</w:t>
      </w:r>
      <w:r w:rsidR="00B366C4">
        <w:rPr>
          <w:rFonts w:ascii="Cambria" w:eastAsia="MyriadPro-Light" w:hAnsi="Cambria" w:cs="Cambria"/>
          <w:sz w:val="22"/>
          <w:szCs w:val="22"/>
        </w:rPr>
        <w:t>, tento dodatek č.1 ke Smlouvě o spolupráci a spoluúčasti na řešení projektu je dále nazýván „dodatek č.1 ke smlouvě o spolupráci“.</w:t>
      </w:r>
    </w:p>
    <w:p w14:paraId="219EB62B" w14:textId="77777777" w:rsidR="00541ADB" w:rsidRDefault="00541ADB">
      <w:pPr>
        <w:pStyle w:val="Zkladntext"/>
        <w:rPr>
          <w:rFonts w:ascii="Cambria" w:hAnsi="Cambria" w:cs="Cambria"/>
          <w:sz w:val="22"/>
          <w:szCs w:val="22"/>
        </w:rPr>
      </w:pPr>
    </w:p>
    <w:p w14:paraId="60BF61E4" w14:textId="77777777" w:rsidR="00541ADB" w:rsidRDefault="00F667E1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Článek </w:t>
      </w:r>
      <w:r w:rsidR="00A64BE7">
        <w:rPr>
          <w:rFonts w:ascii="Cambria" w:hAnsi="Cambria" w:cs="Cambria"/>
          <w:b/>
          <w:sz w:val="22"/>
          <w:szCs w:val="22"/>
        </w:rPr>
        <w:t>1.</w:t>
      </w:r>
    </w:p>
    <w:p w14:paraId="183CB191" w14:textId="77777777" w:rsidR="00541ADB" w:rsidRDefault="00A64BE7" w:rsidP="00B366C4">
      <w:pPr>
        <w:pStyle w:val="Zkladntext"/>
        <w:numPr>
          <w:ilvl w:val="1"/>
          <w:numId w:val="14"/>
        </w:numPr>
        <w:ind w:left="709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Smluvní strany uzavřely dne 30.4.2018 smlouvu o  spolupráci</w:t>
      </w:r>
      <w:r w:rsidR="00E1683B">
        <w:rPr>
          <w:rFonts w:ascii="Cambria" w:hAnsi="Cambria" w:cs="Cambria"/>
          <w:sz w:val="22"/>
          <w:szCs w:val="22"/>
        </w:rPr>
        <w:t xml:space="preserve"> a spoluúčasti na řešení projektu</w:t>
      </w:r>
      <w:r>
        <w:rPr>
          <w:rFonts w:ascii="Cambria" w:hAnsi="Cambria" w:cs="Cambria"/>
          <w:sz w:val="22"/>
          <w:szCs w:val="22"/>
        </w:rPr>
        <w:t xml:space="preserve">, jejímž předmětem je </w:t>
      </w:r>
      <w:r w:rsidR="00F667E1">
        <w:rPr>
          <w:rFonts w:ascii="Cambria" w:hAnsi="Cambria" w:cs="Cambria"/>
          <w:sz w:val="22"/>
          <w:szCs w:val="22"/>
        </w:rPr>
        <w:t xml:space="preserve">stanovení podmínek spolupráce smluvních stran na řešení projektu z oblasti výzkumu a vývoje s názvem </w:t>
      </w:r>
      <w:r w:rsidR="00F667E1">
        <w:rPr>
          <w:rFonts w:ascii="Cambria" w:hAnsi="Cambria" w:cs="Cambria"/>
          <w:b/>
          <w:bCs/>
          <w:sz w:val="22"/>
          <w:szCs w:val="22"/>
        </w:rPr>
        <w:t>„</w:t>
      </w:r>
      <w:r w:rsidR="00E1202C" w:rsidRPr="00E1202C">
        <w:rPr>
          <w:rFonts w:ascii="Arial" w:hAnsi="Arial" w:cs="Arial"/>
          <w:b/>
          <w:bCs/>
          <w:color w:val="000000"/>
          <w:sz w:val="22"/>
          <w:szCs w:val="22"/>
        </w:rPr>
        <w:t>Vývoj sanitárního komplexu pro osoby s dočasným či trvalým omezením pohybu</w:t>
      </w:r>
      <w:r w:rsidR="00F667E1">
        <w:rPr>
          <w:rFonts w:ascii="Cambria" w:hAnsi="Cambria" w:cs="Cambria"/>
          <w:b/>
          <w:bCs/>
          <w:i/>
          <w:sz w:val="22"/>
          <w:szCs w:val="22"/>
        </w:rPr>
        <w:t>“</w:t>
      </w:r>
      <w:r w:rsidR="00F667E1">
        <w:rPr>
          <w:rFonts w:ascii="Cambria" w:hAnsi="Cambria" w:cs="Cambria"/>
          <w:sz w:val="22"/>
          <w:szCs w:val="22"/>
        </w:rPr>
        <w:t xml:space="preserve"> (dále jen „projekt“) v rámci Operačního programu Podnikání a inovace pro konkurenceschopnost 2014–2020 (dále jen OP PIK) výzvy II</w:t>
      </w:r>
      <w:r w:rsidR="00AD2B4F">
        <w:rPr>
          <w:rFonts w:ascii="Cambria" w:hAnsi="Cambria" w:cs="Cambria"/>
          <w:sz w:val="22"/>
          <w:szCs w:val="22"/>
        </w:rPr>
        <w:t>I</w:t>
      </w:r>
      <w:r w:rsidR="00F667E1">
        <w:rPr>
          <w:rFonts w:ascii="Cambria" w:hAnsi="Cambria" w:cs="Cambria"/>
          <w:sz w:val="22"/>
          <w:szCs w:val="22"/>
        </w:rPr>
        <w:t xml:space="preserve"> programu podpory Aplikace a stanovení zásad pro využití výsledků tohoto projektu. </w:t>
      </w:r>
    </w:p>
    <w:p w14:paraId="6B74D66C" w14:textId="77777777" w:rsidR="00541ADB" w:rsidRDefault="00541ADB">
      <w:pPr>
        <w:rPr>
          <w:rFonts w:ascii="Cambria" w:hAnsi="Cambria" w:cs="Cambria"/>
          <w:sz w:val="22"/>
          <w:szCs w:val="22"/>
        </w:rPr>
      </w:pPr>
    </w:p>
    <w:p w14:paraId="7C52E9C3" w14:textId="77777777" w:rsidR="00541ADB" w:rsidRDefault="00B366C4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Článek 2</w:t>
      </w:r>
      <w:r w:rsidR="00F667E1">
        <w:rPr>
          <w:rFonts w:ascii="Cambria" w:hAnsi="Cambria" w:cs="Cambria"/>
          <w:b/>
          <w:sz w:val="22"/>
          <w:szCs w:val="22"/>
        </w:rPr>
        <w:t xml:space="preserve">. </w:t>
      </w:r>
    </w:p>
    <w:p w14:paraId="675824FC" w14:textId="77777777" w:rsidR="00541ADB" w:rsidRDefault="00B366C4" w:rsidP="00B366C4">
      <w:pPr>
        <w:numPr>
          <w:ilvl w:val="1"/>
          <w:numId w:val="15"/>
        </w:numPr>
        <w:shd w:val="clear" w:color="auto" w:fill="FFFFFF" w:themeFill="background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 rámci vykázané změny projektu v oblasti doby realizace projektu a současně v oblasti rozpočtu projektu se smluvní strany dohodly na úpravě znění smlouvy o spolupráci, a to prostřednictvím tohoto dodatku č. 1 ke smlouvě o spolupráci.</w:t>
      </w:r>
    </w:p>
    <w:p w14:paraId="3B8FB881" w14:textId="77777777" w:rsidR="00E1683B" w:rsidRPr="006F4EEE" w:rsidRDefault="00E1683B" w:rsidP="00E1683B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</w:p>
    <w:p w14:paraId="13A6085B" w14:textId="77777777" w:rsidR="00541ADB" w:rsidRPr="00677537" w:rsidRDefault="008D2AE4" w:rsidP="008D2AE4">
      <w:pPr>
        <w:numPr>
          <w:ilvl w:val="1"/>
          <w:numId w:val="15"/>
        </w:numPr>
        <w:shd w:val="clear" w:color="auto" w:fill="FFFFFF" w:themeFill="background1"/>
        <w:jc w:val="both"/>
        <w:rPr>
          <w:rFonts w:ascii="Cambria" w:hAnsi="Cambria" w:cs="Cambria"/>
          <w:b/>
          <w:i/>
          <w:sz w:val="22"/>
          <w:szCs w:val="22"/>
        </w:rPr>
      </w:pPr>
      <w:r w:rsidRPr="00677537">
        <w:rPr>
          <w:rFonts w:ascii="Cambria" w:hAnsi="Cambria" w:cs="Cambria"/>
          <w:b/>
          <w:i/>
          <w:sz w:val="22"/>
          <w:szCs w:val="22"/>
        </w:rPr>
        <w:t>Smluvní strany se dohodly na změně čl. 5 odstavec 4. smlouvy o spolupráci, který</w:t>
      </w:r>
      <w:r w:rsidR="00677537">
        <w:rPr>
          <w:rFonts w:ascii="Cambria" w:hAnsi="Cambria" w:cs="Cambria"/>
          <w:b/>
          <w:i/>
          <w:sz w:val="22"/>
          <w:szCs w:val="22"/>
        </w:rPr>
        <w:t xml:space="preserve"> nově</w:t>
      </w:r>
      <w:r w:rsidRPr="00677537">
        <w:rPr>
          <w:rFonts w:ascii="Cambria" w:hAnsi="Cambria" w:cs="Cambria"/>
          <w:b/>
          <w:i/>
          <w:sz w:val="22"/>
          <w:szCs w:val="22"/>
        </w:rPr>
        <w:t xml:space="preserve"> zní:</w:t>
      </w:r>
    </w:p>
    <w:p w14:paraId="639B3637" w14:textId="77777777" w:rsidR="008D2AE4" w:rsidRDefault="008D2AE4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„V projektu bude realizován průmyslový výzkum a experimentální vývoj v plánovaném poměru 46,33% / 53,67%. Smluvní strany ujednávají, že průmyslový výzkum a experimentální vývoj bude u jednotlivých smluvních stran členěn následovně: </w:t>
      </w:r>
    </w:p>
    <w:p w14:paraId="547BCDCC" w14:textId="77777777" w:rsidR="00E1683B" w:rsidRDefault="00E1683B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</w:p>
    <w:p w14:paraId="2C92E194" w14:textId="77777777" w:rsidR="008D2AE4" w:rsidRDefault="008D2AE4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</w:p>
    <w:p w14:paraId="19E4B5C6" w14:textId="77777777" w:rsidR="008D2AE4" w:rsidRDefault="008D2AE4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Průmyslový výzkum</w:t>
      </w:r>
      <w:r>
        <w:rPr>
          <w:rFonts w:ascii="Cambria" w:hAnsi="Cambria" w:cs="Cambria"/>
          <w:sz w:val="22"/>
          <w:szCs w:val="22"/>
        </w:rPr>
        <w:tab/>
        <w:t>Experimentální vývoj</w:t>
      </w:r>
    </w:p>
    <w:p w14:paraId="761E1995" w14:textId="77777777" w:rsidR="008D2AE4" w:rsidRDefault="008D2AE4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žadatel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39%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61%</w:t>
      </w:r>
    </w:p>
    <w:p w14:paraId="7BC87338" w14:textId="77777777" w:rsidR="008D2AE4" w:rsidRPr="008D2AE4" w:rsidRDefault="008D2AE4" w:rsidP="008D2AE4">
      <w:pPr>
        <w:shd w:val="clear" w:color="auto" w:fill="FFFFFF" w:themeFill="background1"/>
        <w:ind w:left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>partner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100%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0%</w:t>
      </w:r>
      <w:r w:rsidR="00677537">
        <w:rPr>
          <w:rFonts w:ascii="Cambria" w:hAnsi="Cambria" w:cs="Cambria"/>
          <w:sz w:val="22"/>
          <w:szCs w:val="22"/>
        </w:rPr>
        <w:t>“</w:t>
      </w:r>
    </w:p>
    <w:p w14:paraId="53F9228E" w14:textId="77777777" w:rsidR="00E1683B" w:rsidRDefault="00E1683B" w:rsidP="00E1683B">
      <w:pPr>
        <w:ind w:left="720"/>
        <w:jc w:val="both"/>
        <w:rPr>
          <w:rFonts w:ascii="Cambria" w:hAnsi="Cambria" w:cs="Cambria"/>
          <w:b/>
          <w:i/>
          <w:sz w:val="22"/>
          <w:szCs w:val="22"/>
        </w:rPr>
      </w:pPr>
    </w:p>
    <w:p w14:paraId="17AF7B21" w14:textId="16642D3F" w:rsidR="00541ADB" w:rsidRPr="00677537" w:rsidRDefault="008D2AE4" w:rsidP="00B64F47">
      <w:pPr>
        <w:numPr>
          <w:ilvl w:val="1"/>
          <w:numId w:val="15"/>
        </w:numPr>
        <w:jc w:val="both"/>
        <w:rPr>
          <w:rFonts w:ascii="Cambria" w:hAnsi="Cambria" w:cs="Cambria"/>
          <w:b/>
          <w:i/>
          <w:sz w:val="22"/>
          <w:szCs w:val="22"/>
        </w:rPr>
      </w:pPr>
      <w:r w:rsidRPr="00677537">
        <w:rPr>
          <w:rFonts w:ascii="Cambria" w:hAnsi="Cambria" w:cs="Cambria"/>
          <w:b/>
          <w:i/>
          <w:sz w:val="22"/>
          <w:szCs w:val="22"/>
        </w:rPr>
        <w:t xml:space="preserve">Smluvní strany se dále dohodly na změně </w:t>
      </w:r>
      <w:r w:rsidR="00CA7B0D">
        <w:rPr>
          <w:rFonts w:ascii="Cambria" w:hAnsi="Cambria" w:cs="Cambria"/>
          <w:b/>
          <w:i/>
          <w:sz w:val="22"/>
          <w:szCs w:val="22"/>
        </w:rPr>
        <w:t>původní přílohy č. 2 Rozpočet projektu, kterou nahrazují novou příloh</w:t>
      </w:r>
      <w:r w:rsidR="00200E60" w:rsidRPr="00C65923">
        <w:rPr>
          <w:rFonts w:ascii="Cambria" w:hAnsi="Cambria" w:cs="Cambria"/>
          <w:b/>
          <w:i/>
          <w:sz w:val="22"/>
          <w:szCs w:val="22"/>
        </w:rPr>
        <w:t>o</w:t>
      </w:r>
      <w:r w:rsidR="00CA7B0D">
        <w:rPr>
          <w:rFonts w:ascii="Cambria" w:hAnsi="Cambria" w:cs="Cambria"/>
          <w:b/>
          <w:i/>
          <w:sz w:val="22"/>
          <w:szCs w:val="22"/>
        </w:rPr>
        <w:t>u, která je součástí tohoto dodatku a označená jako příloha č. 2-1.</w:t>
      </w:r>
    </w:p>
    <w:p w14:paraId="421356C9" w14:textId="12F2A3A2" w:rsidR="008D2AE4" w:rsidRDefault="00B64F47" w:rsidP="008D2AE4">
      <w:pPr>
        <w:ind w:left="7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“</w:t>
      </w:r>
    </w:p>
    <w:p w14:paraId="7AF546E4" w14:textId="77777777" w:rsidR="00E1683B" w:rsidRDefault="00E1683B" w:rsidP="008D2AE4">
      <w:pPr>
        <w:ind w:left="737"/>
        <w:jc w:val="both"/>
        <w:rPr>
          <w:rFonts w:ascii="Cambria" w:hAnsi="Cambria" w:cs="Cambria"/>
          <w:sz w:val="22"/>
          <w:szCs w:val="22"/>
        </w:rPr>
      </w:pPr>
    </w:p>
    <w:p w14:paraId="2EAD8BEB" w14:textId="77777777" w:rsidR="00B64F47" w:rsidRPr="00677537" w:rsidRDefault="00B64F47" w:rsidP="00B64F47">
      <w:pPr>
        <w:numPr>
          <w:ilvl w:val="1"/>
          <w:numId w:val="15"/>
        </w:numPr>
        <w:jc w:val="both"/>
        <w:rPr>
          <w:rFonts w:ascii="Cambria" w:hAnsi="Cambria" w:cs="Cambria"/>
          <w:b/>
          <w:i/>
          <w:sz w:val="22"/>
          <w:szCs w:val="22"/>
        </w:rPr>
      </w:pPr>
      <w:r w:rsidRPr="00677537">
        <w:rPr>
          <w:rFonts w:ascii="Cambria" w:hAnsi="Cambria" w:cs="Cambria"/>
          <w:b/>
          <w:i/>
          <w:sz w:val="22"/>
          <w:szCs w:val="22"/>
        </w:rPr>
        <w:t>Smluvní strany se rovněž dohodly na změně čl. 10. odstavce 7.</w:t>
      </w:r>
      <w:r w:rsidR="00677537">
        <w:rPr>
          <w:rFonts w:ascii="Cambria" w:hAnsi="Cambria" w:cs="Cambria"/>
          <w:b/>
          <w:i/>
          <w:sz w:val="22"/>
          <w:szCs w:val="22"/>
        </w:rPr>
        <w:t xml:space="preserve"> věty první</w:t>
      </w:r>
      <w:r w:rsidRPr="00677537">
        <w:rPr>
          <w:rFonts w:ascii="Cambria" w:hAnsi="Cambria" w:cs="Cambria"/>
          <w:b/>
          <w:i/>
          <w:sz w:val="22"/>
          <w:szCs w:val="22"/>
        </w:rPr>
        <w:t xml:space="preserve"> smlouvy o spolupráci, kter</w:t>
      </w:r>
      <w:r w:rsidR="00677537">
        <w:rPr>
          <w:rFonts w:ascii="Cambria" w:hAnsi="Cambria" w:cs="Cambria"/>
          <w:b/>
          <w:i/>
          <w:sz w:val="22"/>
          <w:szCs w:val="22"/>
        </w:rPr>
        <w:t>á nově</w:t>
      </w:r>
      <w:r w:rsidRPr="00677537">
        <w:rPr>
          <w:rFonts w:ascii="Cambria" w:hAnsi="Cambria" w:cs="Cambria"/>
          <w:b/>
          <w:i/>
          <w:sz w:val="22"/>
          <w:szCs w:val="22"/>
        </w:rPr>
        <w:t xml:space="preserve"> zní:</w:t>
      </w:r>
    </w:p>
    <w:p w14:paraId="52DD9036" w14:textId="77777777" w:rsidR="00B64F47" w:rsidRDefault="00B64F47" w:rsidP="00B64F47">
      <w:pPr>
        <w:ind w:left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„</w:t>
      </w:r>
      <w:r w:rsidR="00677537">
        <w:rPr>
          <w:rFonts w:ascii="Cambria" w:hAnsi="Cambria" w:cs="Cambria"/>
          <w:sz w:val="22"/>
          <w:szCs w:val="22"/>
        </w:rPr>
        <w:t xml:space="preserve">Tato smlouva se uzavírá na dobu řešení projektu, t.j. do 31.12.2019 a nabývá platnosti dnem podpisu všemi smluvními stranami  a účinnosti  dnem zveřejnění v registru smluv.“  </w:t>
      </w:r>
    </w:p>
    <w:p w14:paraId="18F2394B" w14:textId="77777777" w:rsidR="00541ADB" w:rsidRDefault="00541ADB">
      <w:pPr>
        <w:ind w:left="737"/>
        <w:jc w:val="both"/>
        <w:rPr>
          <w:rFonts w:ascii="Cambria" w:hAnsi="Cambria" w:cs="Cambria"/>
          <w:sz w:val="22"/>
          <w:szCs w:val="22"/>
        </w:rPr>
      </w:pPr>
    </w:p>
    <w:p w14:paraId="1F8CA546" w14:textId="77777777" w:rsidR="00541ADB" w:rsidRDefault="00F667E1">
      <w:pPr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Článek </w:t>
      </w:r>
      <w:r w:rsidR="00677537">
        <w:rPr>
          <w:rFonts w:ascii="Cambria" w:hAnsi="Cambria" w:cs="Cambria"/>
          <w:b/>
          <w:sz w:val="22"/>
          <w:szCs w:val="22"/>
        </w:rPr>
        <w:t>3</w:t>
      </w:r>
      <w:r>
        <w:rPr>
          <w:rFonts w:ascii="Cambria" w:hAnsi="Cambria" w:cs="Cambria"/>
          <w:b/>
          <w:sz w:val="22"/>
          <w:szCs w:val="22"/>
        </w:rPr>
        <w:t>.</w:t>
      </w:r>
    </w:p>
    <w:p w14:paraId="1DFCC4C9" w14:textId="77777777" w:rsidR="00541ADB" w:rsidRDefault="00541ADB">
      <w:pPr>
        <w:jc w:val="center"/>
        <w:rPr>
          <w:rFonts w:ascii="Cambria" w:hAnsi="Cambria" w:cs="Cambria"/>
          <w:b/>
          <w:sz w:val="22"/>
          <w:szCs w:val="22"/>
        </w:rPr>
      </w:pPr>
    </w:p>
    <w:p w14:paraId="05161F13" w14:textId="77777777" w:rsidR="00541ADB" w:rsidRDefault="00677537" w:rsidP="00677537">
      <w:pPr>
        <w:numPr>
          <w:ilvl w:val="1"/>
          <w:numId w:val="16"/>
        </w:numPr>
        <w:overflowPunct/>
        <w:jc w:val="both"/>
        <w:textAlignment w:val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Ostatní ustanovení smlouvy o spolupráci zůstávají nedotčena.</w:t>
      </w:r>
    </w:p>
    <w:p w14:paraId="3CB2DD64" w14:textId="77777777" w:rsidR="00A13B27" w:rsidRDefault="00677537" w:rsidP="00677537">
      <w:pPr>
        <w:numPr>
          <w:ilvl w:val="1"/>
          <w:numId w:val="16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Platnost tohoto dodatku č.1 nastává podpisy obou smluvních stran, účinnost pak nastává dnem zveřejnění v registru smluv </w:t>
      </w:r>
      <w:r w:rsidR="00E1683B">
        <w:rPr>
          <w:rFonts w:ascii="Cambria" w:hAnsi="Cambria" w:cs="Cambria"/>
          <w:sz w:val="22"/>
          <w:szCs w:val="22"/>
        </w:rPr>
        <w:t>podle zákona č</w:t>
      </w:r>
      <w:r>
        <w:rPr>
          <w:rFonts w:ascii="Cambria" w:hAnsi="Cambria" w:cs="Cambria"/>
          <w:sz w:val="22"/>
          <w:szCs w:val="22"/>
        </w:rPr>
        <w:t>.</w:t>
      </w:r>
      <w:r w:rsidR="00E1683B">
        <w:rPr>
          <w:rFonts w:ascii="Cambria" w:hAnsi="Cambria" w:cs="Cambria"/>
          <w:sz w:val="22"/>
          <w:szCs w:val="22"/>
        </w:rPr>
        <w:t xml:space="preserve"> 340/2015 Sb., o registru smluv, v platném znění.</w:t>
      </w:r>
    </w:p>
    <w:p w14:paraId="34E415BA" w14:textId="17BBEFD1" w:rsidR="00541ADB" w:rsidRDefault="00A13B27" w:rsidP="00677537">
      <w:pPr>
        <w:numPr>
          <w:ilvl w:val="1"/>
          <w:numId w:val="16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Tento dodatek je sepsán ve </w:t>
      </w:r>
      <w:r w:rsidR="00CA7B0D">
        <w:rPr>
          <w:rFonts w:ascii="Cambria" w:hAnsi="Cambria" w:cs="Cambria"/>
          <w:sz w:val="22"/>
          <w:szCs w:val="22"/>
        </w:rPr>
        <w:t>čtyřech stejnopisech, z nichž každá smluvní stran</w:t>
      </w:r>
      <w:r w:rsidR="00200E60" w:rsidRPr="00C65923">
        <w:rPr>
          <w:rFonts w:ascii="Cambria" w:hAnsi="Cambria" w:cs="Cambria"/>
          <w:sz w:val="22"/>
          <w:szCs w:val="22"/>
        </w:rPr>
        <w:t>a</w:t>
      </w:r>
      <w:r w:rsidR="00CA7B0D">
        <w:rPr>
          <w:rFonts w:ascii="Cambria" w:hAnsi="Cambria" w:cs="Cambria"/>
          <w:sz w:val="22"/>
          <w:szCs w:val="22"/>
        </w:rPr>
        <w:t xml:space="preserve"> obdrží dva stejnopisy.</w:t>
      </w:r>
    </w:p>
    <w:p w14:paraId="2D225697" w14:textId="77777777" w:rsidR="00541ADB" w:rsidRPr="00E1202C" w:rsidRDefault="00541ADB" w:rsidP="009E4478">
      <w:pPr>
        <w:jc w:val="both"/>
        <w:rPr>
          <w:rFonts w:ascii="Cambria" w:hAnsi="Cambria" w:cs="Cambria"/>
          <w:sz w:val="22"/>
          <w:szCs w:val="22"/>
        </w:rPr>
      </w:pPr>
    </w:p>
    <w:p w14:paraId="1960A66A" w14:textId="77777777" w:rsidR="00541ADB" w:rsidRDefault="00541ADB">
      <w:pPr>
        <w:ind w:left="737"/>
        <w:jc w:val="both"/>
        <w:rPr>
          <w:rFonts w:ascii="Cambria" w:hAnsi="Cambria" w:cs="Cambria"/>
          <w:sz w:val="22"/>
          <w:szCs w:val="22"/>
        </w:rPr>
      </w:pPr>
    </w:p>
    <w:p w14:paraId="2BDCF5E5" w14:textId="77777777" w:rsidR="00541ADB" w:rsidRDefault="00541ADB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541ADB" w:rsidRPr="009E4478" w14:paraId="0B0C15B4" w14:textId="77777777">
        <w:tc>
          <w:tcPr>
            <w:tcW w:w="4605" w:type="dxa"/>
            <w:shd w:val="clear" w:color="auto" w:fill="auto"/>
          </w:tcPr>
          <w:p w14:paraId="56D20D4F" w14:textId="77777777" w:rsidR="00541ADB" w:rsidRPr="009E4478" w:rsidRDefault="00F667E1" w:rsidP="00E1683B">
            <w:pPr>
              <w:ind w:firstLine="709"/>
              <w:rPr>
                <w:rFonts w:ascii="Cambria" w:hAnsi="Cambria" w:cs="Cambria"/>
                <w:sz w:val="22"/>
                <w:szCs w:val="22"/>
              </w:rPr>
            </w:pPr>
            <w:r w:rsidRPr="009E4478">
              <w:rPr>
                <w:rFonts w:ascii="Cambria" w:hAnsi="Cambria" w:cs="Cambria"/>
                <w:sz w:val="22"/>
                <w:szCs w:val="22"/>
              </w:rPr>
              <w:t>V </w:t>
            </w:r>
            <w:r w:rsidR="009E4478" w:rsidRPr="00E1683B">
              <w:rPr>
                <w:rFonts w:ascii="Cambria" w:hAnsi="Cambria" w:cs="Cambria"/>
                <w:sz w:val="22"/>
                <w:szCs w:val="22"/>
              </w:rPr>
              <w:t>……………………………….</w:t>
            </w:r>
            <w:r w:rsidRPr="009E4478">
              <w:rPr>
                <w:rFonts w:ascii="Cambria" w:hAnsi="Cambria" w:cs="Cambria"/>
                <w:sz w:val="22"/>
                <w:szCs w:val="22"/>
              </w:rPr>
              <w:t xml:space="preserve">, dne: </w:t>
            </w:r>
          </w:p>
        </w:tc>
        <w:tc>
          <w:tcPr>
            <w:tcW w:w="4606" w:type="dxa"/>
            <w:shd w:val="clear" w:color="auto" w:fill="auto"/>
          </w:tcPr>
          <w:p w14:paraId="5355759A" w14:textId="77777777" w:rsidR="00541ADB" w:rsidRDefault="00F667E1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1683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V </w:t>
            </w:r>
            <w:r w:rsidR="009E4478" w:rsidRPr="00E1683B">
              <w:rPr>
                <w:rFonts w:ascii="Cambria" w:hAnsi="Cambria" w:cs="Arial"/>
                <w:color w:val="000000"/>
                <w:sz w:val="22"/>
                <w:szCs w:val="22"/>
              </w:rPr>
              <w:t>………………………………………</w:t>
            </w:r>
            <w:r w:rsidRPr="00E1683B">
              <w:rPr>
                <w:rFonts w:ascii="Cambria" w:hAnsi="Cambria" w:cs="Arial"/>
                <w:color w:val="000000"/>
                <w:sz w:val="22"/>
                <w:szCs w:val="22"/>
              </w:rPr>
              <w:t>, dne:</w:t>
            </w:r>
          </w:p>
          <w:p w14:paraId="108D6FFD" w14:textId="77777777" w:rsidR="00E1683B" w:rsidRDefault="00E1683B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D0DE4A0" w14:textId="77777777" w:rsidR="00E1683B" w:rsidRDefault="00E1683B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39088BF1" w14:textId="77777777" w:rsidR="00E1683B" w:rsidRDefault="00E1683B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17ED70C6" w14:textId="77777777" w:rsidR="00E1683B" w:rsidRPr="00E1683B" w:rsidRDefault="00E1683B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541ADB" w:rsidRPr="009E4478" w14:paraId="213519AA" w14:textId="77777777">
        <w:tc>
          <w:tcPr>
            <w:tcW w:w="4605" w:type="dxa"/>
            <w:shd w:val="clear" w:color="auto" w:fill="auto"/>
          </w:tcPr>
          <w:p w14:paraId="69A94F96" w14:textId="77777777" w:rsidR="00541ADB" w:rsidRPr="009E4478" w:rsidRDefault="00541ADB" w:rsidP="00E1683B">
            <w:pPr>
              <w:ind w:firstLine="709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5F2C59" w14:textId="77777777" w:rsidR="00541ADB" w:rsidRPr="00E1683B" w:rsidRDefault="00541ADB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541ADB" w:rsidRPr="009E4478" w14:paraId="505C1660" w14:textId="77777777">
        <w:tc>
          <w:tcPr>
            <w:tcW w:w="4605" w:type="dxa"/>
            <w:shd w:val="clear" w:color="auto" w:fill="auto"/>
          </w:tcPr>
          <w:p w14:paraId="0D26659A" w14:textId="77777777" w:rsidR="00541ADB" w:rsidRPr="009E4478" w:rsidRDefault="00F667E1" w:rsidP="00E1683B">
            <w:pPr>
              <w:ind w:firstLine="709"/>
              <w:rPr>
                <w:rFonts w:ascii="Cambria" w:hAnsi="Cambria" w:cs="Cambria"/>
                <w:sz w:val="22"/>
                <w:szCs w:val="22"/>
              </w:rPr>
            </w:pPr>
            <w:r w:rsidRPr="009E4478">
              <w:rPr>
                <w:rFonts w:ascii="Cambria" w:hAnsi="Cambria" w:cs="Cambria"/>
                <w:sz w:val="22"/>
                <w:szCs w:val="22"/>
              </w:rPr>
              <w:t>--------------------------------------------------</w:t>
            </w:r>
          </w:p>
        </w:tc>
        <w:tc>
          <w:tcPr>
            <w:tcW w:w="4606" w:type="dxa"/>
            <w:shd w:val="clear" w:color="auto" w:fill="auto"/>
          </w:tcPr>
          <w:p w14:paraId="15148C6E" w14:textId="77777777" w:rsidR="00541ADB" w:rsidRPr="00E1683B" w:rsidRDefault="00F667E1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1683B">
              <w:rPr>
                <w:rFonts w:ascii="Cambria" w:hAnsi="Cambria" w:cs="Arial"/>
                <w:color w:val="000000"/>
                <w:sz w:val="22"/>
                <w:szCs w:val="22"/>
              </w:rPr>
              <w:t>--------------------------------------------------</w:t>
            </w:r>
          </w:p>
        </w:tc>
      </w:tr>
      <w:tr w:rsidR="00541ADB" w:rsidRPr="009E4478" w14:paraId="5FBEB277" w14:textId="77777777">
        <w:tc>
          <w:tcPr>
            <w:tcW w:w="4605" w:type="dxa"/>
            <w:shd w:val="clear" w:color="auto" w:fill="auto"/>
          </w:tcPr>
          <w:p w14:paraId="77D3467A" w14:textId="77777777" w:rsidR="00541ADB" w:rsidRPr="00E1683B" w:rsidRDefault="009E4478" w:rsidP="00E1683B">
            <w:pPr>
              <w:ind w:firstLine="709"/>
              <w:rPr>
                <w:rFonts w:ascii="Cambria" w:hAnsi="Cambria" w:cs="Cambria"/>
                <w:sz w:val="22"/>
                <w:szCs w:val="22"/>
              </w:rPr>
            </w:pPr>
            <w:r w:rsidRPr="00E1683B">
              <w:rPr>
                <w:rFonts w:ascii="Cambria" w:hAnsi="Cambria" w:cs="Cambria"/>
                <w:sz w:val="22"/>
                <w:szCs w:val="22"/>
              </w:rPr>
              <w:t>Ing. František Fabičiovic</w:t>
            </w:r>
          </w:p>
        </w:tc>
        <w:tc>
          <w:tcPr>
            <w:tcW w:w="4606" w:type="dxa"/>
            <w:shd w:val="clear" w:color="auto" w:fill="auto"/>
          </w:tcPr>
          <w:p w14:paraId="7F439BD8" w14:textId="77777777" w:rsidR="00541ADB" w:rsidRPr="00E1683B" w:rsidRDefault="009E4478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1683B">
              <w:rPr>
                <w:rFonts w:ascii="Cambria" w:hAnsi="Cambria" w:cs="Arial"/>
                <w:color w:val="000000"/>
                <w:sz w:val="22"/>
                <w:szCs w:val="22"/>
              </w:rPr>
              <w:t>Ing. Jiří Hašek, CSc.</w:t>
            </w:r>
          </w:p>
        </w:tc>
      </w:tr>
      <w:tr w:rsidR="00541ADB" w14:paraId="22B376D4" w14:textId="77777777">
        <w:tc>
          <w:tcPr>
            <w:tcW w:w="4605" w:type="dxa"/>
            <w:shd w:val="clear" w:color="auto" w:fill="auto"/>
          </w:tcPr>
          <w:p w14:paraId="31D168F5" w14:textId="77777777" w:rsidR="00541ADB" w:rsidRPr="00E1683B" w:rsidRDefault="009E4478" w:rsidP="00E1683B">
            <w:pPr>
              <w:ind w:firstLine="709"/>
              <w:rPr>
                <w:rFonts w:ascii="Cambria" w:hAnsi="Cambria" w:cs="Cambria"/>
                <w:sz w:val="22"/>
                <w:szCs w:val="22"/>
              </w:rPr>
            </w:pPr>
            <w:r w:rsidRPr="00E1683B">
              <w:rPr>
                <w:rFonts w:ascii="Cambria" w:hAnsi="Cambria" w:cs="Cambria"/>
                <w:sz w:val="22"/>
                <w:szCs w:val="22"/>
              </w:rPr>
              <w:t>Jednatel</w:t>
            </w:r>
          </w:p>
        </w:tc>
        <w:tc>
          <w:tcPr>
            <w:tcW w:w="4606" w:type="dxa"/>
            <w:shd w:val="clear" w:color="auto" w:fill="auto"/>
          </w:tcPr>
          <w:p w14:paraId="49B43DCB" w14:textId="77777777" w:rsidR="00541ADB" w:rsidRPr="00E1683B" w:rsidRDefault="009E4478" w:rsidP="00E1683B">
            <w:pPr>
              <w:ind w:firstLine="709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E1683B">
              <w:rPr>
                <w:rFonts w:ascii="Cambria" w:hAnsi="Cambria" w:cs="Arial"/>
                <w:color w:val="000000"/>
                <w:sz w:val="22"/>
                <w:szCs w:val="22"/>
              </w:rPr>
              <w:t>ředitel</w:t>
            </w:r>
          </w:p>
        </w:tc>
      </w:tr>
    </w:tbl>
    <w:p w14:paraId="59E273F0" w14:textId="77777777" w:rsidR="00541ADB" w:rsidRDefault="00541ADB"/>
    <w:p w14:paraId="5F869E9E" w14:textId="77777777" w:rsidR="00D05681" w:rsidRDefault="00D05681"/>
    <w:p w14:paraId="4A800AD5" w14:textId="1FEBD63B" w:rsidR="00D05681" w:rsidRPr="00C65923" w:rsidRDefault="00D05681">
      <w:pPr>
        <w:rPr>
          <w:u w:val="single"/>
        </w:rPr>
      </w:pPr>
      <w:r w:rsidRPr="00C65923">
        <w:rPr>
          <w:u w:val="single"/>
        </w:rPr>
        <w:t>Příloh</w:t>
      </w:r>
      <w:r w:rsidR="00200E60" w:rsidRPr="00C65923">
        <w:rPr>
          <w:u w:val="single"/>
        </w:rPr>
        <w:t>a č. 2.1.</w:t>
      </w:r>
      <w:r w:rsidRPr="00C65923">
        <w:rPr>
          <w:u w:val="single"/>
        </w:rPr>
        <w:t>:</w:t>
      </w:r>
    </w:p>
    <w:p w14:paraId="2D2C7BC0" w14:textId="77777777" w:rsidR="00D05681" w:rsidRDefault="00D05681">
      <w:r>
        <w:t>Upravený rozpočet projektu</w:t>
      </w:r>
    </w:p>
    <w:sectPr w:rsidR="00D05681">
      <w:footerReference w:type="default" r:id="rId8"/>
      <w:footerReference w:type="first" r:id="rId9"/>
      <w:pgSz w:w="11906" w:h="16838"/>
      <w:pgMar w:top="1276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2098" w14:textId="77777777" w:rsidR="00E91016" w:rsidRDefault="00E91016">
      <w:r>
        <w:separator/>
      </w:r>
    </w:p>
  </w:endnote>
  <w:endnote w:type="continuationSeparator" w:id="0">
    <w:p w14:paraId="3C4D3D2E" w14:textId="77777777" w:rsidR="00E91016" w:rsidRDefault="00E9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FBBA" w14:textId="637B8D40" w:rsidR="00541ADB" w:rsidRDefault="00F667E1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242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77242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D3A2" w14:textId="77777777" w:rsidR="00541ADB" w:rsidRDefault="00541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8D0E" w14:textId="77777777" w:rsidR="00E91016" w:rsidRDefault="00E91016">
      <w:r>
        <w:separator/>
      </w:r>
    </w:p>
  </w:footnote>
  <w:footnote w:type="continuationSeparator" w:id="0">
    <w:p w14:paraId="70A98B20" w14:textId="77777777" w:rsidR="00E91016" w:rsidRDefault="00E9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ascii="Cambria" w:hAnsi="Cambria" w:cs="Cambria"/>
        <w:b w:val="0"/>
        <w:bCs/>
        <w:color w:val="auto"/>
        <w:spacing w:val="-2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3.%1"/>
      <w:lvlJc w:val="left"/>
      <w:pPr>
        <w:tabs>
          <w:tab w:val="num" w:pos="737"/>
        </w:tabs>
        <w:ind w:left="737" w:hanging="737"/>
      </w:pPr>
      <w:rPr>
        <w:rFonts w:ascii="Cambria" w:hAnsi="Cambria" w:cs="Cambria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1.%1"/>
      <w:lvlJc w:val="left"/>
      <w:pPr>
        <w:tabs>
          <w:tab w:val="num" w:pos="0"/>
        </w:tabs>
        <w:ind w:left="1423" w:hanging="360"/>
      </w:pPr>
      <w:rPr>
        <w:rFonts w:ascii="Cambria" w:eastAsia="MyriadPro-Light" w:hAnsi="Cambria" w:cs="Cambria"/>
        <w:b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4.%1"/>
      <w:lvlJc w:val="left"/>
      <w:pPr>
        <w:tabs>
          <w:tab w:val="num" w:pos="737"/>
        </w:tabs>
        <w:ind w:left="737" w:hanging="737"/>
      </w:pPr>
      <w:rPr>
        <w:rFonts w:ascii="Cambria" w:hAnsi="Cambria" w:cs="Cambria"/>
        <w:b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7.1.%1"/>
      <w:lvlJc w:val="left"/>
      <w:pPr>
        <w:tabs>
          <w:tab w:val="num" w:pos="2155"/>
        </w:tabs>
        <w:ind w:left="2155" w:hanging="737"/>
      </w:pPr>
      <w:rPr>
        <w:rFonts w:ascii="Cambria" w:hAnsi="Cambria" w:cs="Calibri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ascii="Cambria" w:hAnsi="Cambria" w:cs="Cambria"/>
        <w:b w:val="0"/>
        <w:color w:val="auto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0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Cambria" w:hAnsi="Cambria" w:cs="Cambri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7.%1"/>
      <w:lvlJc w:val="left"/>
      <w:pPr>
        <w:tabs>
          <w:tab w:val="num" w:pos="737"/>
        </w:tabs>
        <w:ind w:left="737" w:hanging="737"/>
      </w:pPr>
      <w:rPr>
        <w:rFonts w:cs="Cambria"/>
        <w:b w:val="0"/>
      </w:rPr>
    </w:lvl>
  </w:abstractNum>
  <w:abstractNum w:abstractNumId="11" w15:restartNumberingAfterBreak="0">
    <w:nsid w:val="0000000C"/>
    <w:multiLevelType w:val="singleLevel"/>
    <w:tmpl w:val="0D1C6E6A"/>
    <w:name w:val="WW8Num11"/>
    <w:lvl w:ilvl="0">
      <w:start w:val="1"/>
      <w:numFmt w:val="decimal"/>
      <w:lvlText w:val="2.%1"/>
      <w:lvlJc w:val="left"/>
      <w:pPr>
        <w:tabs>
          <w:tab w:val="num" w:pos="142"/>
        </w:tabs>
        <w:ind w:left="851" w:hanging="709"/>
      </w:pPr>
      <w:rPr>
        <w:rFonts w:ascii="Cambria" w:hAnsi="Cambria" w:cs="Cambria" w:hint="default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3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4820" w:hanging="567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567"/>
        </w:tabs>
        <w:ind w:left="567" w:hanging="567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FB4F8F"/>
    <w:multiLevelType w:val="multilevel"/>
    <w:tmpl w:val="E4786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055805"/>
    <w:multiLevelType w:val="multilevel"/>
    <w:tmpl w:val="F9306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B6B29"/>
    <w:multiLevelType w:val="multilevel"/>
    <w:tmpl w:val="99CA6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2C"/>
    <w:rsid w:val="00200E60"/>
    <w:rsid w:val="00233D27"/>
    <w:rsid w:val="00295015"/>
    <w:rsid w:val="004C1D5A"/>
    <w:rsid w:val="00541ADB"/>
    <w:rsid w:val="00677537"/>
    <w:rsid w:val="006F4EEE"/>
    <w:rsid w:val="00722A26"/>
    <w:rsid w:val="00725DA1"/>
    <w:rsid w:val="0077242A"/>
    <w:rsid w:val="007C7352"/>
    <w:rsid w:val="008D2AE4"/>
    <w:rsid w:val="009E4478"/>
    <w:rsid w:val="00A13B27"/>
    <w:rsid w:val="00A64BE7"/>
    <w:rsid w:val="00AD2B4F"/>
    <w:rsid w:val="00B366C4"/>
    <w:rsid w:val="00B64F47"/>
    <w:rsid w:val="00C65923"/>
    <w:rsid w:val="00CA7B0D"/>
    <w:rsid w:val="00D05681"/>
    <w:rsid w:val="00DD2C9C"/>
    <w:rsid w:val="00E1202C"/>
    <w:rsid w:val="00E1683B"/>
    <w:rsid w:val="00E91016"/>
    <w:rsid w:val="00F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AC4446"/>
  <w15:docId w15:val="{C7F8FD1C-012C-4E6D-B5BA-6FFD88D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left" w:pos="284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before="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verflowPunct/>
      <w:autoSpaceDE/>
      <w:textAlignment w:val="auto"/>
      <w:outlineLvl w:val="2"/>
    </w:pPr>
    <w:rPr>
      <w:rFonts w:ascii="Arial" w:hAnsi="Arial" w:cs="Arial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tabs>
        <w:tab w:val="left" w:pos="4111"/>
      </w:tabs>
      <w:ind w:left="0"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tabs>
        <w:tab w:val="left" w:pos="709"/>
        <w:tab w:val="left" w:pos="1418"/>
      </w:tabs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jc w:val="center"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ind w:left="0" w:firstLine="851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ind w:left="0" w:firstLine="284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ambria" w:hAnsi="Cambria" w:cs="Cambria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mbria" w:hAnsi="Cambria" w:cs="Cambria"/>
      <w:b w:val="0"/>
      <w:bCs/>
      <w:color w:val="auto"/>
      <w:spacing w:val="-2"/>
      <w:sz w:val="22"/>
      <w:szCs w:val="22"/>
    </w:rPr>
  </w:style>
  <w:style w:type="character" w:customStyle="1" w:styleId="WW8Num4z0">
    <w:name w:val="WW8Num4z0"/>
    <w:rPr>
      <w:rFonts w:ascii="Cambria" w:hAnsi="Cambria" w:cs="Cambria"/>
      <w:b w:val="0"/>
      <w:color w:val="auto"/>
      <w:sz w:val="22"/>
      <w:szCs w:val="22"/>
    </w:rPr>
  </w:style>
  <w:style w:type="character" w:customStyle="1" w:styleId="WW8Num5z0">
    <w:name w:val="WW8Num5z0"/>
    <w:rPr>
      <w:rFonts w:ascii="Cambria" w:eastAsia="MyriadPro-Light" w:hAnsi="Cambria" w:cs="Cambria"/>
      <w:b w:val="0"/>
      <w:sz w:val="22"/>
      <w:szCs w:val="22"/>
    </w:rPr>
  </w:style>
  <w:style w:type="character" w:customStyle="1" w:styleId="WW8Num6z0">
    <w:name w:val="WW8Num6z0"/>
    <w:rPr>
      <w:rFonts w:ascii="Cambria" w:hAnsi="Cambria" w:cs="Cambria"/>
      <w:b w:val="0"/>
      <w:sz w:val="22"/>
      <w:szCs w:val="22"/>
    </w:rPr>
  </w:style>
  <w:style w:type="character" w:customStyle="1" w:styleId="WW8Num7z0">
    <w:name w:val="WW8Num7z0"/>
    <w:rPr>
      <w:rFonts w:ascii="Cambria" w:hAnsi="Cambria" w:cs="Calibri"/>
      <w:sz w:val="22"/>
      <w:szCs w:val="22"/>
    </w:rPr>
  </w:style>
  <w:style w:type="character" w:customStyle="1" w:styleId="WW8Num8z0">
    <w:name w:val="WW8Num8z0"/>
    <w:rPr>
      <w:rFonts w:ascii="Cambria" w:hAnsi="Cambria" w:cs="Cambria"/>
      <w:b w:val="0"/>
      <w:color w:val="auto"/>
      <w:sz w:val="22"/>
      <w:szCs w:val="22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ambria" w:hAnsi="Cambria" w:cs="Cambria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mbria"/>
      <w:b w:val="0"/>
    </w:rPr>
  </w:style>
  <w:style w:type="character" w:customStyle="1" w:styleId="WW8Num11z0">
    <w:name w:val="WW8Num11z0"/>
    <w:rPr>
      <w:rFonts w:ascii="Cambria" w:hAnsi="Cambria" w:cs="Cambria"/>
      <w:sz w:val="22"/>
      <w:szCs w:val="22"/>
    </w:rPr>
  </w:style>
  <w:style w:type="character" w:customStyle="1" w:styleId="WW8Num12z0">
    <w:name w:val="WW8Num12z0"/>
    <w:rPr>
      <w:rFonts w:ascii="Calibri" w:hAnsi="Calibri" w:cs="Calibri"/>
      <w:b/>
      <w:sz w:val="22"/>
      <w:szCs w:val="22"/>
    </w:rPr>
  </w:style>
  <w:style w:type="character" w:customStyle="1" w:styleId="WW8Num12z1">
    <w:name w:val="WW8Num12z1"/>
    <w:rPr>
      <w:rFonts w:ascii="Calibri" w:hAnsi="Calibri" w:cs="Calibri"/>
      <w:b w:val="0"/>
      <w:sz w:val="22"/>
      <w:szCs w:val="22"/>
    </w:rPr>
  </w:style>
  <w:style w:type="character" w:customStyle="1" w:styleId="WW8Num12z2">
    <w:name w:val="WW8Num12z2"/>
    <w:rPr>
      <w:rFonts w:ascii="Calibri" w:hAnsi="Calibri" w:cs="Calibri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1">
    <w:name w:val="WW8Num3z1"/>
    <w:rPr>
      <w:rFonts w:ascii="Cambria" w:hAnsi="Cambria" w:cs="Cambria"/>
      <w:color w:val="00000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0">
    <w:name w:val="WW8Num13z0"/>
    <w:rPr>
      <w:rFonts w:ascii="Cambria" w:hAnsi="Cambria" w:cs="Calibri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  <w:rPr>
      <w:b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hAnsi="Cambria" w:cs="Cambria"/>
      <w:b w:val="0"/>
      <w:color w:val="auto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Cambria" w:hAnsi="Cambria" w:cs="Cambria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b w:val="0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b w:val="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b w:val="0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Cambria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mbria" w:hAnsi="Cambria" w:cs="Cambria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Pr>
      <w:rFonts w:ascii="Calibri" w:hAnsi="Calibri" w:cs="Calibri"/>
      <w:b w:val="0"/>
      <w:sz w:val="22"/>
      <w:szCs w:val="22"/>
    </w:rPr>
  </w:style>
  <w:style w:type="character" w:customStyle="1" w:styleId="WW8Num24z2">
    <w:name w:val="WW8Num24z2"/>
    <w:rPr>
      <w:rFonts w:ascii="Calibri" w:hAnsi="Calibri" w:cs="Calibri"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  <w:rPr>
      <w:b w:val="0"/>
      <w:color w:val="auto"/>
      <w:sz w:val="22"/>
      <w:szCs w:val="2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text00">
    <w:name w:val="text00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Standardnpsmoodstavce1"/>
  </w:style>
  <w:style w:type="character" w:customStyle="1" w:styleId="FootnoteCharacters">
    <w:name w:val="Footnote Characters"/>
    <w:rPr>
      <w:vertAlign w:val="superscript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284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before="40"/>
      <w:jc w:val="both"/>
    </w:pPr>
  </w:style>
  <w:style w:type="paragraph" w:customStyle="1" w:styleId="Zkladntext31">
    <w:name w:val="Základní text 31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1260"/>
        <w:tab w:val="right" w:pos="5220"/>
      </w:tabs>
      <w:overflowPunct/>
      <w:autoSpaceDE/>
      <w:ind w:left="360" w:hanging="360"/>
      <w:jc w:val="both"/>
      <w:textAlignment w:val="auto"/>
    </w:pPr>
    <w:rPr>
      <w:sz w:val="24"/>
      <w:szCs w:val="24"/>
    </w:rPr>
  </w:style>
  <w:style w:type="paragraph" w:customStyle="1" w:styleId="CommentText">
    <w:name w:val="Comment Text"/>
    <w:basedOn w:val="Normln"/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zkladntextimp">
    <w:name w:val="zkladntextimp"/>
    <w:basedOn w:val="Normln"/>
    <w:pPr>
      <w:spacing w:line="228" w:lineRule="auto"/>
      <w:textAlignment w:val="auto"/>
    </w:pPr>
    <w:rPr>
      <w:rFonts w:eastAsia="Calibri"/>
    </w:rPr>
  </w:style>
  <w:style w:type="paragraph" w:styleId="Textpoznpodarou">
    <w:name w:val="footnote text"/>
    <w:basedOn w:val="Normln"/>
    <w:pPr>
      <w:overflowPunct/>
      <w:autoSpaceDE/>
      <w:textAlignment w:val="auto"/>
    </w:pPr>
  </w:style>
  <w:style w:type="paragraph" w:customStyle="1" w:styleId="Numm1">
    <w:name w:val="Numm§ 1"/>
    <w:basedOn w:val="Normln"/>
    <w:next w:val="Normln"/>
    <w:pPr>
      <w:numPr>
        <w:numId w:val="13"/>
      </w:numPr>
      <w:overflowPunct/>
      <w:autoSpaceDE/>
      <w:jc w:val="center"/>
      <w:textAlignment w:val="auto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pPr>
      <w:tabs>
        <w:tab w:val="num" w:pos="0"/>
      </w:tabs>
      <w:overflowPunct/>
      <w:autoSpaceDE/>
      <w:ind w:left="4820" w:hanging="567"/>
      <w:textAlignment w:val="auto"/>
    </w:pPr>
    <w:rPr>
      <w:sz w:val="24"/>
      <w:szCs w:val="24"/>
    </w:rPr>
  </w:style>
  <w:style w:type="paragraph" w:customStyle="1" w:styleId="Numm3">
    <w:name w:val="Numm§ 3"/>
    <w:basedOn w:val="Normln"/>
    <w:next w:val="Normln"/>
    <w:pPr>
      <w:tabs>
        <w:tab w:val="num" w:pos="0"/>
      </w:tabs>
      <w:overflowPunct/>
      <w:autoSpaceDE/>
      <w:ind w:left="4820" w:hanging="567"/>
      <w:textAlignment w:val="auto"/>
    </w:pPr>
    <w:rPr>
      <w:sz w:val="24"/>
      <w:szCs w:val="24"/>
    </w:rPr>
  </w:style>
  <w:style w:type="paragraph" w:customStyle="1" w:styleId="MediumGrid1-Accent2">
    <w:name w:val="Medium Grid 1 - Accent 2"/>
    <w:basedOn w:val="Normln"/>
    <w:pPr>
      <w:ind w:left="708"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D2B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2B4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B4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B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B4F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B4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063D-E14A-417D-8C2A-FCD31E2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2885</Characters>
  <Application>Microsoft Office Word</Application>
  <DocSecurity>0</DocSecurity>
  <Lines>58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EUREKA</vt:lpstr>
    </vt:vector>
  </TitlesOfParts>
  <Company>ALCA Plast s.r.o.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EUREKA</dc:title>
  <dc:creator>Miroslava Hučínová</dc:creator>
  <cp:lastModifiedBy>Čudová Lucie</cp:lastModifiedBy>
  <cp:revision>2</cp:revision>
  <cp:lastPrinted>2018-11-19T13:16:00Z</cp:lastPrinted>
  <dcterms:created xsi:type="dcterms:W3CDTF">2019-01-25T13:04:00Z</dcterms:created>
  <dcterms:modified xsi:type="dcterms:W3CDTF">2019-01-25T13:04:00Z</dcterms:modified>
</cp:coreProperties>
</file>