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1C" w:rsidRDefault="0047441C" w:rsidP="0047441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Základní škola Petřiny – sever, Praha</w:t>
      </w:r>
    </w:p>
    <w:p w:rsidR="0047441C" w:rsidRDefault="0047441C" w:rsidP="0047441C">
      <w:pPr>
        <w:pStyle w:val="Standard"/>
        <w:pBdr>
          <w:bottom w:val="single" w:sz="4" w:space="0" w:color="00000A"/>
        </w:pBdr>
      </w:pPr>
      <w:r>
        <w:rPr>
          <w:rFonts w:ascii="Times New Roman" w:hAnsi="Times New Roman" w:cs="Times New Roman"/>
          <w:b/>
          <w:sz w:val="24"/>
          <w:szCs w:val="24"/>
        </w:rPr>
        <w:t>Na Okraji 43/305, PSČ 162 00</w:t>
      </w:r>
      <w:r>
        <w:rPr>
          <w:rFonts w:ascii="Times New Roman" w:hAnsi="Times New Roman" w:cs="Times New Roman"/>
          <w:b/>
          <w:sz w:val="24"/>
          <w:szCs w:val="24"/>
        </w:rPr>
        <w:tab/>
        <w:t>e-mail: škola@zspetriny.cz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tel/fax 235366150</w:t>
      </w:r>
    </w:p>
    <w:p w:rsidR="0047441C" w:rsidRDefault="0047441C" w:rsidP="0047441C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Základní škola Petřiny – sever, </w:t>
      </w:r>
      <w:r>
        <w:rPr>
          <w:rFonts w:ascii="Times New Roman" w:hAnsi="Times New Roman" w:cs="Times New Roman"/>
          <w:b/>
          <w:sz w:val="24"/>
          <w:szCs w:val="24"/>
        </w:rPr>
        <w:t>Na Okraji 43/305, 162 00 Praha 6 – Veleslavín</w:t>
      </w:r>
    </w:p>
    <w:p w:rsidR="0004047A" w:rsidRDefault="0047441C" w:rsidP="0047441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odběratel, tel. </w:t>
      </w:r>
    </w:p>
    <w:p w:rsidR="0047441C" w:rsidRDefault="0047441C" w:rsidP="0047441C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DIČ</w:t>
      </w:r>
      <w:r>
        <w:rPr>
          <w:rFonts w:ascii="Times New Roman" w:hAnsi="Times New Roman" w:cs="Times New Roman"/>
          <w:b/>
          <w:sz w:val="24"/>
          <w:szCs w:val="24"/>
        </w:rPr>
        <w:t> 481 33795</w:t>
      </w:r>
      <w:r>
        <w:rPr>
          <w:rFonts w:ascii="Times New Roman" w:hAnsi="Times New Roman" w:cs="Times New Roman"/>
          <w:sz w:val="24"/>
          <w:szCs w:val="24"/>
        </w:rPr>
        <w:t xml:space="preserve">, bankovní spojení </w:t>
      </w:r>
    </w:p>
    <w:p w:rsidR="0047441C" w:rsidRDefault="0047441C" w:rsidP="0047441C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Fonts w:ascii="Times New Roman" w:hAnsi="Times New Roman" w:cs="Times New Roman"/>
          <w:b/>
          <w:sz w:val="24"/>
          <w:szCs w:val="24"/>
        </w:rPr>
        <w:t>ředitelkou Mgr. Janou Kindlovou</w:t>
      </w:r>
    </w:p>
    <w:p w:rsidR="0047441C" w:rsidRDefault="0047441C" w:rsidP="0047441C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7441C" w:rsidRDefault="0047441C" w:rsidP="0047441C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>
        <w:rPr>
          <w:rFonts w:ascii="Times New Roman" w:hAnsi="Times New Roman" w:cs="Times New Roman"/>
          <w:sz w:val="24"/>
          <w:szCs w:val="24"/>
        </w:rPr>
        <w:tab/>
      </w:r>
      <w:r w:rsidRPr="00F4671A">
        <w:rPr>
          <w:rFonts w:ascii="Times New Roman" w:hAnsi="Times New Roman" w:cs="Times New Roman"/>
          <w:b/>
          <w:sz w:val="24"/>
          <w:szCs w:val="24"/>
        </w:rPr>
        <w:t>Bílé Hory s.r.o.</w:t>
      </w:r>
      <w:r>
        <w:rPr>
          <w:rFonts w:ascii="Times New Roman" w:hAnsi="Times New Roman" w:cs="Times New Roman"/>
          <w:sz w:val="24"/>
          <w:szCs w:val="24"/>
        </w:rPr>
        <w:tab/>
        <w:t xml:space="preserve">adresa  </w:t>
      </w:r>
      <w:proofErr w:type="spellStart"/>
      <w:r w:rsidRPr="00F4671A">
        <w:rPr>
          <w:rFonts w:ascii="Times New Roman" w:hAnsi="Times New Roman" w:cs="Times New Roman"/>
          <w:b/>
          <w:sz w:val="24"/>
          <w:szCs w:val="24"/>
        </w:rPr>
        <w:t>Kolomuty</w:t>
      </w:r>
      <w:proofErr w:type="spellEnd"/>
      <w:r w:rsidRPr="00F4671A">
        <w:rPr>
          <w:rFonts w:ascii="Times New Roman" w:hAnsi="Times New Roman" w:cs="Times New Roman"/>
          <w:b/>
          <w:sz w:val="24"/>
          <w:szCs w:val="24"/>
        </w:rPr>
        <w:t xml:space="preserve"> 23, </w:t>
      </w:r>
      <w:proofErr w:type="gramStart"/>
      <w:r w:rsidRPr="00F4671A">
        <w:rPr>
          <w:rFonts w:ascii="Times New Roman" w:hAnsi="Times New Roman" w:cs="Times New Roman"/>
          <w:b/>
          <w:sz w:val="24"/>
          <w:szCs w:val="24"/>
        </w:rPr>
        <w:t>293 01 , Mladá</w:t>
      </w:r>
      <w:proofErr w:type="gramEnd"/>
      <w:r w:rsidRPr="00F4671A">
        <w:rPr>
          <w:rFonts w:ascii="Times New Roman" w:hAnsi="Times New Roman" w:cs="Times New Roman"/>
          <w:b/>
          <w:sz w:val="24"/>
          <w:szCs w:val="24"/>
        </w:rPr>
        <w:t xml:space="preserve"> Boleslav</w:t>
      </w:r>
    </w:p>
    <w:p w:rsidR="0004047A" w:rsidRDefault="0047441C" w:rsidP="0047441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, IČO</w:t>
      </w:r>
      <w:r>
        <w:rPr>
          <w:rFonts w:ascii="Times New Roman" w:hAnsi="Times New Roman" w:cs="Times New Roman"/>
          <w:sz w:val="24"/>
          <w:szCs w:val="24"/>
        </w:rPr>
        <w:tab/>
      </w:r>
      <w:r w:rsidRPr="00F4671A">
        <w:rPr>
          <w:rFonts w:ascii="Times New Roman" w:hAnsi="Times New Roman" w:cs="Times New Roman"/>
          <w:b/>
          <w:sz w:val="24"/>
          <w:szCs w:val="24"/>
        </w:rPr>
        <w:t>05504228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, bankovní spojení </w:t>
      </w:r>
    </w:p>
    <w:p w:rsidR="0047441C" w:rsidRPr="00F4671A" w:rsidRDefault="0047441C" w:rsidP="0047441C">
      <w:pPr>
        <w:pStyle w:val="Standard"/>
        <w:spacing w:after="0"/>
        <w:rPr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zastoupený  </w:t>
      </w:r>
      <w:proofErr w:type="spellStart"/>
      <w:r w:rsidRPr="00F4671A">
        <w:rPr>
          <w:rFonts w:ascii="Times New Roman" w:hAnsi="Times New Roman" w:cs="Times New Roman"/>
          <w:b/>
          <w:sz w:val="24"/>
          <w:szCs w:val="24"/>
        </w:rPr>
        <w:t>Tošovský</w:t>
      </w:r>
      <w:proofErr w:type="spellEnd"/>
      <w:proofErr w:type="gramEnd"/>
      <w:r w:rsidRPr="00F4671A">
        <w:rPr>
          <w:rFonts w:ascii="Times New Roman" w:hAnsi="Times New Roman" w:cs="Times New Roman"/>
          <w:b/>
          <w:sz w:val="24"/>
          <w:szCs w:val="24"/>
        </w:rPr>
        <w:t xml:space="preserve"> Lukáš</w:t>
      </w:r>
    </w:p>
    <w:p w:rsidR="0047441C" w:rsidRDefault="0047441C" w:rsidP="0047441C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uzavírají spolu tuto</w:t>
      </w:r>
    </w:p>
    <w:p w:rsidR="0047441C" w:rsidRDefault="0047441C" w:rsidP="0047441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SMLOUVU O ZAJIŠTĚNÍ ŠVP</w:t>
      </w:r>
    </w:p>
    <w:p w:rsidR="0047441C" w:rsidRDefault="0047441C" w:rsidP="0047441C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Dodavatel zajistí ubytování a </w:t>
      </w:r>
      <w:proofErr w:type="gramStart"/>
      <w:r>
        <w:rPr>
          <w:rFonts w:ascii="Times New Roman" w:hAnsi="Times New Roman" w:cs="Times New Roman"/>
          <w:sz w:val="24"/>
          <w:szCs w:val="24"/>
        </w:rPr>
        <w:t>stravování v </w:t>
      </w:r>
      <w:r>
        <w:rPr>
          <w:rFonts w:ascii="Times New Roman" w:hAnsi="Times New Roman" w:cs="Times New Roman"/>
          <w:b/>
          <w:sz w:val="24"/>
          <w:szCs w:val="24"/>
        </w:rPr>
        <w:t>, chatě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Rokytnice nad Jizerou</w:t>
      </w:r>
    </w:p>
    <w:p w:rsidR="0047441C" w:rsidRDefault="0047441C" w:rsidP="0047441C">
      <w:pPr>
        <w:pStyle w:val="Odstavecseseznamem"/>
      </w:pPr>
      <w:r>
        <w:rPr>
          <w:rFonts w:ascii="Times New Roman" w:hAnsi="Times New Roman" w:cs="Times New Roman"/>
          <w:sz w:val="24"/>
          <w:szCs w:val="24"/>
        </w:rPr>
        <w:t xml:space="preserve">v termínu od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3.3.2019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8.3.2019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569" w:type="dxa"/>
        <w:tblInd w:w="6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7"/>
        <w:gridCol w:w="1427"/>
        <w:gridCol w:w="1428"/>
        <w:gridCol w:w="1429"/>
        <w:gridCol w:w="1430"/>
        <w:gridCol w:w="1428"/>
      </w:tblGrid>
      <w:tr w:rsidR="0047441C" w:rsidTr="009C37B0">
        <w:tc>
          <w:tcPr>
            <w:tcW w:w="14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 kalkulace za pobyt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žáků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na osobu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dospělých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za dospělé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47441C" w:rsidTr="009C37B0">
        <w:tc>
          <w:tcPr>
            <w:tcW w:w="14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/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F4671A" w:rsidP="009C37B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2 510 Kč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F4671A" w:rsidP="009C37B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10 080 Kč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F4671A" w:rsidP="009C37B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115 500 Kč</w:t>
            </w:r>
          </w:p>
        </w:tc>
      </w:tr>
    </w:tbl>
    <w:p w:rsidR="0047441C" w:rsidRDefault="0047441C" w:rsidP="0047441C">
      <w:pPr>
        <w:pStyle w:val="Odstavecseseznamem"/>
      </w:pPr>
      <w:r>
        <w:rPr>
          <w:rFonts w:ascii="Times New Roman" w:hAnsi="Times New Roman" w:cs="Times New Roman"/>
          <w:sz w:val="24"/>
          <w:szCs w:val="24"/>
        </w:rPr>
        <w:t>Náklady na ubytování a stravování budou účtovány podle skutečného počtu žáků a pedagogického doprovodu, nahlášeného po příjezdu.</w:t>
      </w:r>
    </w:p>
    <w:p w:rsidR="0047441C" w:rsidRDefault="0047441C" w:rsidP="004744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Pobyt školy v objektu</w:t>
      </w:r>
    </w:p>
    <w:tbl>
      <w:tblPr>
        <w:tblW w:w="8568" w:type="dxa"/>
        <w:tblInd w:w="6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2"/>
        <w:gridCol w:w="1559"/>
        <w:gridCol w:w="2410"/>
        <w:gridCol w:w="3367"/>
      </w:tblGrid>
      <w:tr w:rsidR="0047441C" w:rsidTr="009C37B0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Strava začíná (končí) jídlem</w:t>
            </w:r>
          </w:p>
        </w:tc>
      </w:tr>
      <w:tr w:rsidR="0047441C" w:rsidTr="009C37B0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Nástup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3.3.2019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večeře</w:t>
            </w:r>
          </w:p>
        </w:tc>
      </w:tr>
      <w:tr w:rsidR="0047441C" w:rsidTr="009C37B0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ukončení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8.3.2019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41C" w:rsidRDefault="0047441C" w:rsidP="009C37B0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</w:tr>
    </w:tbl>
    <w:p w:rsidR="0047441C" w:rsidRDefault="0047441C" w:rsidP="004744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 Dodavatel prohlašuje, že uvedený objekt splňuje podmínky pro zabezpečení výchovy a výuky, zejména dostatek výukových místností. Pobyt školy v přírodě nebude narušen ubytovacími nebo restauračními službami pro cizí osoby. Pro ubytování zdravotníka bude zdarma vyčleněn zvláštní pokoj, který bude zároveň ošetřovnou a další pokoj jako izolace pro </w:t>
      </w:r>
      <w:r>
        <w:rPr>
          <w:rFonts w:ascii="Times New Roman" w:hAnsi="Times New Roman" w:cs="Times New Roman"/>
          <w:sz w:val="24"/>
          <w:szCs w:val="24"/>
        </w:rPr>
        <w:lastRenderedPageBreak/>
        <w:t>nemocné. Dále se dodavatel zavazuje k dodržování zákona č.101/2000 Sb. o ochraně osobních údajů, v platném znění, práv a povinností vyplývajících z Obecného nařízení.</w:t>
      </w:r>
    </w:p>
    <w:p w:rsidR="0047441C" w:rsidRDefault="0047441C" w:rsidP="004744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Nejbli</w:t>
      </w:r>
      <w:r w:rsidR="00F4671A">
        <w:rPr>
          <w:rFonts w:ascii="Times New Roman" w:hAnsi="Times New Roman" w:cs="Times New Roman"/>
          <w:sz w:val="24"/>
          <w:szCs w:val="24"/>
        </w:rPr>
        <w:t xml:space="preserve">žší lékařskou péči poskytuje </w:t>
      </w:r>
      <w:proofErr w:type="spellStart"/>
      <w:r w:rsidR="00F4671A">
        <w:rPr>
          <w:rFonts w:ascii="Times New Roman" w:hAnsi="Times New Roman" w:cs="Times New Roman"/>
          <w:b/>
          <w:sz w:val="24"/>
          <w:szCs w:val="24"/>
        </w:rPr>
        <w:t>Mudr</w:t>
      </w:r>
      <w:proofErr w:type="spellEnd"/>
      <w:r w:rsidR="00F4671A">
        <w:rPr>
          <w:rFonts w:ascii="Times New Roman" w:hAnsi="Times New Roman" w:cs="Times New Roman"/>
          <w:b/>
          <w:sz w:val="24"/>
          <w:szCs w:val="24"/>
        </w:rPr>
        <w:t>. Olga Soukupová, Horní 197, 512</w:t>
      </w:r>
      <w:r w:rsidR="00366BFE">
        <w:rPr>
          <w:rFonts w:ascii="Times New Roman" w:hAnsi="Times New Roman" w:cs="Times New Roman"/>
          <w:b/>
          <w:sz w:val="24"/>
          <w:szCs w:val="24"/>
        </w:rPr>
        <w:t> </w:t>
      </w:r>
      <w:r w:rsidR="00F4671A">
        <w:rPr>
          <w:rFonts w:ascii="Times New Roman" w:hAnsi="Times New Roman" w:cs="Times New Roman"/>
          <w:b/>
          <w:sz w:val="24"/>
          <w:szCs w:val="24"/>
        </w:rPr>
        <w:t>44 Rokytnice nad Jizerou, tel. 734 558 246 (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centrum, Horská služba, 155</w:t>
      </w:r>
      <w:r w:rsidR="00F4671A">
        <w:rPr>
          <w:rFonts w:ascii="Times New Roman" w:hAnsi="Times New Roman" w:cs="Times New Roman"/>
          <w:sz w:val="24"/>
          <w:szCs w:val="24"/>
        </w:rPr>
        <w:t>)</w:t>
      </w:r>
    </w:p>
    <w:p w:rsidR="0047441C" w:rsidRDefault="0047441C" w:rsidP="0047441C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Stravování účastníků školy v přírodě zajistí dodavatel v souladu se zvláštními nároky na výživu dětí (svačiny, dostatek ovoce, zeleniny, mléčných výrobků, 5x denně pitný režim…) a po dohodě s vedením školy v přírodě, se kterým předem sestaví jídelníček.</w:t>
      </w:r>
    </w:p>
    <w:p w:rsidR="0047441C" w:rsidRDefault="0047441C" w:rsidP="004744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Dodavatel umožní pověřeným pracovníkům objednatele možnost kontroly zařízení objektu, které souvisejí s poskytovanými službami, zejména s přípravou a výdejem stravy.</w:t>
      </w:r>
    </w:p>
    <w:p w:rsidR="0047441C" w:rsidRDefault="0047441C" w:rsidP="004744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Úhrada pobytu bude provedena bezhotovostně, záloha ve výši poloviny nákladů na zajištění ŠVP bude zaplacena do </w:t>
      </w:r>
      <w:proofErr w:type="gramStart"/>
      <w:r w:rsidR="00366BFE">
        <w:rPr>
          <w:rFonts w:ascii="Times New Roman" w:hAnsi="Times New Roman" w:cs="Times New Roman"/>
          <w:sz w:val="24"/>
          <w:szCs w:val="24"/>
        </w:rPr>
        <w:t>14.1.2019</w:t>
      </w:r>
      <w:proofErr w:type="gramEnd"/>
      <w:r>
        <w:rPr>
          <w:rFonts w:ascii="Times New Roman" w:hAnsi="Times New Roman" w:cs="Times New Roman"/>
          <w:sz w:val="24"/>
          <w:szCs w:val="24"/>
        </w:rPr>
        <w:t>, zbytek bude proplacen do 14 dnů po doručení faktury škole. Záloha předem může být proplacena ve výši maximálně 50 procent předpokládané celkové částky. Případné sankce a penále při prodlení s úhradou se nesjednávají.</w:t>
      </w: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7441C" w:rsidRDefault="0047441C" w:rsidP="0047441C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</w:p>
    <w:p w:rsidR="000C48D8" w:rsidRDefault="000C48D8"/>
    <w:sectPr w:rsidR="000C48D8" w:rsidSect="00CC03A5">
      <w:pgSz w:w="11906" w:h="16838"/>
      <w:pgMar w:top="1135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2C6E"/>
    <w:multiLevelType w:val="multilevel"/>
    <w:tmpl w:val="70DC112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441C"/>
    <w:rsid w:val="0004047A"/>
    <w:rsid w:val="000C48D8"/>
    <w:rsid w:val="00366BFE"/>
    <w:rsid w:val="0047441C"/>
    <w:rsid w:val="008845BC"/>
    <w:rsid w:val="00F41A8F"/>
    <w:rsid w:val="00F4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4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7441C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  <w:style w:type="paragraph" w:styleId="Odstavecseseznamem">
    <w:name w:val="List Paragraph"/>
    <w:basedOn w:val="Standard"/>
    <w:rsid w:val="0047441C"/>
    <w:pPr>
      <w:ind w:left="720"/>
    </w:pPr>
  </w:style>
  <w:style w:type="numbering" w:customStyle="1" w:styleId="WWNum1">
    <w:name w:val="WWNum1"/>
    <w:basedOn w:val="Bezseznamu"/>
    <w:rsid w:val="0047441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l.kubikova</dc:creator>
  <cp:lastModifiedBy>p.chleboradova</cp:lastModifiedBy>
  <cp:revision>4</cp:revision>
  <dcterms:created xsi:type="dcterms:W3CDTF">2018-12-14T07:39:00Z</dcterms:created>
  <dcterms:modified xsi:type="dcterms:W3CDTF">2019-01-25T13:02:00Z</dcterms:modified>
</cp:coreProperties>
</file>