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1E6" w:rsidRDefault="00C85848">
      <w:pPr>
        <w:pStyle w:val="Heading10"/>
        <w:framePr w:w="9144" w:h="594" w:hRule="exact" w:wrap="none" w:vAnchor="page" w:hAnchor="page" w:x="1342" w:y="1361"/>
        <w:shd w:val="clear" w:color="auto" w:fill="auto"/>
        <w:ind w:left="80"/>
      </w:pPr>
      <w:bookmarkStart w:id="0" w:name="bookmark0"/>
      <w:r>
        <w:t>SMLOUVA</w:t>
      </w:r>
      <w:bookmarkEnd w:id="0"/>
    </w:p>
    <w:p w:rsidR="005071E6" w:rsidRDefault="00C85848">
      <w:pPr>
        <w:pStyle w:val="Heading10"/>
        <w:framePr w:w="9144" w:h="594" w:hRule="exact" w:wrap="none" w:vAnchor="page" w:hAnchor="page" w:x="1342" w:y="1361"/>
        <w:shd w:val="clear" w:color="auto" w:fill="auto"/>
        <w:spacing w:after="0"/>
        <w:ind w:left="80"/>
      </w:pPr>
      <w:bookmarkStart w:id="1" w:name="bookmark1"/>
      <w:r>
        <w:t>O SPOLEČNÉM POŘÁDÁNÍ INSCENACE</w:t>
      </w:r>
      <w:bookmarkEnd w:id="1"/>
    </w:p>
    <w:p w:rsidR="005071E6" w:rsidRDefault="00C85848">
      <w:pPr>
        <w:pStyle w:val="Heading10"/>
        <w:framePr w:w="9144" w:h="4378" w:hRule="exact" w:wrap="none" w:vAnchor="page" w:hAnchor="page" w:x="1342" w:y="2533"/>
        <w:shd w:val="clear" w:color="auto" w:fill="auto"/>
        <w:spacing w:after="0" w:line="307" w:lineRule="exact"/>
        <w:jc w:val="left"/>
      </w:pPr>
      <w:bookmarkStart w:id="2" w:name="bookmark2"/>
      <w:r>
        <w:t>Hudební divadlo v Karlině, příspěvková organizace</w:t>
      </w:r>
      <w:bookmarkEnd w:id="2"/>
    </w:p>
    <w:p w:rsidR="005071E6" w:rsidRDefault="00C85848">
      <w:pPr>
        <w:pStyle w:val="Bodytext20"/>
        <w:framePr w:w="9144" w:h="4378" w:hRule="exact" w:wrap="none" w:vAnchor="page" w:hAnchor="page" w:x="1342" w:y="2533"/>
        <w:shd w:val="clear" w:color="auto" w:fill="auto"/>
        <w:ind w:firstLine="0"/>
      </w:pPr>
      <w:r>
        <w:t>se sídlem Praha 8, Křižíkova 10, PSČ: 186 17,</w:t>
      </w:r>
    </w:p>
    <w:p w:rsidR="005071E6" w:rsidRDefault="00C85848">
      <w:pPr>
        <w:pStyle w:val="Bodytext20"/>
        <w:framePr w:w="9144" w:h="4378" w:hRule="exact" w:wrap="none" w:vAnchor="page" w:hAnchor="page" w:x="1342" w:y="2533"/>
        <w:shd w:val="clear" w:color="auto" w:fill="auto"/>
        <w:spacing w:after="407"/>
        <w:ind w:right="2700" w:firstLine="0"/>
      </w:pPr>
      <w:r>
        <w:t xml:space="preserve">IČ: 00064335, zastoupená ředitelem Bc. Egonem Kulhánkem </w:t>
      </w:r>
      <w:r w:rsidR="00347701">
        <w:t xml:space="preserve">                       </w:t>
      </w:r>
      <w:proofErr w:type="gramStart"/>
      <w:r w:rsidR="00347701">
        <w:t xml:space="preserve">   </w:t>
      </w:r>
      <w:r>
        <w:t>(</w:t>
      </w:r>
      <w:proofErr w:type="gramEnd"/>
      <w:r>
        <w:t xml:space="preserve">dále jen </w:t>
      </w:r>
      <w:r>
        <w:rPr>
          <w:rStyle w:val="Bodytext2Bold"/>
        </w:rPr>
        <w:t>„HDK")</w:t>
      </w:r>
    </w:p>
    <w:p w:rsidR="005071E6" w:rsidRDefault="00C85848">
      <w:pPr>
        <w:pStyle w:val="Bodytext20"/>
        <w:framePr w:w="9144" w:h="4378" w:hRule="exact" w:wrap="none" w:vAnchor="page" w:hAnchor="page" w:x="1342" w:y="2533"/>
        <w:shd w:val="clear" w:color="auto" w:fill="auto"/>
        <w:spacing w:after="274" w:line="224" w:lineRule="exact"/>
        <w:ind w:firstLine="0"/>
      </w:pPr>
      <w:r>
        <w:t>a</w:t>
      </w:r>
    </w:p>
    <w:p w:rsidR="005071E6" w:rsidRDefault="00C85848">
      <w:pPr>
        <w:pStyle w:val="Heading10"/>
        <w:framePr w:w="9144" w:h="4378" w:hRule="exact" w:wrap="none" w:vAnchor="page" w:hAnchor="page" w:x="1342" w:y="2533"/>
        <w:shd w:val="clear" w:color="auto" w:fill="auto"/>
        <w:spacing w:after="0" w:line="307" w:lineRule="exact"/>
        <w:jc w:val="left"/>
      </w:pPr>
      <w:bookmarkStart w:id="3" w:name="bookmark3"/>
      <w:r>
        <w:t>Divadlo Josefa Kajetána Tyla, příspěvková organizace</w:t>
      </w:r>
      <w:bookmarkEnd w:id="3"/>
    </w:p>
    <w:p w:rsidR="005071E6" w:rsidRDefault="00C85848">
      <w:pPr>
        <w:pStyle w:val="Bodytext20"/>
        <w:framePr w:w="9144" w:h="4378" w:hRule="exact" w:wrap="none" w:vAnchor="page" w:hAnchor="page" w:x="1342" w:y="2533"/>
        <w:shd w:val="clear" w:color="auto" w:fill="auto"/>
        <w:ind w:firstLine="0"/>
      </w:pPr>
      <w:r>
        <w:t>se sídlem Palackého náměstí 30, PSČ: 301 00 Plzeň,</w:t>
      </w:r>
    </w:p>
    <w:p w:rsidR="005071E6" w:rsidRDefault="00C85848">
      <w:pPr>
        <w:pStyle w:val="Bodytext20"/>
        <w:framePr w:w="9144" w:h="4378" w:hRule="exact" w:wrap="none" w:vAnchor="page" w:hAnchor="page" w:x="1342" w:y="2533"/>
        <w:shd w:val="clear" w:color="auto" w:fill="auto"/>
        <w:ind w:firstLine="0"/>
      </w:pPr>
      <w:r>
        <w:t>IČ: 00078051, zastoupená ředitelem doc. MgA. Martinem Otavou, Ph.D.</w:t>
      </w:r>
    </w:p>
    <w:p w:rsidR="005071E6" w:rsidRDefault="00C85848">
      <w:pPr>
        <w:pStyle w:val="Bodytext20"/>
        <w:framePr w:w="9144" w:h="4378" w:hRule="exact" w:wrap="none" w:vAnchor="page" w:hAnchor="page" w:x="1342" w:y="2533"/>
        <w:shd w:val="clear" w:color="auto" w:fill="auto"/>
        <w:spacing w:after="336"/>
        <w:ind w:firstLine="0"/>
      </w:pPr>
      <w:r>
        <w:t xml:space="preserve">(dále jen </w:t>
      </w:r>
      <w:r>
        <w:rPr>
          <w:rStyle w:val="Bodytext2Bold"/>
        </w:rPr>
        <w:t>„DJKT")</w:t>
      </w:r>
    </w:p>
    <w:p w:rsidR="005071E6" w:rsidRDefault="00C85848">
      <w:pPr>
        <w:pStyle w:val="Bodytext20"/>
        <w:framePr w:w="9144" w:h="4378" w:hRule="exact" w:wrap="none" w:vAnchor="page" w:hAnchor="page" w:x="1342" w:y="2533"/>
        <w:shd w:val="clear" w:color="auto" w:fill="auto"/>
        <w:spacing w:line="312" w:lineRule="exact"/>
        <w:ind w:firstLine="0"/>
      </w:pPr>
      <w:r>
        <w:t xml:space="preserve">(HDK a DJKT sále společné též jako </w:t>
      </w:r>
      <w:r>
        <w:rPr>
          <w:rStyle w:val="Bodytext2Bold"/>
        </w:rPr>
        <w:t xml:space="preserve">„Smluvní strany", </w:t>
      </w:r>
      <w:r>
        <w:t xml:space="preserve">každý samostatně jako </w:t>
      </w:r>
      <w:r>
        <w:rPr>
          <w:rStyle w:val="Bodytext2Bold"/>
        </w:rPr>
        <w:t xml:space="preserve">„Smluvní strana") </w:t>
      </w:r>
      <w:r>
        <w:t>uzavírají níže uvedeného dne, měsíce a roku tuto</w:t>
      </w:r>
    </w:p>
    <w:p w:rsidR="005071E6" w:rsidRDefault="00C85848">
      <w:pPr>
        <w:pStyle w:val="Heading10"/>
        <w:framePr w:w="9144" w:h="290" w:hRule="exact" w:wrap="none" w:vAnchor="page" w:hAnchor="page" w:x="1342" w:y="7534"/>
        <w:shd w:val="clear" w:color="auto" w:fill="auto"/>
        <w:spacing w:after="0"/>
        <w:ind w:left="80"/>
      </w:pPr>
      <w:bookmarkStart w:id="4" w:name="bookmark4"/>
      <w:r>
        <w:t>smlouvu o společném pořádání inscenace</w:t>
      </w:r>
      <w:bookmarkEnd w:id="4"/>
    </w:p>
    <w:p w:rsidR="005071E6" w:rsidRDefault="00C85848">
      <w:pPr>
        <w:pStyle w:val="Heading10"/>
        <w:framePr w:w="9144" w:h="2831" w:hRule="exact" w:wrap="none" w:vAnchor="page" w:hAnchor="page" w:x="1342" w:y="8091"/>
        <w:numPr>
          <w:ilvl w:val="0"/>
          <w:numId w:val="1"/>
        </w:numPr>
        <w:shd w:val="clear" w:color="auto" w:fill="auto"/>
        <w:tabs>
          <w:tab w:val="left" w:pos="360"/>
        </w:tabs>
        <w:spacing w:after="0" w:line="307" w:lineRule="exact"/>
        <w:jc w:val="left"/>
      </w:pPr>
      <w:bookmarkStart w:id="5" w:name="bookmark5"/>
      <w:r>
        <w:t>Předmět smlouvy</w:t>
      </w:r>
      <w:bookmarkEnd w:id="5"/>
    </w:p>
    <w:p w:rsidR="005071E6" w:rsidRDefault="00C85848">
      <w:pPr>
        <w:pStyle w:val="Bodytext20"/>
        <w:framePr w:w="9144" w:h="2831" w:hRule="exact" w:wrap="none" w:vAnchor="page" w:hAnchor="page" w:x="1342" w:y="8091"/>
        <w:numPr>
          <w:ilvl w:val="1"/>
          <w:numId w:val="1"/>
        </w:numPr>
        <w:shd w:val="clear" w:color="auto" w:fill="auto"/>
        <w:tabs>
          <w:tab w:val="left" w:pos="905"/>
        </w:tabs>
        <w:ind w:left="820" w:hanging="420"/>
        <w:jc w:val="both"/>
      </w:pPr>
      <w:r>
        <w:t xml:space="preserve">Předmětem této smlouvy je stanovení práv a povinností smluvních stran při společné realizaci muzikálu Duch </w:t>
      </w:r>
      <w:r>
        <w:rPr>
          <w:lang w:val="en-US" w:eastAsia="en-US" w:bidi="en-US"/>
        </w:rPr>
        <w:t xml:space="preserve">(Ghost the </w:t>
      </w:r>
      <w:r>
        <w:t xml:space="preserve">musical) v režii Lumíra Olšovského s premiérou v DJKT 29. září 2018 a dále pak v HDK s premiérou plánovanou v prvním pololetí roku 2020 (dále jen </w:t>
      </w:r>
      <w:r>
        <w:rPr>
          <w:rStyle w:val="Bodytext2Bold"/>
        </w:rPr>
        <w:t>„Inscenace").</w:t>
      </w:r>
    </w:p>
    <w:p w:rsidR="005071E6" w:rsidRDefault="00C85848">
      <w:pPr>
        <w:pStyle w:val="Bodytext20"/>
        <w:framePr w:w="9144" w:h="2831" w:hRule="exact" w:wrap="none" w:vAnchor="page" w:hAnchor="page" w:x="1342" w:y="8091"/>
        <w:numPr>
          <w:ilvl w:val="1"/>
          <w:numId w:val="1"/>
        </w:numPr>
        <w:shd w:val="clear" w:color="auto" w:fill="auto"/>
        <w:tabs>
          <w:tab w:val="left" w:pos="905"/>
        </w:tabs>
        <w:ind w:left="820" w:hanging="420"/>
        <w:jc w:val="both"/>
      </w:pPr>
      <w:r>
        <w:t>DJKT se zavazuje ve spolupráci s HDK realizovat výrobu scénických kostýmů a dekorací a podniknout všechny nezbytné kroky k realizaci divadelního představení v DJKT tak, aby bylo možné přenesení a nazkoušení inscenace do prostor HDK za podmínek dále stanovených v této smlouvě.</w:t>
      </w:r>
    </w:p>
    <w:p w:rsidR="005071E6" w:rsidRDefault="00C85848">
      <w:pPr>
        <w:pStyle w:val="Heading10"/>
        <w:framePr w:w="9144" w:h="3313" w:hRule="exact" w:wrap="none" w:vAnchor="page" w:hAnchor="page" w:x="1342" w:y="11571"/>
        <w:numPr>
          <w:ilvl w:val="0"/>
          <w:numId w:val="1"/>
        </w:numPr>
        <w:shd w:val="clear" w:color="auto" w:fill="auto"/>
        <w:tabs>
          <w:tab w:val="left" w:pos="360"/>
        </w:tabs>
        <w:spacing w:after="0" w:line="307" w:lineRule="exact"/>
        <w:jc w:val="left"/>
      </w:pPr>
      <w:bookmarkStart w:id="6" w:name="bookmark6"/>
      <w:r>
        <w:t>Rozpočet, výše koprodukčních vkladů a vypořádání příjmů</w:t>
      </w:r>
      <w:bookmarkEnd w:id="6"/>
    </w:p>
    <w:p w:rsidR="005071E6" w:rsidRDefault="00C85848">
      <w:pPr>
        <w:pStyle w:val="Bodytext20"/>
        <w:framePr w:w="9144" w:h="3313" w:hRule="exact" w:wrap="none" w:vAnchor="page" w:hAnchor="page" w:x="1342" w:y="11571"/>
        <w:numPr>
          <w:ilvl w:val="1"/>
          <w:numId w:val="1"/>
        </w:numPr>
        <w:shd w:val="clear" w:color="auto" w:fill="auto"/>
        <w:tabs>
          <w:tab w:val="left" w:pos="907"/>
        </w:tabs>
        <w:spacing w:after="251"/>
        <w:ind w:left="820" w:hanging="420"/>
        <w:jc w:val="both"/>
      </w:pPr>
      <w:r>
        <w:t>Smluvní strany stanovily náklady související s realizací Inscenace podle Přílohy č. 1 (Příloha č. 1 - Rozpočet) a na nákladech se podílí:</w:t>
      </w:r>
    </w:p>
    <w:p w:rsidR="005071E6" w:rsidRDefault="00C85848">
      <w:pPr>
        <w:pStyle w:val="Bodytext20"/>
        <w:framePr w:w="9144" w:h="3313" w:hRule="exact" w:wrap="none" w:vAnchor="page" w:hAnchor="page" w:x="1342" w:y="11571"/>
        <w:shd w:val="clear" w:color="auto" w:fill="auto"/>
        <w:spacing w:after="70" w:line="269" w:lineRule="exact"/>
        <w:ind w:left="1080" w:firstLine="0"/>
        <w:jc w:val="both"/>
      </w:pPr>
      <w:r>
        <w:t xml:space="preserve">HDK 50 </w:t>
      </w:r>
      <w:r>
        <w:rPr>
          <w:rStyle w:val="Bodytext2105ptItalic"/>
          <w:b w:val="0"/>
          <w:bCs w:val="0"/>
        </w:rPr>
        <w:t>%</w:t>
      </w:r>
      <w:r>
        <w:t xml:space="preserve"> koprodukčním </w:t>
      </w:r>
      <w:proofErr w:type="gramStart"/>
      <w:r>
        <w:t>vkladem - výše</w:t>
      </w:r>
      <w:proofErr w:type="gramEnd"/>
      <w:r>
        <w:t xml:space="preserve"> koprodukčního vkladu je 1.242.328,- Kč (slovy </w:t>
      </w:r>
      <w:proofErr w:type="spellStart"/>
      <w:r>
        <w:t>jedenmiliondvěstěčtyřicetdvatisíctřistadvacetosmkorunčeských</w:t>
      </w:r>
      <w:proofErr w:type="spellEnd"/>
      <w:r>
        <w:t>) včetně DPH,</w:t>
      </w:r>
    </w:p>
    <w:p w:rsidR="005071E6" w:rsidRDefault="00C85848">
      <w:pPr>
        <w:pStyle w:val="Bodytext20"/>
        <w:framePr w:w="9144" w:h="3313" w:hRule="exact" w:wrap="none" w:vAnchor="page" w:hAnchor="page" w:x="1342" w:y="11571"/>
        <w:shd w:val="clear" w:color="auto" w:fill="auto"/>
        <w:spacing w:after="216"/>
        <w:ind w:left="1080" w:firstLine="0"/>
        <w:jc w:val="both"/>
      </w:pPr>
      <w:r>
        <w:t xml:space="preserve">DJKT 50 % koprodukčním </w:t>
      </w:r>
      <w:proofErr w:type="gramStart"/>
      <w:r>
        <w:t>vkladem - výše</w:t>
      </w:r>
      <w:proofErr w:type="gramEnd"/>
      <w:r>
        <w:t xml:space="preserve"> koprodukčního vkladu je 1.242.328,- </w:t>
      </w:r>
      <w:r w:rsidRPr="00347701">
        <w:rPr>
          <w:rStyle w:val="Bodytext2Bold"/>
          <w:b w:val="0"/>
        </w:rPr>
        <w:t xml:space="preserve">Kč </w:t>
      </w:r>
      <w:r>
        <w:t xml:space="preserve">(slovy </w:t>
      </w:r>
      <w:proofErr w:type="spellStart"/>
      <w:r>
        <w:t>jedenmiliondvěstěčtyřicetdvatisíctřistadvacetosmkorunčeských</w:t>
      </w:r>
      <w:proofErr w:type="spellEnd"/>
      <w:r>
        <w:t>) včetně DPH.</w:t>
      </w:r>
    </w:p>
    <w:p w:rsidR="005071E6" w:rsidRDefault="00C85848">
      <w:pPr>
        <w:pStyle w:val="Bodytext20"/>
        <w:framePr w:w="9144" w:h="3313" w:hRule="exact" w:wrap="none" w:vAnchor="page" w:hAnchor="page" w:x="1342" w:y="11571"/>
        <w:numPr>
          <w:ilvl w:val="1"/>
          <w:numId w:val="1"/>
        </w:numPr>
        <w:shd w:val="clear" w:color="auto" w:fill="auto"/>
        <w:tabs>
          <w:tab w:val="left" w:pos="907"/>
        </w:tabs>
        <w:spacing w:line="312" w:lineRule="exact"/>
        <w:ind w:left="820" w:hanging="420"/>
        <w:jc w:val="both"/>
      </w:pPr>
      <w:r>
        <w:t>Koprodukce spočívá ve společné úhradě nákladů na výrobu kostýmů a dekorací k inscenaci, nákladů na autorské poplatky a zakoupení licence, honorářů výtvarníků scény a kostýmů,</w:t>
      </w:r>
    </w:p>
    <w:p w:rsidR="005071E6" w:rsidRDefault="00C85848">
      <w:pPr>
        <w:pStyle w:val="Headerorfooter0"/>
        <w:framePr w:wrap="none" w:vAnchor="page" w:hAnchor="page" w:x="5845" w:y="15527"/>
        <w:shd w:val="clear" w:color="auto" w:fill="auto"/>
      </w:pPr>
      <w:r>
        <w:t>1</w:t>
      </w:r>
    </w:p>
    <w:p w:rsidR="005071E6" w:rsidRDefault="005071E6">
      <w:pPr>
        <w:rPr>
          <w:sz w:val="2"/>
          <w:szCs w:val="2"/>
        </w:rPr>
        <w:sectPr w:rsidR="005071E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071E6" w:rsidRDefault="00C85848">
      <w:pPr>
        <w:pStyle w:val="Bodytext20"/>
        <w:framePr w:w="9149" w:h="3157" w:hRule="exact" w:wrap="none" w:vAnchor="page" w:hAnchor="page" w:x="1340" w:y="1295"/>
        <w:shd w:val="clear" w:color="auto" w:fill="auto"/>
        <w:tabs>
          <w:tab w:val="left" w:pos="907"/>
        </w:tabs>
        <w:spacing w:line="312" w:lineRule="exact"/>
        <w:ind w:left="820" w:hanging="420"/>
        <w:jc w:val="both"/>
      </w:pPr>
      <w:r>
        <w:lastRenderedPageBreak/>
        <w:t>honorář choreografa. Další náklady nezbytné k uvedení inscenace ve vlastních prostorách si hradí každá smluvní strana samostatně.</w:t>
      </w:r>
    </w:p>
    <w:p w:rsidR="005071E6" w:rsidRDefault="00C85848">
      <w:pPr>
        <w:pStyle w:val="Bodytext20"/>
        <w:framePr w:w="9149" w:h="3157" w:hRule="exact" w:wrap="none" w:vAnchor="page" w:hAnchor="page" w:x="1340" w:y="1295"/>
        <w:numPr>
          <w:ilvl w:val="1"/>
          <w:numId w:val="1"/>
        </w:numPr>
        <w:shd w:val="clear" w:color="auto" w:fill="auto"/>
        <w:tabs>
          <w:tab w:val="left" w:pos="831"/>
        </w:tabs>
        <w:ind w:left="820"/>
        <w:jc w:val="both"/>
      </w:pPr>
      <w:r>
        <w:t>HDK se zavazuje uhradit svůj podíl na základě faktury vystavené DJKT. Splatnost faktury bude stanovena na 30 dnů ode dne vystavení.</w:t>
      </w:r>
    </w:p>
    <w:p w:rsidR="005071E6" w:rsidRDefault="00C85848">
      <w:pPr>
        <w:pStyle w:val="Bodytext20"/>
        <w:framePr w:w="9149" w:h="3157" w:hRule="exact" w:wrap="none" w:vAnchor="page" w:hAnchor="page" w:x="1340" w:y="1295"/>
        <w:numPr>
          <w:ilvl w:val="1"/>
          <w:numId w:val="1"/>
        </w:numPr>
        <w:shd w:val="clear" w:color="auto" w:fill="auto"/>
        <w:tabs>
          <w:tab w:val="left" w:pos="831"/>
        </w:tabs>
        <w:ind w:left="820"/>
        <w:jc w:val="both"/>
      </w:pPr>
      <w:r>
        <w:t>Smluvní strany jsou povinny vést řádné účetnictví a na žádost druhé Smluvní strany prokázat vynaložené náklady.</w:t>
      </w:r>
    </w:p>
    <w:p w:rsidR="005071E6" w:rsidRDefault="00C85848">
      <w:pPr>
        <w:pStyle w:val="Bodytext20"/>
        <w:framePr w:w="9149" w:h="3157" w:hRule="exact" w:wrap="none" w:vAnchor="page" w:hAnchor="page" w:x="1340" w:y="1295"/>
        <w:numPr>
          <w:ilvl w:val="1"/>
          <w:numId w:val="1"/>
        </w:numPr>
        <w:shd w:val="clear" w:color="auto" w:fill="auto"/>
        <w:tabs>
          <w:tab w:val="left" w:pos="831"/>
        </w:tabs>
        <w:ind w:left="820"/>
        <w:jc w:val="both"/>
      </w:pPr>
      <w:r>
        <w:t>Příjmy z provozování inscenace v DJKT jsou příjmem DJKT a příjmy z provozování inscenace v HDK jsou příjmem HDK.</w:t>
      </w:r>
    </w:p>
    <w:p w:rsidR="005071E6" w:rsidRDefault="00C85848">
      <w:pPr>
        <w:pStyle w:val="Bodytext20"/>
        <w:framePr w:w="9149" w:h="3157" w:hRule="exact" w:wrap="none" w:vAnchor="page" w:hAnchor="page" w:x="1340" w:y="1295"/>
        <w:numPr>
          <w:ilvl w:val="1"/>
          <w:numId w:val="1"/>
        </w:numPr>
        <w:shd w:val="clear" w:color="auto" w:fill="auto"/>
        <w:tabs>
          <w:tab w:val="left" w:pos="831"/>
        </w:tabs>
        <w:ind w:left="820"/>
        <w:jc w:val="both"/>
      </w:pPr>
      <w:r>
        <w:t>Podmínky případného zájezdu s Inscenací mimo domovskou scénu budou stanoveny dohodou smluvních stran formou dodatku k této smlouvě.</w:t>
      </w:r>
    </w:p>
    <w:p w:rsidR="005071E6" w:rsidRDefault="00C85848">
      <w:pPr>
        <w:pStyle w:val="Heading10"/>
        <w:framePr w:w="9149" w:h="1291" w:hRule="exact" w:wrap="none" w:vAnchor="page" w:hAnchor="page" w:x="1340" w:y="5101"/>
        <w:numPr>
          <w:ilvl w:val="0"/>
          <w:numId w:val="1"/>
        </w:numPr>
        <w:shd w:val="clear" w:color="auto" w:fill="auto"/>
        <w:tabs>
          <w:tab w:val="left" w:pos="355"/>
        </w:tabs>
        <w:spacing w:after="0" w:line="307" w:lineRule="exact"/>
        <w:jc w:val="left"/>
      </w:pPr>
      <w:bookmarkStart w:id="7" w:name="bookmark7"/>
      <w:r>
        <w:t>Realizační tým a obsazení inscenace</w:t>
      </w:r>
      <w:bookmarkEnd w:id="7"/>
    </w:p>
    <w:p w:rsidR="005071E6" w:rsidRDefault="00C85848">
      <w:pPr>
        <w:pStyle w:val="Bodytext20"/>
        <w:framePr w:w="9149" w:h="1291" w:hRule="exact" w:wrap="none" w:vAnchor="page" w:hAnchor="page" w:x="1340" w:y="5101"/>
        <w:numPr>
          <w:ilvl w:val="1"/>
          <w:numId w:val="1"/>
        </w:numPr>
        <w:shd w:val="clear" w:color="auto" w:fill="auto"/>
        <w:tabs>
          <w:tab w:val="left" w:pos="831"/>
        </w:tabs>
        <w:ind w:left="820"/>
        <w:jc w:val="both"/>
      </w:pPr>
      <w:r>
        <w:t xml:space="preserve">DJKT předložilo HDK seznam osob realizačního </w:t>
      </w:r>
      <w:proofErr w:type="gramStart"/>
      <w:r>
        <w:t>týmu - režiséra</w:t>
      </w:r>
      <w:proofErr w:type="gramEnd"/>
      <w:r>
        <w:t>, výtvarníka scény, kostýmů a choreografa inscenace. Obsazení Inscenace včetně jednotlivých alternací si zajišťuje každá smluvní strana samostatně. Složení realizačního týmu je přílohou č. 2 této smlouvy.</w:t>
      </w:r>
    </w:p>
    <w:p w:rsidR="005071E6" w:rsidRDefault="00C85848">
      <w:pPr>
        <w:pStyle w:val="Heading10"/>
        <w:framePr w:w="9149" w:h="4377" w:hRule="exact" w:wrap="none" w:vAnchor="page" w:hAnchor="page" w:x="1340" w:y="7045"/>
        <w:numPr>
          <w:ilvl w:val="0"/>
          <w:numId w:val="1"/>
        </w:numPr>
        <w:shd w:val="clear" w:color="auto" w:fill="auto"/>
        <w:tabs>
          <w:tab w:val="left" w:pos="355"/>
        </w:tabs>
        <w:spacing w:after="0" w:line="307" w:lineRule="exact"/>
        <w:jc w:val="left"/>
      </w:pPr>
      <w:bookmarkStart w:id="8" w:name="bookmark8"/>
      <w:r>
        <w:t>Výprava</w:t>
      </w:r>
      <w:bookmarkEnd w:id="8"/>
    </w:p>
    <w:p w:rsidR="005071E6" w:rsidRDefault="00C85848">
      <w:pPr>
        <w:pStyle w:val="Bodytext20"/>
        <w:framePr w:w="9149" w:h="4377" w:hRule="exact" w:wrap="none" w:vAnchor="page" w:hAnchor="page" w:x="1340" w:y="7045"/>
        <w:numPr>
          <w:ilvl w:val="1"/>
          <w:numId w:val="1"/>
        </w:numPr>
        <w:shd w:val="clear" w:color="auto" w:fill="auto"/>
        <w:tabs>
          <w:tab w:val="left" w:pos="837"/>
        </w:tabs>
        <w:ind w:left="820"/>
        <w:jc w:val="both"/>
      </w:pPr>
      <w:r>
        <w:t xml:space="preserve">DJKT předložilo HDK návrh scény, kulis a kostýmů (dále jen </w:t>
      </w:r>
      <w:r>
        <w:rPr>
          <w:rStyle w:val="Bodytext2Bold"/>
        </w:rPr>
        <w:t xml:space="preserve">„Výprava") </w:t>
      </w:r>
      <w:r>
        <w:t>pro Inscenaci, zápisy z předávacích porad, kde je specifikován rozsah Výpravy, je součástí smlouvy jako Příloha č. 3 a HDK s návrhem souhlasí. Celkové náklady na Výpravu jsou uvedeny v rozpočtu dle Přílohy č. 1.</w:t>
      </w:r>
    </w:p>
    <w:p w:rsidR="005071E6" w:rsidRDefault="00C85848">
      <w:pPr>
        <w:pStyle w:val="Bodytext20"/>
        <w:framePr w:w="9149" w:h="4377" w:hRule="exact" w:wrap="none" w:vAnchor="page" w:hAnchor="page" w:x="1340" w:y="7045"/>
        <w:numPr>
          <w:ilvl w:val="1"/>
          <w:numId w:val="1"/>
        </w:numPr>
        <w:shd w:val="clear" w:color="auto" w:fill="auto"/>
        <w:tabs>
          <w:tab w:val="left" w:pos="837"/>
        </w:tabs>
        <w:ind w:left="820"/>
        <w:jc w:val="both"/>
      </w:pPr>
      <w:r>
        <w:t>DJKT odpovídá za zajištění realizace Výpravy k Inscenaci a k uzavření příslušných smluv o dílo a licenčních smluv s autory návrhů jednotlivých výtvarných složek Inscenace.</w:t>
      </w:r>
    </w:p>
    <w:p w:rsidR="005071E6" w:rsidRDefault="00C85848">
      <w:pPr>
        <w:pStyle w:val="Bodytext20"/>
        <w:framePr w:w="9149" w:h="4377" w:hRule="exact" w:wrap="none" w:vAnchor="page" w:hAnchor="page" w:x="1340" w:y="7045"/>
        <w:numPr>
          <w:ilvl w:val="1"/>
          <w:numId w:val="1"/>
        </w:numPr>
        <w:shd w:val="clear" w:color="auto" w:fill="auto"/>
        <w:tabs>
          <w:tab w:val="left" w:pos="837"/>
        </w:tabs>
        <w:ind w:left="820"/>
        <w:jc w:val="both"/>
      </w:pPr>
      <w:r>
        <w:t>DJKT odpovídá za řádné uskladnění výpravy a její udržování ve stavu způsobilém k řádnému užívání v Inscenaci až do termínu předání inscenace k provozování v HDK, který bude stanoven dohodou smluvních stran. V případě vzniku potřeby oprav na jakékoli části výpravy, informuje DJKT osobu odpovědnou za HDK s vyčíslením nákladů. Náklady na opravu složek výpravy se podílejí obě smluvní strany rovným dílem.</w:t>
      </w:r>
    </w:p>
    <w:p w:rsidR="005071E6" w:rsidRDefault="00C85848">
      <w:pPr>
        <w:pStyle w:val="Bodytext20"/>
        <w:framePr w:w="9149" w:h="4377" w:hRule="exact" w:wrap="none" w:vAnchor="page" w:hAnchor="page" w:x="1340" w:y="7045"/>
        <w:numPr>
          <w:ilvl w:val="1"/>
          <w:numId w:val="1"/>
        </w:numPr>
        <w:shd w:val="clear" w:color="auto" w:fill="auto"/>
        <w:tabs>
          <w:tab w:val="left" w:pos="837"/>
        </w:tabs>
        <w:ind w:left="820"/>
        <w:jc w:val="both"/>
      </w:pPr>
      <w:r>
        <w:t>Výprava je jako celek předmětem podílového spoluvlastnictví Smluvních stran v poměru jejich koprodukčních podílů.</w:t>
      </w:r>
    </w:p>
    <w:p w:rsidR="005071E6" w:rsidRDefault="00C85848">
      <w:pPr>
        <w:pStyle w:val="Heading10"/>
        <w:framePr w:w="9149" w:h="3135" w:hRule="exact" w:wrap="none" w:vAnchor="page" w:hAnchor="page" w:x="1340" w:y="11993"/>
        <w:numPr>
          <w:ilvl w:val="0"/>
          <w:numId w:val="1"/>
        </w:numPr>
        <w:shd w:val="clear" w:color="auto" w:fill="auto"/>
        <w:tabs>
          <w:tab w:val="left" w:pos="355"/>
        </w:tabs>
        <w:spacing w:after="0" w:line="307" w:lineRule="exact"/>
        <w:jc w:val="left"/>
      </w:pPr>
      <w:bookmarkStart w:id="9" w:name="bookmark9"/>
      <w:r>
        <w:t>Autorská práva</w:t>
      </w:r>
      <w:bookmarkEnd w:id="9"/>
    </w:p>
    <w:p w:rsidR="005071E6" w:rsidRDefault="00C85848">
      <w:pPr>
        <w:pStyle w:val="Bodytext20"/>
        <w:framePr w:w="9149" w:h="3135" w:hRule="exact" w:wrap="none" w:vAnchor="page" w:hAnchor="page" w:x="1340" w:y="11993"/>
        <w:numPr>
          <w:ilvl w:val="1"/>
          <w:numId w:val="1"/>
        </w:numPr>
        <w:shd w:val="clear" w:color="auto" w:fill="auto"/>
        <w:tabs>
          <w:tab w:val="left" w:pos="831"/>
        </w:tabs>
        <w:ind w:left="820"/>
        <w:jc w:val="both"/>
      </w:pPr>
      <w:r>
        <w:t>DJKT uzavřelo před zahájením příslušných prací smlouvy se všemi nositeli práv, jejichž tvůrčí příspěvky v rámci jím poskytovaného plnění pro realizaci Inscenace budou užity, tj. s autory, překladateli, výkonnými umělci, výrobci zvukových a zvukově obrazových záznamů, nositeli práv ostatních kategorií duševního vlastnictví (např. ochranných známek, užitných a průmyslových vzorů), nositeli práv osobnostních jakož i se všemi dalšími fyzickými a právnickými osobami zúčastněnými na realizaci Inscenace. Smlouvy s výkonnými umělci a dalšími fyzickými a právnickými osobami, které se budou podílet na inscenaci přímo v prostorách každé ze smluvních stran, uzavírá každá smluvní strana samostatně. HDK se zavazuje uzavřít licenční smlouvu s autorem choreografie k inscenaci.</w:t>
      </w:r>
    </w:p>
    <w:p w:rsidR="005071E6" w:rsidRDefault="00C85848">
      <w:pPr>
        <w:pStyle w:val="Headerorfooter0"/>
        <w:framePr w:wrap="none" w:vAnchor="page" w:hAnchor="page" w:x="5837" w:y="15527"/>
        <w:shd w:val="clear" w:color="auto" w:fill="auto"/>
      </w:pPr>
      <w:r>
        <w:t>2</w:t>
      </w:r>
    </w:p>
    <w:p w:rsidR="005071E6" w:rsidRDefault="005071E6">
      <w:pPr>
        <w:rPr>
          <w:sz w:val="2"/>
          <w:szCs w:val="2"/>
        </w:rPr>
        <w:sectPr w:rsidR="005071E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071E6" w:rsidRDefault="00C85848">
      <w:pPr>
        <w:pStyle w:val="Bodytext20"/>
        <w:framePr w:w="9158" w:h="3149" w:hRule="exact" w:wrap="none" w:vAnchor="page" w:hAnchor="page" w:x="1335" w:y="1294"/>
        <w:numPr>
          <w:ilvl w:val="1"/>
          <w:numId w:val="1"/>
        </w:numPr>
        <w:shd w:val="clear" w:color="auto" w:fill="auto"/>
        <w:tabs>
          <w:tab w:val="left" w:pos="834"/>
        </w:tabs>
        <w:ind w:left="820"/>
        <w:jc w:val="both"/>
      </w:pPr>
      <w:r>
        <w:lastRenderedPageBreak/>
        <w:t>Na základě uvedených smluv získají smluvní strany licenci (oprávnění) a souhlas k užití všech předmětů právní ochrany v příslušném rozsahu, a to beze změny, po zpracování či jiné změně, samostatně i ve spojení s jinými autorskými díly nebo jako součást díla souborného všemi způsoby užití dle zákona č</w:t>
      </w:r>
      <w:r w:rsidRPr="002A7D15">
        <w:rPr>
          <w:b/>
        </w:rPr>
        <w:t xml:space="preserve">. </w:t>
      </w:r>
      <w:r w:rsidRPr="002A7D15">
        <w:rPr>
          <w:rStyle w:val="Bodytext2Bold"/>
          <w:b w:val="0"/>
        </w:rPr>
        <w:t>121/2000</w:t>
      </w:r>
      <w:r>
        <w:rPr>
          <w:rStyle w:val="Bodytext2Bold"/>
        </w:rPr>
        <w:t xml:space="preserve"> </w:t>
      </w:r>
      <w:r>
        <w:t xml:space="preserve">Sb., autorský zákon, ve znění pozdějších předpisů (dále jen </w:t>
      </w:r>
      <w:r w:rsidRPr="002A7D15">
        <w:rPr>
          <w:rStyle w:val="Bodytext2Bold"/>
          <w:b w:val="0"/>
        </w:rPr>
        <w:t>„</w:t>
      </w:r>
      <w:r>
        <w:rPr>
          <w:rStyle w:val="Bodytext2Bold"/>
        </w:rPr>
        <w:t>Autorský zákon</w:t>
      </w:r>
      <w:r w:rsidRPr="002A7D15">
        <w:rPr>
          <w:rStyle w:val="Bodytext2Bold"/>
          <w:b w:val="0"/>
        </w:rPr>
        <w:t>").</w:t>
      </w:r>
    </w:p>
    <w:p w:rsidR="005071E6" w:rsidRDefault="00C85848">
      <w:pPr>
        <w:pStyle w:val="Bodytext20"/>
        <w:framePr w:w="9158" w:h="3149" w:hRule="exact" w:wrap="none" w:vAnchor="page" w:hAnchor="page" w:x="1335" w:y="1294"/>
        <w:numPr>
          <w:ilvl w:val="1"/>
          <w:numId w:val="1"/>
        </w:numPr>
        <w:shd w:val="clear" w:color="auto" w:fill="auto"/>
        <w:tabs>
          <w:tab w:val="left" w:pos="834"/>
        </w:tabs>
        <w:ind w:left="820"/>
        <w:jc w:val="both"/>
      </w:pPr>
      <w:r>
        <w:t>Budou-li vůči kterékoli Smluvní straně uplatněny jakékoli oprávněné nároky, k jejichž vypořádání se druhá Smluvní strana zavázala touto smlouvou, v souvislosti s plněním předmětu této smlouvy nebo užitím jakéhokoli díla ve smyslu Autorského zákona, Strana, která způsobila takové porušení, se zavazuje, že tyto nároky uspokojí a uhradí druhé Smluvní straně veškeré vynaložené náklady s uplatněním takových nároků spojené.</w:t>
      </w:r>
    </w:p>
    <w:p w:rsidR="005071E6" w:rsidRDefault="00C85848">
      <w:pPr>
        <w:pStyle w:val="Bodytext30"/>
        <w:framePr w:w="9158" w:h="4812" w:hRule="exact" w:wrap="none" w:vAnchor="page" w:hAnchor="page" w:x="1335" w:y="5100"/>
        <w:numPr>
          <w:ilvl w:val="0"/>
          <w:numId w:val="1"/>
        </w:numPr>
        <w:shd w:val="clear" w:color="auto" w:fill="auto"/>
        <w:tabs>
          <w:tab w:val="left" w:pos="360"/>
        </w:tabs>
        <w:spacing w:before="0"/>
      </w:pPr>
      <w:r>
        <w:t>Komunikace Smluvních stran</w:t>
      </w:r>
    </w:p>
    <w:p w:rsidR="005071E6" w:rsidRDefault="00C85848">
      <w:pPr>
        <w:pStyle w:val="Bodytext20"/>
        <w:framePr w:w="9158" w:h="4812" w:hRule="exact" w:wrap="none" w:vAnchor="page" w:hAnchor="page" w:x="1335" w:y="5100"/>
        <w:numPr>
          <w:ilvl w:val="1"/>
          <w:numId w:val="1"/>
        </w:numPr>
        <w:shd w:val="clear" w:color="auto" w:fill="auto"/>
        <w:tabs>
          <w:tab w:val="left" w:pos="834"/>
        </w:tabs>
        <w:ind w:left="820"/>
        <w:jc w:val="both"/>
      </w:pPr>
      <w:r>
        <w:t>Veškerá komunikace o předmětu této smlouvy musí probíhat písemně. Za písemnou formu se pro účely této smlouvy považuje i forma elektronická. V naléhavých případech a v případech, kdy nemá komunikace Smluvních stran vliv na plnění této Smlouvy, mohou strany komunikovat telefonicky.</w:t>
      </w:r>
    </w:p>
    <w:p w:rsidR="005071E6" w:rsidRDefault="00C85848">
      <w:pPr>
        <w:pStyle w:val="Bodytext20"/>
        <w:framePr w:w="9158" w:h="4812" w:hRule="exact" w:wrap="none" w:vAnchor="page" w:hAnchor="page" w:x="1335" w:y="5100"/>
        <w:numPr>
          <w:ilvl w:val="1"/>
          <w:numId w:val="1"/>
        </w:numPr>
        <w:shd w:val="clear" w:color="auto" w:fill="auto"/>
        <w:tabs>
          <w:tab w:val="left" w:pos="834"/>
        </w:tabs>
        <w:ind w:left="820"/>
        <w:jc w:val="both"/>
      </w:pPr>
      <w:r>
        <w:t>Smluvní strany se budou neprodleně informovat o všech skutečnostech významných pro zdárnou realizaci Inscenace v dohodnutém termínu.</w:t>
      </w:r>
    </w:p>
    <w:p w:rsidR="005071E6" w:rsidRDefault="00C85848">
      <w:pPr>
        <w:pStyle w:val="Bodytext20"/>
        <w:framePr w:w="9158" w:h="4812" w:hRule="exact" w:wrap="none" w:vAnchor="page" w:hAnchor="page" w:x="1335" w:y="5100"/>
        <w:numPr>
          <w:ilvl w:val="1"/>
          <w:numId w:val="1"/>
        </w:numPr>
        <w:shd w:val="clear" w:color="auto" w:fill="auto"/>
        <w:tabs>
          <w:tab w:val="left" w:pos="834"/>
        </w:tabs>
        <w:ind w:left="820"/>
        <w:jc w:val="both"/>
      </w:pPr>
      <w:r>
        <w:t>Veškeré písemnosti dle této smlouvy se doručují na adresu Smluvních stran uvedenou v záhlaví této smlouvy nebo na aktuální adresu sídla společnosti uvedenou v obchodním rejstříku. Běžnou korespondenci je možné zasílat rovněž prostřednictvím elektronické pošty (e-mailem) mezi osobami definovanými níže.</w:t>
      </w:r>
    </w:p>
    <w:p w:rsidR="005071E6" w:rsidRDefault="00C85848">
      <w:pPr>
        <w:pStyle w:val="Bodytext20"/>
        <w:framePr w:w="9158" w:h="4812" w:hRule="exact" w:wrap="none" w:vAnchor="page" w:hAnchor="page" w:x="1335" w:y="5100"/>
        <w:numPr>
          <w:ilvl w:val="1"/>
          <w:numId w:val="1"/>
        </w:numPr>
        <w:shd w:val="clear" w:color="auto" w:fill="auto"/>
        <w:tabs>
          <w:tab w:val="left" w:pos="837"/>
        </w:tabs>
        <w:spacing w:after="43"/>
        <w:ind w:left="820"/>
        <w:jc w:val="both"/>
      </w:pPr>
      <w:r>
        <w:t>Strany se zavazují komunikovat prostřednictvím odpovědných osob:</w:t>
      </w:r>
    </w:p>
    <w:p w:rsidR="00F24C94" w:rsidRDefault="00C85848">
      <w:pPr>
        <w:pStyle w:val="Bodytext20"/>
        <w:framePr w:w="9158" w:h="4812" w:hRule="exact" w:wrap="none" w:vAnchor="page" w:hAnchor="page" w:x="1335" w:y="5100"/>
        <w:shd w:val="clear" w:color="auto" w:fill="auto"/>
        <w:spacing w:line="504" w:lineRule="exact"/>
        <w:ind w:left="740" w:firstLine="0"/>
      </w:pPr>
      <w:r>
        <w:t xml:space="preserve">Za HDK: </w:t>
      </w:r>
    </w:p>
    <w:p w:rsidR="005071E6" w:rsidRDefault="00C85848" w:rsidP="00F24C94">
      <w:pPr>
        <w:pStyle w:val="Bodytext20"/>
        <w:framePr w:w="9158" w:h="4812" w:hRule="exact" w:wrap="none" w:vAnchor="page" w:hAnchor="page" w:x="1335" w:y="5100"/>
        <w:shd w:val="clear" w:color="auto" w:fill="auto"/>
        <w:spacing w:line="504" w:lineRule="exact"/>
        <w:ind w:firstLine="708"/>
      </w:pPr>
      <w:r>
        <w:t xml:space="preserve">Za DJKT: </w:t>
      </w:r>
      <w:bookmarkStart w:id="10" w:name="_GoBack"/>
      <w:bookmarkEnd w:id="10"/>
    </w:p>
    <w:p w:rsidR="005071E6" w:rsidRDefault="00C85848">
      <w:pPr>
        <w:pStyle w:val="Bodytext30"/>
        <w:framePr w:w="9158" w:h="4676" w:hRule="exact" w:wrap="none" w:vAnchor="page" w:hAnchor="page" w:x="1335" w:y="10524"/>
        <w:numPr>
          <w:ilvl w:val="0"/>
          <w:numId w:val="1"/>
        </w:numPr>
        <w:shd w:val="clear" w:color="auto" w:fill="auto"/>
        <w:tabs>
          <w:tab w:val="left" w:pos="360"/>
        </w:tabs>
        <w:spacing w:before="0"/>
      </w:pPr>
      <w:r>
        <w:t>Důvěrnost informací a mlčenlivost</w:t>
      </w:r>
    </w:p>
    <w:p w:rsidR="005071E6" w:rsidRDefault="00C85848">
      <w:pPr>
        <w:pStyle w:val="Bodytext20"/>
        <w:framePr w:w="9158" w:h="4676" w:hRule="exact" w:wrap="none" w:vAnchor="page" w:hAnchor="page" w:x="1335" w:y="10524"/>
        <w:numPr>
          <w:ilvl w:val="1"/>
          <w:numId w:val="1"/>
        </w:numPr>
        <w:shd w:val="clear" w:color="auto" w:fill="auto"/>
        <w:tabs>
          <w:tab w:val="left" w:pos="837"/>
        </w:tabs>
        <w:ind w:left="820"/>
        <w:jc w:val="both"/>
      </w:pPr>
      <w:r>
        <w:t>Smluvní strany se zavazují, že o této smlouvě a všech důvěrných a utajovaných informacích a skutečnostech týkajících se druhého z nich, o kterých se dozví v souvislosti s touto smlouvou, budou zachovávat absolutní mlčenlivost, s výjimkou informací, které bude nezbytné poskytnout třetím osobám za účelem řádného splnění této smlouvy, plnění zákonných povinností či uplatnění práv z této smlouvy.</w:t>
      </w:r>
    </w:p>
    <w:p w:rsidR="005071E6" w:rsidRDefault="00C85848">
      <w:pPr>
        <w:pStyle w:val="Bodytext20"/>
        <w:framePr w:w="9158" w:h="4676" w:hRule="exact" w:wrap="none" w:vAnchor="page" w:hAnchor="page" w:x="1335" w:y="10524"/>
        <w:numPr>
          <w:ilvl w:val="1"/>
          <w:numId w:val="1"/>
        </w:numPr>
        <w:shd w:val="clear" w:color="auto" w:fill="auto"/>
        <w:tabs>
          <w:tab w:val="left" w:pos="837"/>
        </w:tabs>
        <w:ind w:left="820"/>
        <w:jc w:val="both"/>
      </w:pPr>
      <w:r>
        <w:t>Za důvěrné a utajované informace ve smyslu tohoto článku se považují veškeré informace, jejichž zveřejnění by mohlo druhé smluvní straně způsobit škodu nebo poškodit její pověst, a to bez ohledu na to, zda tvoří součást obchodního tajemství.</w:t>
      </w:r>
    </w:p>
    <w:p w:rsidR="005071E6" w:rsidRDefault="00C85848">
      <w:pPr>
        <w:pStyle w:val="Bodytext20"/>
        <w:framePr w:w="9158" w:h="4676" w:hRule="exact" w:wrap="none" w:vAnchor="page" w:hAnchor="page" w:x="1335" w:y="10524"/>
        <w:numPr>
          <w:ilvl w:val="1"/>
          <w:numId w:val="1"/>
        </w:numPr>
        <w:shd w:val="clear" w:color="auto" w:fill="auto"/>
        <w:tabs>
          <w:tab w:val="left" w:pos="837"/>
        </w:tabs>
        <w:ind w:left="820"/>
        <w:jc w:val="both"/>
      </w:pPr>
      <w:r>
        <w:t>Povinnost mlčenlivosti ve shora uvedeném rozsahu se nevztahuje na informace, které se týkají Smluvní strany, která je sama o sobě zveřejní, na informace, které se stanou obecně známými, aniž by v takovou známost vešly v důsledku porušení závazku mlčenlivosti výše sjednaného, a na informace obecně známé.</w:t>
      </w:r>
    </w:p>
    <w:p w:rsidR="005071E6" w:rsidRDefault="00C85848">
      <w:pPr>
        <w:pStyle w:val="Bodytext20"/>
        <w:framePr w:w="9158" w:h="4676" w:hRule="exact" w:wrap="none" w:vAnchor="page" w:hAnchor="page" w:x="1335" w:y="10524"/>
        <w:numPr>
          <w:ilvl w:val="1"/>
          <w:numId w:val="1"/>
        </w:numPr>
        <w:shd w:val="clear" w:color="auto" w:fill="auto"/>
        <w:tabs>
          <w:tab w:val="left" w:pos="837"/>
        </w:tabs>
        <w:ind w:left="820"/>
        <w:jc w:val="both"/>
      </w:pPr>
      <w:r>
        <w:t>V případě porušení důvěrnosti informací podle tohoto článku této smlouvy je poškozená Smluvní strana oprávněna požadovat po Smluvní straně, která smlouvu porušila, smluvní</w:t>
      </w:r>
    </w:p>
    <w:p w:rsidR="005071E6" w:rsidRDefault="00C85848">
      <w:pPr>
        <w:pStyle w:val="Headerorfooter0"/>
        <w:framePr w:wrap="none" w:vAnchor="page" w:hAnchor="page" w:x="5842" w:y="15522"/>
        <w:shd w:val="clear" w:color="auto" w:fill="auto"/>
      </w:pPr>
      <w:r>
        <w:t>3</w:t>
      </w:r>
    </w:p>
    <w:p w:rsidR="005071E6" w:rsidRDefault="005071E6">
      <w:pPr>
        <w:rPr>
          <w:sz w:val="2"/>
          <w:szCs w:val="2"/>
        </w:rPr>
        <w:sectPr w:rsidR="005071E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071E6" w:rsidRDefault="00C85848">
      <w:pPr>
        <w:pStyle w:val="Bodytext20"/>
        <w:framePr w:w="9144" w:h="3154" w:hRule="exact" w:wrap="none" w:vAnchor="page" w:hAnchor="page" w:x="1342" w:y="1299"/>
        <w:shd w:val="clear" w:color="auto" w:fill="auto"/>
        <w:tabs>
          <w:tab w:val="left" w:pos="837"/>
        </w:tabs>
        <w:ind w:left="820"/>
        <w:jc w:val="both"/>
      </w:pPr>
      <w:r>
        <w:lastRenderedPageBreak/>
        <w:t>pokutu ve výši 10.000,- Kč (slovy deset tisíc korun českých) včetně DPH za každý takový případ porušení. Zaplacením smluvní pokuty není dotčen ani omezen nárok poškozené strany na náhradu vzniklé škody v plné výši.</w:t>
      </w:r>
    </w:p>
    <w:p w:rsidR="005071E6" w:rsidRDefault="00C85848">
      <w:pPr>
        <w:pStyle w:val="Bodytext20"/>
        <w:framePr w:w="9144" w:h="3154" w:hRule="exact" w:wrap="none" w:vAnchor="page" w:hAnchor="page" w:x="1342" w:y="1299"/>
        <w:numPr>
          <w:ilvl w:val="1"/>
          <w:numId w:val="1"/>
        </w:numPr>
        <w:shd w:val="clear" w:color="auto" w:fill="auto"/>
        <w:tabs>
          <w:tab w:val="left" w:pos="852"/>
        </w:tabs>
        <w:ind w:left="820" w:hanging="420"/>
        <w:jc w:val="both"/>
      </w:pPr>
      <w:r>
        <w:t>Bez ohledu na výše uvedené, Smluvní strany souhlasí s tím, aby tato smlouva byla zveřejněna v rámci evidence smluv přístupné dle zákona 106/1999 Sb., o svobodném přístupu k informacím, ve znění pozdějších předpisů, a dle zákona č. 340/2015 Sb., o registru smluv, ve znění pozdějších předpisů, a to v rozsahu nezbytném ke splnění zákonné povinnosti, zejména údaje o smluvních stranách, předmětu smlouvy a datu jejího uzavření. Zveřejnění informací ke splnění zákonné povinnosti není považováno za porušení mlčenlivosti.</w:t>
      </w:r>
    </w:p>
    <w:p w:rsidR="005071E6" w:rsidRDefault="00C85848">
      <w:pPr>
        <w:pStyle w:val="Heading10"/>
        <w:framePr w:w="9144" w:h="589" w:hRule="exact" w:wrap="none" w:vAnchor="page" w:hAnchor="page" w:x="1342" w:y="5173"/>
        <w:numPr>
          <w:ilvl w:val="0"/>
          <w:numId w:val="1"/>
        </w:numPr>
        <w:shd w:val="clear" w:color="auto" w:fill="auto"/>
        <w:tabs>
          <w:tab w:val="left" w:pos="367"/>
        </w:tabs>
        <w:spacing w:after="80"/>
        <w:jc w:val="left"/>
      </w:pPr>
      <w:bookmarkStart w:id="11" w:name="bookmark10"/>
      <w:r>
        <w:t>Součinnost při propagaci Inscenace</w:t>
      </w:r>
      <w:bookmarkEnd w:id="11"/>
    </w:p>
    <w:p w:rsidR="005071E6" w:rsidRDefault="00C85848">
      <w:pPr>
        <w:pStyle w:val="Bodytext20"/>
        <w:framePr w:w="9144" w:h="589" w:hRule="exact" w:wrap="none" w:vAnchor="page" w:hAnchor="page" w:x="1342" w:y="5173"/>
        <w:numPr>
          <w:ilvl w:val="1"/>
          <w:numId w:val="1"/>
        </w:numPr>
        <w:shd w:val="clear" w:color="auto" w:fill="auto"/>
        <w:tabs>
          <w:tab w:val="left" w:pos="852"/>
        </w:tabs>
        <w:spacing w:line="224" w:lineRule="exact"/>
        <w:ind w:left="820" w:hanging="420"/>
        <w:jc w:val="both"/>
      </w:pPr>
      <w:r>
        <w:t>Smluvní strany se zavazují ke společnému postupu v rámci propagace Inscenace.</w:t>
      </w:r>
    </w:p>
    <w:p w:rsidR="005071E6" w:rsidRDefault="00C85848">
      <w:pPr>
        <w:pStyle w:val="Heading10"/>
        <w:framePr w:w="9144" w:h="2520" w:hRule="exact" w:wrap="none" w:vAnchor="page" w:hAnchor="page" w:x="1342" w:y="6431"/>
        <w:numPr>
          <w:ilvl w:val="0"/>
          <w:numId w:val="1"/>
        </w:numPr>
        <w:shd w:val="clear" w:color="auto" w:fill="auto"/>
        <w:tabs>
          <w:tab w:val="left" w:pos="367"/>
        </w:tabs>
        <w:spacing w:after="0" w:line="307" w:lineRule="exact"/>
        <w:jc w:val="left"/>
      </w:pPr>
      <w:bookmarkStart w:id="12" w:name="bookmark11"/>
      <w:r>
        <w:t>Vyšší moc</w:t>
      </w:r>
      <w:bookmarkEnd w:id="12"/>
    </w:p>
    <w:p w:rsidR="005071E6" w:rsidRDefault="00C85848">
      <w:pPr>
        <w:pStyle w:val="Bodytext20"/>
        <w:framePr w:w="9144" w:h="2520" w:hRule="exact" w:wrap="none" w:vAnchor="page" w:hAnchor="page" w:x="1342" w:y="6431"/>
        <w:numPr>
          <w:ilvl w:val="1"/>
          <w:numId w:val="1"/>
        </w:numPr>
        <w:shd w:val="clear" w:color="auto" w:fill="auto"/>
        <w:tabs>
          <w:tab w:val="left" w:pos="850"/>
        </w:tabs>
        <w:ind w:left="820" w:hanging="420"/>
        <w:jc w:val="both"/>
      </w:pPr>
      <w:r>
        <w:t xml:space="preserve">Pokud kterákoli ze Smluvních stran nebude schopna dodržovat nebo plnit jakoukoli povinnost podle této smlouvy a tato neschopnost bude výhradně způsobena tzv. vyšší mocí ve smyslu </w:t>
      </w:r>
      <w:proofErr w:type="spellStart"/>
      <w:r>
        <w:t>ust</w:t>
      </w:r>
      <w:proofErr w:type="spellEnd"/>
      <w:r>
        <w:t>. § 2913 odst. 2 zákona č. 89/2012 Sb., občanský zákoník, je povinna takovou skutečnost druhé Smluvní straně neprodleně oznámit. Smluvní strany se zavazují bez ohledu na jejich práva a povinnosti vyplývající z platných právních předpisů nebo z této smlouvy hledat řešení vzniklé situace v dobré víře a v případě potřeby uzavřít dodatek/dodatky k této smlouvě, vše s cílem zajistit řádnou realizaci Inscenace.</w:t>
      </w:r>
    </w:p>
    <w:p w:rsidR="005071E6" w:rsidRDefault="00C85848">
      <w:pPr>
        <w:pStyle w:val="Heading10"/>
        <w:framePr w:w="9144" w:h="4377" w:hRule="exact" w:wrap="none" w:vAnchor="page" w:hAnchor="page" w:x="1342" w:y="9603"/>
        <w:numPr>
          <w:ilvl w:val="0"/>
          <w:numId w:val="1"/>
        </w:numPr>
        <w:shd w:val="clear" w:color="auto" w:fill="auto"/>
        <w:tabs>
          <w:tab w:val="left" w:pos="394"/>
        </w:tabs>
        <w:spacing w:after="0" w:line="307" w:lineRule="exact"/>
        <w:jc w:val="left"/>
      </w:pPr>
      <w:bookmarkStart w:id="13" w:name="bookmark12"/>
      <w:r>
        <w:t>Doba trvání smlouvy</w:t>
      </w:r>
      <w:bookmarkEnd w:id="13"/>
    </w:p>
    <w:p w:rsidR="005071E6" w:rsidRDefault="00C85848">
      <w:pPr>
        <w:pStyle w:val="Bodytext20"/>
        <w:framePr w:w="9144" w:h="4377" w:hRule="exact" w:wrap="none" w:vAnchor="page" w:hAnchor="page" w:x="1342" w:y="9603"/>
        <w:numPr>
          <w:ilvl w:val="1"/>
          <w:numId w:val="1"/>
        </w:numPr>
        <w:shd w:val="clear" w:color="auto" w:fill="auto"/>
        <w:tabs>
          <w:tab w:val="left" w:pos="1438"/>
        </w:tabs>
        <w:ind w:left="820" w:hanging="420"/>
        <w:jc w:val="both"/>
      </w:pPr>
      <w:r>
        <w:t>Tato smlouva se uzavírá na dobu určitou, a to po dobu provozování inscenace Smluvními stranami.</w:t>
      </w:r>
    </w:p>
    <w:p w:rsidR="005071E6" w:rsidRDefault="00C85848">
      <w:pPr>
        <w:pStyle w:val="Bodytext20"/>
        <w:framePr w:w="9144" w:h="4377" w:hRule="exact" w:wrap="none" w:vAnchor="page" w:hAnchor="page" w:x="1342" w:y="9603"/>
        <w:numPr>
          <w:ilvl w:val="1"/>
          <w:numId w:val="1"/>
        </w:numPr>
        <w:shd w:val="clear" w:color="auto" w:fill="auto"/>
        <w:tabs>
          <w:tab w:val="left" w:pos="1438"/>
        </w:tabs>
        <w:ind w:left="820" w:hanging="420"/>
        <w:jc w:val="both"/>
      </w:pPr>
      <w:r>
        <w:t>Smluvní strany mají právo tuto smlouvu písemně vypovědět v případě, že nebude možno dosáhnout účelu této smlouvy. Výpovědní doba činí 90 dnů a počíná běžet prvním dnem měsíce následujícího po měsíci, v němž byla výpověď doručena druhé Smluvní straně. Důvodem pro odstoupení od smlouvy není rozhodnutí HDK titul na své scéně neuvádět.</w:t>
      </w:r>
    </w:p>
    <w:p w:rsidR="005071E6" w:rsidRDefault="00C85848">
      <w:pPr>
        <w:pStyle w:val="Bodytext20"/>
        <w:framePr w:w="9144" w:h="4377" w:hRule="exact" w:wrap="none" w:vAnchor="page" w:hAnchor="page" w:x="1342" w:y="9603"/>
        <w:numPr>
          <w:ilvl w:val="1"/>
          <w:numId w:val="1"/>
        </w:numPr>
        <w:shd w:val="clear" w:color="auto" w:fill="auto"/>
        <w:tabs>
          <w:tab w:val="left" w:pos="1438"/>
        </w:tabs>
        <w:ind w:left="820" w:hanging="420"/>
        <w:jc w:val="both"/>
      </w:pPr>
      <w:r>
        <w:t xml:space="preserve">V případě odstoupení od smlouvy mají Smluvní strany povinnost si vrátit veškeré předané podklady a provést vyúčtování, na </w:t>
      </w:r>
      <w:proofErr w:type="gramStart"/>
      <w:r>
        <w:t>základě</w:t>
      </w:r>
      <w:proofErr w:type="gramEnd"/>
      <w:r>
        <w:t xml:space="preserve"> kterého se Smluvní strany budou podílet na vynaložených nákladech v poměru ke svému koprodukčnímu podílu. V případě, že k výpovědi smlouvy dojde v době, kdy jsou již prodané vstupenky na představení Inscenace, Smluvní strany se zavazují vyvinout maximální součinnost k realizaci již prodávaných představení a minimalizovat reputační riziko související s rušením naplánovaných představení Inscenace.</w:t>
      </w:r>
    </w:p>
    <w:p w:rsidR="005071E6" w:rsidRDefault="00C85848">
      <w:pPr>
        <w:pStyle w:val="Headerorfooter0"/>
        <w:framePr w:wrap="none" w:vAnchor="page" w:hAnchor="page" w:x="5840" w:y="15527"/>
        <w:shd w:val="clear" w:color="auto" w:fill="auto"/>
      </w:pPr>
      <w:r>
        <w:t>4</w:t>
      </w:r>
    </w:p>
    <w:p w:rsidR="005071E6" w:rsidRDefault="005071E6">
      <w:pPr>
        <w:rPr>
          <w:sz w:val="2"/>
          <w:szCs w:val="2"/>
        </w:rPr>
        <w:sectPr w:rsidR="005071E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071E6" w:rsidRDefault="00C85848">
      <w:pPr>
        <w:pStyle w:val="Heading10"/>
        <w:framePr w:w="9158" w:h="7327" w:hRule="exact" w:wrap="none" w:vAnchor="page" w:hAnchor="page" w:x="1335" w:y="1309"/>
        <w:numPr>
          <w:ilvl w:val="0"/>
          <w:numId w:val="1"/>
        </w:numPr>
        <w:shd w:val="clear" w:color="auto" w:fill="auto"/>
        <w:tabs>
          <w:tab w:val="left" w:pos="436"/>
        </w:tabs>
        <w:spacing w:after="0" w:line="307" w:lineRule="exact"/>
        <w:jc w:val="both"/>
      </w:pPr>
      <w:bookmarkStart w:id="14" w:name="bookmark13"/>
      <w:r>
        <w:lastRenderedPageBreak/>
        <w:t>Závěrečná ustanovení</w:t>
      </w:r>
      <w:bookmarkEnd w:id="14"/>
    </w:p>
    <w:p w:rsidR="005071E6" w:rsidRDefault="00C85848">
      <w:pPr>
        <w:pStyle w:val="Bodytext20"/>
        <w:framePr w:w="9158" w:h="7327" w:hRule="exact" w:wrap="none" w:vAnchor="page" w:hAnchor="page" w:x="1335" w:y="1309"/>
        <w:numPr>
          <w:ilvl w:val="1"/>
          <w:numId w:val="1"/>
        </w:numPr>
        <w:shd w:val="clear" w:color="auto" w:fill="auto"/>
        <w:tabs>
          <w:tab w:val="left" w:pos="1444"/>
        </w:tabs>
        <w:ind w:left="800" w:hanging="400"/>
        <w:jc w:val="both"/>
      </w:pPr>
      <w:r>
        <w:t>V případě, že se některá ustanovení této smlouvy stanou obsoletní, neúčinná nebo neplatná v důsledku změny právních předpisů nebo rozhodnutí správního orgánu České republiky, nebude to mít za následek neplatnost či neúčinnost smlouvy a smluvní strany se zavazují nahradit neplatné ustanovení ustanovením platným, jehož věcný a ekonomický význam bude co nejvíce odpovídat významu a účelu nahrazovaného ustanovení.</w:t>
      </w:r>
    </w:p>
    <w:p w:rsidR="005071E6" w:rsidRDefault="00C85848">
      <w:pPr>
        <w:pStyle w:val="Bodytext20"/>
        <w:framePr w:w="9158" w:h="7327" w:hRule="exact" w:wrap="none" w:vAnchor="page" w:hAnchor="page" w:x="1335" w:y="1309"/>
        <w:numPr>
          <w:ilvl w:val="1"/>
          <w:numId w:val="1"/>
        </w:numPr>
        <w:shd w:val="clear" w:color="auto" w:fill="auto"/>
        <w:tabs>
          <w:tab w:val="left" w:pos="1444"/>
        </w:tabs>
        <w:ind w:left="800" w:hanging="400"/>
        <w:jc w:val="both"/>
      </w:pPr>
      <w:r>
        <w:t>Smluvní strany se dohodly, že ustanovení § 1740, odst. 3), § 1765, § 1766 zákona č. 89/2012 Sb., občanský zákoník, se nepoužijí.</w:t>
      </w:r>
    </w:p>
    <w:p w:rsidR="005071E6" w:rsidRDefault="00C85848">
      <w:pPr>
        <w:pStyle w:val="Bodytext20"/>
        <w:framePr w:w="9158" w:h="7327" w:hRule="exact" w:wrap="none" w:vAnchor="page" w:hAnchor="page" w:x="1335" w:y="1309"/>
        <w:numPr>
          <w:ilvl w:val="1"/>
          <w:numId w:val="1"/>
        </w:numPr>
        <w:shd w:val="clear" w:color="auto" w:fill="auto"/>
        <w:tabs>
          <w:tab w:val="left" w:pos="1444"/>
        </w:tabs>
        <w:ind w:left="800" w:hanging="400"/>
        <w:jc w:val="both"/>
      </w:pPr>
      <w:r>
        <w:t>Veškeré změny či doplňky k této smlouvě je možné činit pouze prostřednictvím písemných dodatků.</w:t>
      </w:r>
    </w:p>
    <w:p w:rsidR="005071E6" w:rsidRDefault="00C85848">
      <w:pPr>
        <w:pStyle w:val="Bodytext20"/>
        <w:framePr w:w="9158" w:h="7327" w:hRule="exact" w:wrap="none" w:vAnchor="page" w:hAnchor="page" w:x="1335" w:y="1309"/>
        <w:numPr>
          <w:ilvl w:val="1"/>
          <w:numId w:val="1"/>
        </w:numPr>
        <w:shd w:val="clear" w:color="auto" w:fill="auto"/>
        <w:tabs>
          <w:tab w:val="left" w:pos="1444"/>
        </w:tabs>
        <w:ind w:left="800" w:hanging="400"/>
        <w:jc w:val="both"/>
      </w:pPr>
      <w:r>
        <w:t>Tato smlouva představuje úplnou dohodu Smluvních stran o předmětu této smlouvy a nahrazuje veškerá případná předchozí ujednání smluvních stran ohledně předmětu této dohody.</w:t>
      </w:r>
    </w:p>
    <w:p w:rsidR="005071E6" w:rsidRDefault="00C85848">
      <w:pPr>
        <w:pStyle w:val="Bodytext20"/>
        <w:framePr w:w="9158" w:h="7327" w:hRule="exact" w:wrap="none" w:vAnchor="page" w:hAnchor="page" w:x="1335" w:y="1309"/>
        <w:numPr>
          <w:ilvl w:val="1"/>
          <w:numId w:val="1"/>
        </w:numPr>
        <w:shd w:val="clear" w:color="auto" w:fill="auto"/>
        <w:tabs>
          <w:tab w:val="left" w:pos="1444"/>
        </w:tabs>
        <w:ind w:left="800" w:hanging="400"/>
        <w:jc w:val="both"/>
      </w:pPr>
      <w:r>
        <w:t>Tato smlouva se vyhotovuje ve dvou stejnopisech, přičemž každá ze Smluvních stran obdrží po jednom vyhotovení.</w:t>
      </w:r>
    </w:p>
    <w:p w:rsidR="005071E6" w:rsidRDefault="00C85848">
      <w:pPr>
        <w:pStyle w:val="Bodytext20"/>
        <w:framePr w:w="9158" w:h="7327" w:hRule="exact" w:wrap="none" w:vAnchor="page" w:hAnchor="page" w:x="1335" w:y="1309"/>
        <w:numPr>
          <w:ilvl w:val="1"/>
          <w:numId w:val="1"/>
        </w:numPr>
        <w:shd w:val="clear" w:color="auto" w:fill="auto"/>
        <w:tabs>
          <w:tab w:val="left" w:pos="1444"/>
        </w:tabs>
        <w:spacing w:after="327"/>
        <w:ind w:left="800" w:hanging="400"/>
        <w:jc w:val="both"/>
      </w:pPr>
      <w:r>
        <w:t>Nedílnou součástí této smlouvy jsou následující přílohy:</w:t>
      </w:r>
    </w:p>
    <w:p w:rsidR="005071E6" w:rsidRDefault="00C85848">
      <w:pPr>
        <w:pStyle w:val="Bodytext20"/>
        <w:framePr w:w="9158" w:h="7327" w:hRule="exact" w:wrap="none" w:vAnchor="page" w:hAnchor="page" w:x="1335" w:y="1309"/>
        <w:shd w:val="clear" w:color="auto" w:fill="auto"/>
        <w:spacing w:after="320" w:line="224" w:lineRule="exact"/>
        <w:ind w:left="800" w:firstLine="0"/>
      </w:pPr>
      <w:r>
        <w:t>Příloha č. 1 - Rozpočet</w:t>
      </w:r>
    </w:p>
    <w:p w:rsidR="005071E6" w:rsidRDefault="00C85848">
      <w:pPr>
        <w:pStyle w:val="Bodytext20"/>
        <w:framePr w:w="9158" w:h="7327" w:hRule="exact" w:wrap="none" w:vAnchor="page" w:hAnchor="page" w:x="1335" w:y="1309"/>
        <w:shd w:val="clear" w:color="auto" w:fill="auto"/>
        <w:spacing w:after="260" w:line="224" w:lineRule="exact"/>
        <w:ind w:left="800" w:firstLine="0"/>
      </w:pPr>
      <w:r>
        <w:t>Příloha č. 2 - Složení realizačního týmu</w:t>
      </w:r>
    </w:p>
    <w:p w:rsidR="005071E6" w:rsidRDefault="00C85848">
      <w:pPr>
        <w:pStyle w:val="Bodytext20"/>
        <w:framePr w:w="9158" w:h="7327" w:hRule="exact" w:wrap="none" w:vAnchor="page" w:hAnchor="page" w:x="1335" w:y="1309"/>
        <w:shd w:val="clear" w:color="auto" w:fill="auto"/>
        <w:spacing w:after="224" w:line="224" w:lineRule="exact"/>
        <w:ind w:left="800" w:firstLine="0"/>
      </w:pPr>
      <w:r>
        <w:t>Příloha č. 3 - Zápisy z předávacích porad pro výrobu scénických dekorací a kostýmů</w:t>
      </w:r>
    </w:p>
    <w:p w:rsidR="005071E6" w:rsidRDefault="00C85848">
      <w:pPr>
        <w:pStyle w:val="Bodytext20"/>
        <w:framePr w:w="9158" w:h="7327" w:hRule="exact" w:wrap="none" w:vAnchor="page" w:hAnchor="page" w:x="1335" w:y="1309"/>
        <w:numPr>
          <w:ilvl w:val="1"/>
          <w:numId w:val="1"/>
        </w:numPr>
        <w:shd w:val="clear" w:color="auto" w:fill="auto"/>
        <w:tabs>
          <w:tab w:val="left" w:pos="1444"/>
        </w:tabs>
        <w:spacing w:line="269" w:lineRule="exact"/>
        <w:ind w:left="800" w:hanging="400"/>
        <w:jc w:val="both"/>
      </w:pPr>
      <w:r>
        <w:t>Smluvní strany prohlašují, že si smlouvu přečetly, s jejím zněním souhlasí a na důkaz toho připojují níže, jakož i na každou stranu této smlouvy své podpisy.</w:t>
      </w:r>
    </w:p>
    <w:p w:rsidR="005071E6" w:rsidRDefault="00C85848">
      <w:pPr>
        <w:pStyle w:val="Bodytext20"/>
        <w:framePr w:w="9158" w:h="828" w:hRule="exact" w:wrap="none" w:vAnchor="page" w:hAnchor="page" w:x="1335" w:y="9406"/>
        <w:shd w:val="clear" w:color="auto" w:fill="auto"/>
        <w:tabs>
          <w:tab w:val="left" w:pos="1444"/>
          <w:tab w:val="left" w:pos="5659"/>
          <w:tab w:val="left" w:pos="7085"/>
        </w:tabs>
        <w:spacing w:after="320" w:line="224" w:lineRule="exact"/>
        <w:ind w:firstLine="0"/>
        <w:jc w:val="both"/>
      </w:pPr>
      <w:r>
        <w:t>V</w:t>
      </w:r>
      <w:r>
        <w:tab/>
        <w:t>dne</w:t>
      </w:r>
      <w:r>
        <w:tab/>
        <w:t>V</w:t>
      </w:r>
      <w:r>
        <w:tab/>
        <w:t>dne</w:t>
      </w:r>
    </w:p>
    <w:p w:rsidR="005071E6" w:rsidRDefault="00C85848">
      <w:pPr>
        <w:pStyle w:val="Heading10"/>
        <w:framePr w:w="9158" w:h="828" w:hRule="exact" w:wrap="none" w:vAnchor="page" w:hAnchor="page" w:x="1335" w:y="9406"/>
        <w:shd w:val="clear" w:color="auto" w:fill="auto"/>
        <w:tabs>
          <w:tab w:val="left" w:pos="5659"/>
        </w:tabs>
        <w:spacing w:after="0"/>
        <w:jc w:val="both"/>
      </w:pPr>
      <w:bookmarkStart w:id="15" w:name="bookmark14"/>
      <w:r>
        <w:rPr>
          <w:rStyle w:val="Heading1NotBold"/>
        </w:rPr>
        <w:t xml:space="preserve">Za </w:t>
      </w:r>
      <w:r>
        <w:t>Hudební divadlo v Karl</w:t>
      </w:r>
      <w:r w:rsidR="00AA02AC">
        <w:t>í</w:t>
      </w:r>
      <w:r>
        <w:t>ně</w:t>
      </w:r>
      <w:r>
        <w:tab/>
      </w:r>
      <w:r>
        <w:rPr>
          <w:rStyle w:val="Heading1NotBold"/>
        </w:rPr>
        <w:t xml:space="preserve">Za </w:t>
      </w:r>
      <w:r>
        <w:t>Divadlo Josefa Kajetána Tyla</w:t>
      </w:r>
      <w:bookmarkEnd w:id="15"/>
    </w:p>
    <w:p w:rsidR="005071E6" w:rsidRDefault="00C85848">
      <w:pPr>
        <w:pStyle w:val="Bodytext20"/>
        <w:framePr w:wrap="none" w:vAnchor="page" w:hAnchor="page" w:x="1349" w:y="11600"/>
        <w:shd w:val="clear" w:color="auto" w:fill="auto"/>
        <w:spacing w:line="224" w:lineRule="exact"/>
        <w:ind w:firstLine="0"/>
      </w:pPr>
      <w:r>
        <w:t>Bc. Egon Kulhánek</w:t>
      </w:r>
    </w:p>
    <w:p w:rsidR="005071E6" w:rsidRDefault="00C85848">
      <w:pPr>
        <w:pStyle w:val="Bodytext20"/>
        <w:framePr w:wrap="none" w:vAnchor="page" w:hAnchor="page" w:x="1335" w:y="11595"/>
        <w:shd w:val="clear" w:color="auto" w:fill="auto"/>
        <w:spacing w:line="224" w:lineRule="exact"/>
        <w:ind w:left="5674" w:firstLine="0"/>
      </w:pPr>
      <w:r>
        <w:t>doc. MgA. Martin Otava, Ph.D.</w:t>
      </w:r>
    </w:p>
    <w:p w:rsidR="005071E6" w:rsidRDefault="00C85848">
      <w:pPr>
        <w:pStyle w:val="Headerorfooter0"/>
        <w:framePr w:wrap="none" w:vAnchor="page" w:hAnchor="page" w:x="5828" w:y="15537"/>
        <w:shd w:val="clear" w:color="auto" w:fill="auto"/>
      </w:pPr>
      <w:r>
        <w:t>5</w:t>
      </w:r>
    </w:p>
    <w:p w:rsidR="005071E6" w:rsidRDefault="005071E6">
      <w:pPr>
        <w:rPr>
          <w:sz w:val="2"/>
          <w:szCs w:val="2"/>
        </w:rPr>
        <w:sectPr w:rsidR="005071E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071E6" w:rsidRDefault="00C85848">
      <w:pPr>
        <w:pStyle w:val="Bodytext30"/>
        <w:framePr w:w="9158" w:h="282" w:hRule="exact" w:wrap="none" w:vAnchor="page" w:hAnchor="page" w:x="1335" w:y="1380"/>
        <w:shd w:val="clear" w:color="auto" w:fill="auto"/>
        <w:spacing w:before="0" w:line="224" w:lineRule="exact"/>
        <w:jc w:val="center"/>
      </w:pPr>
      <w:r>
        <w:lastRenderedPageBreak/>
        <w:t>Příloha č. 1 - Rozpočet</w:t>
      </w:r>
    </w:p>
    <w:p w:rsidR="005071E6" w:rsidRDefault="00C85848">
      <w:pPr>
        <w:pStyle w:val="Bodytext30"/>
        <w:framePr w:w="9158" w:h="833" w:hRule="exact" w:wrap="none" w:vAnchor="page" w:hAnchor="page" w:x="1335" w:y="1923"/>
        <w:shd w:val="clear" w:color="auto" w:fill="auto"/>
        <w:spacing w:before="0" w:after="320" w:line="224" w:lineRule="exact"/>
        <w:jc w:val="center"/>
      </w:pPr>
      <w:r>
        <w:t>Příloha č. 2 - Složení realizačního týmu</w:t>
      </w:r>
    </w:p>
    <w:p w:rsidR="005071E6" w:rsidRDefault="00C85848">
      <w:pPr>
        <w:pStyle w:val="Bodytext30"/>
        <w:framePr w:w="9158" w:h="833" w:hRule="exact" w:wrap="none" w:vAnchor="page" w:hAnchor="page" w:x="1335" w:y="1923"/>
        <w:shd w:val="clear" w:color="auto" w:fill="auto"/>
        <w:spacing w:before="0" w:line="224" w:lineRule="exact"/>
        <w:jc w:val="center"/>
      </w:pPr>
      <w:r>
        <w:t>Příloha č. 3 - Zápis z předávacích porad pro výrobu scénických dekorací a kostýmů</w:t>
      </w:r>
    </w:p>
    <w:p w:rsidR="005071E6" w:rsidRDefault="00C85848">
      <w:pPr>
        <w:pStyle w:val="Headerorfooter0"/>
        <w:framePr w:wrap="none" w:vAnchor="page" w:hAnchor="page" w:x="5818" w:y="15541"/>
        <w:shd w:val="clear" w:color="auto" w:fill="auto"/>
      </w:pPr>
      <w:r>
        <w:t>6</w:t>
      </w:r>
    </w:p>
    <w:p w:rsidR="005071E6" w:rsidRDefault="005071E6">
      <w:pPr>
        <w:rPr>
          <w:sz w:val="2"/>
          <w:szCs w:val="2"/>
        </w:rPr>
      </w:pPr>
    </w:p>
    <w:sectPr w:rsidR="005071E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1ACF" w:rsidRDefault="00971ACF">
      <w:r>
        <w:separator/>
      </w:r>
    </w:p>
  </w:endnote>
  <w:endnote w:type="continuationSeparator" w:id="0">
    <w:p w:rsidR="00971ACF" w:rsidRDefault="00971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1ACF" w:rsidRDefault="00971ACF"/>
  </w:footnote>
  <w:footnote w:type="continuationSeparator" w:id="0">
    <w:p w:rsidR="00971ACF" w:rsidRDefault="00971A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E6EB3"/>
    <w:multiLevelType w:val="multilevel"/>
    <w:tmpl w:val="11F4180C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71E6"/>
    <w:rsid w:val="002A7D15"/>
    <w:rsid w:val="00347701"/>
    <w:rsid w:val="005071E6"/>
    <w:rsid w:val="00971ACF"/>
    <w:rsid w:val="00AA02AC"/>
    <w:rsid w:val="00C36371"/>
    <w:rsid w:val="00C85848"/>
    <w:rsid w:val="00DF0A7A"/>
    <w:rsid w:val="00F2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3E07F"/>
  <w15:docId w15:val="{546FE3E1-FA76-4F0A-93B0-727E5104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05ptItalic">
    <w:name w:val="Body text (2) + 10.5 pt;Italic"/>
    <w:basedOn w:val="Body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E66BB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22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E66BB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1NotBold">
    <w:name w:val="Heading #1 + Not Bold"/>
    <w:basedOn w:val="Heading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100" w:line="224" w:lineRule="exact"/>
      <w:jc w:val="center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307" w:lineRule="exact"/>
      <w:ind w:hanging="440"/>
    </w:pPr>
    <w:rPr>
      <w:rFonts w:ascii="Calibri" w:eastAsia="Calibri" w:hAnsi="Calibri" w:cs="Calibri"/>
      <w:sz w:val="22"/>
      <w:szCs w:val="22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22" w:lineRule="exact"/>
    </w:pPr>
    <w:rPr>
      <w:rFonts w:ascii="Calibri" w:eastAsia="Calibri" w:hAnsi="Calibri" w:cs="Calibri"/>
      <w:sz w:val="21"/>
      <w:szCs w:val="21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720" w:line="307" w:lineRule="exact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1646</Words>
  <Characters>9713</Characters>
  <Application>Microsoft Office Word</Application>
  <DocSecurity>0</DocSecurity>
  <Lines>80</Lines>
  <Paragraphs>22</Paragraphs>
  <ScaleCrop>false</ScaleCrop>
  <Company>Hudební divadlo Karlín</Company>
  <LinksUpToDate>false</LinksUpToDate>
  <CharactersWithSpaces>11337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Markétka</cp:lastModifiedBy>
  <cp:revision>6</cp:revision>
  <dcterms:created xsi:type="dcterms:W3CDTF">2019-01-16T14:28:00Z</dcterms:created>
  <dcterms:modified xsi:type="dcterms:W3CDTF">2019-01-24T14:41:00Z</dcterms:modified>
</cp:coreProperties>
</file>