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C51" w:rsidRDefault="009D6C51" w:rsidP="000B17EB">
      <w:pPr>
        <w:jc w:val="center"/>
        <w:rPr>
          <w:b/>
          <w:caps/>
          <w:sz w:val="24"/>
          <w:szCs w:val="24"/>
        </w:rPr>
      </w:pPr>
    </w:p>
    <w:p w:rsidR="009D6C51" w:rsidRPr="002B5E6C" w:rsidRDefault="009D6C51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B5E6C">
        <w:rPr>
          <w:rFonts w:asciiTheme="minorHAnsi" w:hAnsiTheme="minorHAnsi" w:cstheme="minorHAnsi"/>
          <w:b/>
          <w:caps/>
          <w:sz w:val="24"/>
          <w:szCs w:val="24"/>
        </w:rPr>
        <w:t>Smlouva o sdružených službách dodávky elektřiny ZE SÍTÍ VN</w:t>
      </w:r>
    </w:p>
    <w:p w:rsidR="009D6C51" w:rsidRPr="002B5E6C" w:rsidRDefault="009D6C51">
      <w:pPr>
        <w:rPr>
          <w:rFonts w:asciiTheme="minorHAnsi" w:hAnsiTheme="minorHAnsi" w:cstheme="minorHAnsi"/>
        </w:rPr>
      </w:pPr>
    </w:p>
    <w:p w:rsidR="009D6C51" w:rsidRPr="002B5E6C" w:rsidRDefault="009D6C51">
      <w:pPr>
        <w:rPr>
          <w:rFonts w:asciiTheme="minorHAnsi" w:hAnsiTheme="minorHAnsi" w:cstheme="minorHAnsi"/>
        </w:rPr>
      </w:pPr>
    </w:p>
    <w:p w:rsidR="009D6C51" w:rsidRPr="002B5E6C" w:rsidRDefault="009D6C51">
      <w:pPr>
        <w:rPr>
          <w:rFonts w:asciiTheme="minorHAnsi" w:hAnsiTheme="minorHAnsi" w:cstheme="minorHAnsi"/>
        </w:rPr>
      </w:pPr>
    </w:p>
    <w:p w:rsidR="009D6C51" w:rsidRPr="002B5E6C" w:rsidRDefault="009D6C51">
      <w:pPr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>Níže uvedeného dne, měsíce a roku uzavírají "Smluvní strany"</w:t>
      </w:r>
    </w:p>
    <w:p w:rsidR="009D6C51" w:rsidRPr="002B5E6C" w:rsidRDefault="009D6C51">
      <w:pPr>
        <w:rPr>
          <w:rFonts w:asciiTheme="minorHAnsi" w:hAnsiTheme="minorHAnsi" w:cstheme="minorHAnsi"/>
        </w:rPr>
      </w:pPr>
    </w:p>
    <w:p w:rsidR="009D6C51" w:rsidRPr="00696B82" w:rsidRDefault="009D6C51" w:rsidP="00E94D18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" </w:t>
      </w:r>
    </w:p>
    <w:p w:rsidR="009D6C51" w:rsidRPr="00696B82" w:rsidRDefault="009D6C51" w:rsidP="00E94D18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lang w:val="en-GB"/>
        </w:rPr>
        <w:t>Pražská plynárenská, a.s.</w:t>
      </w:r>
    </w:p>
    <w:p w:rsidR="009D6C51" w:rsidRPr="00696B82" w:rsidRDefault="009D6C51" w:rsidP="00E94D18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lang w:val="en-GB"/>
        </w:rPr>
        <w:t>Národní 37, 110 00 Praha 1</w:t>
      </w:r>
    </w:p>
    <w:p w:rsidR="009D6C51" w:rsidRDefault="009D6C51" w:rsidP="00E9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696B82">
        <w:rPr>
          <w:rFonts w:asciiTheme="minorHAnsi" w:hAnsiTheme="minorHAnsi" w:cstheme="minorHAnsi"/>
        </w:rPr>
        <w:t>lČO: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60193492</w:t>
      </w:r>
    </w:p>
    <w:p w:rsidR="009D6C51" w:rsidRPr="00696B82" w:rsidRDefault="009D6C51" w:rsidP="00E9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DIČ: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lang w:val="en-GB"/>
        </w:rPr>
        <w:t>CZ60193492</w:t>
      </w:r>
    </w:p>
    <w:p w:rsidR="009D6C51" w:rsidRPr="00696B82" w:rsidRDefault="009D6C51" w:rsidP="00E94D18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lang w:val="en-GB"/>
        </w:rPr>
        <w:t>Městským soudem v Praze, oddíl B, vložka 2337</w:t>
      </w:r>
    </w:p>
    <w:p w:rsidR="009D6C51" w:rsidRDefault="009D6C51" w:rsidP="00E94D18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696B82">
        <w:rPr>
          <w:rFonts w:asciiTheme="minorHAnsi" w:hAnsiTheme="minorHAnsi" w:cstheme="minorHAnsi"/>
        </w:rPr>
        <w:t>Licence na obchod s elektřinou:</w:t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lang w:val="en-GB"/>
        </w:rPr>
        <w:t>141015380</w:t>
      </w:r>
    </w:p>
    <w:p w:rsidR="009D6C51" w:rsidRPr="00696B82" w:rsidRDefault="009D6C51" w:rsidP="00E94D18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Registrace OTE: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3602</w:t>
      </w:r>
    </w:p>
    <w:p w:rsidR="009D6C51" w:rsidRPr="00696B82" w:rsidRDefault="009D6C51" w:rsidP="00E94D18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Bankovní spojení: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lang w:val="en-GB"/>
        </w:rPr>
        <w:t>Komerční banka, a.s.</w:t>
      </w:r>
    </w:p>
    <w:p w:rsidR="009D6C51" w:rsidRPr="00696B82" w:rsidRDefault="009D6C51" w:rsidP="00E94D18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lang w:val="en-GB"/>
        </w:rPr>
        <w:t>48-7801160217/0100</w:t>
      </w:r>
    </w:p>
    <w:p w:rsidR="009D6C51" w:rsidRPr="00FC7DBC" w:rsidRDefault="009D6C51" w:rsidP="00E94D18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>Číslo datové schránky:</w:t>
      </w:r>
      <w:r w:rsidRPr="003B3851">
        <w:rPr>
          <w:rFonts w:asciiTheme="minorHAnsi" w:hAnsiTheme="minorHAnsi" w:cstheme="minorHAnsi"/>
          <w:lang w:val="en-GB"/>
        </w:rPr>
        <w:t xml:space="preserve">                          </w:t>
      </w:r>
      <w:r>
        <w:rPr>
          <w:rFonts w:cs="Arial"/>
          <w:color w:val="545454"/>
          <w:shd w:val="clear" w:color="auto" w:fill="FFFFFF"/>
        </w:rPr>
        <w:t>au7cgsv</w:t>
      </w:r>
    </w:p>
    <w:p w:rsidR="009D6C51" w:rsidRPr="00696B82" w:rsidRDefault="009D6C51" w:rsidP="00E94D18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lang w:val="en-GB"/>
        </w:rPr>
        <w:t>Ing. David Hrůza, na základě plné moci</w:t>
      </w:r>
    </w:p>
    <w:p w:rsidR="009D6C51" w:rsidRPr="00696B82" w:rsidRDefault="009D6C51" w:rsidP="00E94D18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>")</w:t>
      </w:r>
    </w:p>
    <w:p w:rsidR="009D6C51" w:rsidRPr="002B5E6C" w:rsidRDefault="009D6C51" w:rsidP="000B17E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>a</w:t>
      </w:r>
    </w:p>
    <w:p w:rsidR="009D6C51" w:rsidRPr="002B5E6C" w:rsidRDefault="009D6C51">
      <w:pPr>
        <w:rPr>
          <w:rFonts w:asciiTheme="minorHAnsi" w:hAnsiTheme="minorHAnsi" w:cstheme="minorHAnsi"/>
        </w:rPr>
      </w:pPr>
    </w:p>
    <w:p w:rsidR="009D6C51" w:rsidRPr="002B5E6C" w:rsidRDefault="009D6C51" w:rsidP="000B4ABE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>''</w:t>
      </w:r>
      <w:r w:rsidRPr="002B5E6C">
        <w:rPr>
          <w:rFonts w:asciiTheme="minorHAnsi" w:hAnsiTheme="minorHAnsi" w:cstheme="minorHAnsi"/>
          <w:b/>
        </w:rPr>
        <w:t>ZÁKAZNÍK</w:t>
      </w:r>
      <w:r w:rsidRPr="002B5E6C">
        <w:rPr>
          <w:rFonts w:asciiTheme="minorHAnsi" w:hAnsiTheme="minorHAnsi" w:cstheme="minorHAnsi"/>
        </w:rPr>
        <w:t xml:space="preserve">" </w:t>
      </w:r>
    </w:p>
    <w:p w:rsidR="009D6C51" w:rsidRPr="00696B82" w:rsidRDefault="009D6C51" w:rsidP="00883F2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7858BD">
        <w:rPr>
          <w:rFonts w:asciiTheme="minorHAnsi" w:hAnsiTheme="minorHAnsi" w:cstheme="minorHAnsi"/>
          <w:noProof/>
          <w:lang w:val="en-GB"/>
        </w:rPr>
        <w:t>VÍTKOVICE ARÉNA, a.s.</w:t>
      </w:r>
    </w:p>
    <w:p w:rsidR="009D6C51" w:rsidRPr="00696B82" w:rsidRDefault="009D6C51" w:rsidP="00883F2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7858BD">
        <w:rPr>
          <w:rFonts w:asciiTheme="minorHAnsi" w:hAnsiTheme="minorHAnsi" w:cstheme="minorHAnsi"/>
          <w:noProof/>
          <w:lang w:val="en-GB"/>
        </w:rPr>
        <w:t xml:space="preserve">Ruská 3077/135, 700 30  Ostrava - </w:t>
      </w:r>
      <w:r w:rsidR="007858BD">
        <w:rPr>
          <w:rFonts w:asciiTheme="minorHAnsi" w:hAnsiTheme="minorHAnsi" w:cstheme="minorHAnsi"/>
          <w:noProof/>
          <w:lang w:val="en-GB"/>
        </w:rPr>
        <w:t>Zábřeh</w:t>
      </w:r>
    </w:p>
    <w:p w:rsidR="009D6C51" w:rsidRPr="00696B82" w:rsidRDefault="009D6C51" w:rsidP="00883F2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lČO: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7858BD">
        <w:rPr>
          <w:rFonts w:asciiTheme="minorHAnsi" w:hAnsiTheme="minorHAnsi" w:cstheme="minorHAnsi"/>
          <w:noProof/>
          <w:lang w:val="en-GB"/>
        </w:rPr>
        <w:t>25911368</w:t>
      </w:r>
    </w:p>
    <w:p w:rsidR="009D6C51" w:rsidRPr="00696B82" w:rsidRDefault="009D6C51" w:rsidP="00883F2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DIČ: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962E86">
        <w:rPr>
          <w:rFonts w:asciiTheme="minorHAnsi" w:hAnsiTheme="minorHAnsi" w:cstheme="minorHAnsi"/>
          <w:noProof/>
        </w:rPr>
        <w:t>CZ25911368</w:t>
      </w:r>
    </w:p>
    <w:p w:rsidR="009D6C51" w:rsidRPr="00696B82" w:rsidRDefault="009D6C51" w:rsidP="00883F2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Pr="00696B82">
        <w:rPr>
          <w:rFonts w:asciiTheme="minorHAnsi" w:hAnsiTheme="minorHAnsi" w:cstheme="minorHAnsi"/>
        </w:rPr>
        <w:tab/>
      </w:r>
      <w:r w:rsidRPr="007858BD">
        <w:rPr>
          <w:rFonts w:asciiTheme="minorHAnsi" w:hAnsiTheme="minorHAnsi" w:cstheme="minorHAnsi"/>
          <w:lang w:val="en-GB"/>
        </w:rPr>
        <w:t>Krajský soud v Ostravě, oddíl B, vložka 2600</w:t>
      </w:r>
    </w:p>
    <w:p w:rsidR="009D6C51" w:rsidRPr="00696B82" w:rsidRDefault="009D6C51" w:rsidP="00883F2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Bankovní spojení: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858BD">
        <w:rPr>
          <w:rFonts w:asciiTheme="minorHAnsi" w:hAnsiTheme="minorHAnsi" w:cstheme="minorHAnsi"/>
        </w:rPr>
        <w:t>UniCredit Bank Czech Republik, a.s.</w:t>
      </w:r>
    </w:p>
    <w:p w:rsidR="009D6C51" w:rsidRPr="00696B82" w:rsidRDefault="009D6C51" w:rsidP="00883F2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D6C51">
        <w:rPr>
          <w:rFonts w:asciiTheme="minorHAnsi" w:hAnsiTheme="minorHAnsi" w:cstheme="minorHAnsi"/>
          <w:lang w:val="en-GB"/>
        </w:rPr>
        <w:t>42272004/2700</w:t>
      </w:r>
    </w:p>
    <w:p w:rsidR="009D6C51" w:rsidRPr="002B5E6C" w:rsidRDefault="009D6C51" w:rsidP="002B5E6C">
      <w:pPr>
        <w:tabs>
          <w:tab w:val="left" w:pos="3544"/>
        </w:tabs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>Číslo datové schránky:</w:t>
      </w:r>
      <w:r w:rsidRPr="002B5E6C">
        <w:rPr>
          <w:rFonts w:asciiTheme="minorHAnsi" w:hAnsiTheme="minorHAnsi" w:cstheme="minorHAnsi"/>
          <w:lang w:val="en-GB"/>
        </w:rPr>
        <w:t xml:space="preserve">   </w:t>
      </w:r>
      <w:r w:rsidRPr="002B5E6C">
        <w:rPr>
          <w:rFonts w:asciiTheme="minorHAnsi" w:hAnsiTheme="minorHAnsi" w:cstheme="minorHAnsi"/>
        </w:rPr>
        <w:tab/>
      </w:r>
      <w:r w:rsidRPr="009D6C51">
        <w:rPr>
          <w:rFonts w:asciiTheme="minorHAnsi" w:hAnsiTheme="minorHAnsi" w:cstheme="minorHAnsi"/>
          <w:lang w:val="en-GB"/>
        </w:rPr>
        <w:t>7yygw7f</w:t>
      </w:r>
    </w:p>
    <w:p w:rsidR="009D6C51" w:rsidRDefault="009D6C51" w:rsidP="002B5E6C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noProof/>
          <w:lang w:val="en-GB"/>
        </w:rPr>
      </w:pPr>
      <w:r w:rsidRPr="002B5E6C">
        <w:rPr>
          <w:rFonts w:asciiTheme="minorHAnsi" w:hAnsiTheme="minorHAnsi" w:cstheme="minorHAnsi"/>
        </w:rPr>
        <w:t>Zastoupen/jednající:</w:t>
      </w:r>
      <w:r w:rsidRPr="002B5E6C">
        <w:rPr>
          <w:rFonts w:asciiTheme="minorHAnsi" w:hAnsiTheme="minorHAnsi" w:cstheme="minorHAnsi"/>
        </w:rPr>
        <w:tab/>
      </w:r>
      <w:r w:rsidRPr="002B5E6C">
        <w:rPr>
          <w:rFonts w:asciiTheme="minorHAnsi" w:hAnsiTheme="minorHAnsi" w:cstheme="minorHAnsi"/>
        </w:rPr>
        <w:tab/>
      </w:r>
      <w:r w:rsidRPr="007858BD">
        <w:rPr>
          <w:rFonts w:asciiTheme="minorHAnsi" w:hAnsiTheme="minorHAnsi" w:cstheme="minorHAnsi"/>
          <w:noProof/>
          <w:lang w:val="en-GB"/>
        </w:rPr>
        <w:t>Mgr. Kamil Vrubl</w:t>
      </w:r>
      <w:r w:rsidR="007858BD">
        <w:rPr>
          <w:rFonts w:asciiTheme="minorHAnsi" w:hAnsiTheme="minorHAnsi" w:cstheme="minorHAnsi"/>
          <w:noProof/>
          <w:lang w:val="en-GB"/>
        </w:rPr>
        <w:t>, předseda představenstva</w:t>
      </w:r>
    </w:p>
    <w:p w:rsidR="007858BD" w:rsidRPr="002B5E6C" w:rsidRDefault="007858BD" w:rsidP="002B5E6C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GB"/>
        </w:rPr>
        <w:tab/>
      </w:r>
      <w:r>
        <w:rPr>
          <w:rFonts w:asciiTheme="minorHAnsi" w:hAnsiTheme="minorHAnsi" w:cstheme="minorHAnsi"/>
          <w:noProof/>
          <w:lang w:val="en-GB"/>
        </w:rPr>
        <w:tab/>
      </w:r>
      <w:r>
        <w:rPr>
          <w:rFonts w:asciiTheme="minorHAnsi" w:hAnsiTheme="minorHAnsi" w:cstheme="minorHAnsi"/>
          <w:noProof/>
          <w:lang w:val="en-GB"/>
        </w:rPr>
        <w:tab/>
      </w:r>
      <w:r>
        <w:rPr>
          <w:rFonts w:asciiTheme="minorHAnsi" w:hAnsiTheme="minorHAnsi" w:cstheme="minorHAnsi"/>
          <w:noProof/>
          <w:lang w:val="en-GB"/>
        </w:rPr>
        <w:tab/>
      </w:r>
      <w:r>
        <w:rPr>
          <w:rFonts w:asciiTheme="minorHAnsi" w:hAnsiTheme="minorHAnsi" w:cstheme="minorHAnsi"/>
          <w:noProof/>
          <w:lang w:val="en-GB"/>
        </w:rPr>
        <w:tab/>
        <w:t>Ing. Jaroslav Kovář, místopředseda představenstva</w:t>
      </w:r>
    </w:p>
    <w:p w:rsidR="009D6C51" w:rsidRPr="002B5E6C" w:rsidRDefault="009D6C51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 xml:space="preserve"> (dále jen "</w:t>
      </w:r>
      <w:r w:rsidRPr="002B5E6C">
        <w:rPr>
          <w:rFonts w:asciiTheme="minorHAnsi" w:hAnsiTheme="minorHAnsi" w:cstheme="minorHAnsi"/>
          <w:b/>
        </w:rPr>
        <w:t>Zákazník</w:t>
      </w:r>
      <w:r w:rsidRPr="002B5E6C">
        <w:rPr>
          <w:rFonts w:asciiTheme="minorHAnsi" w:hAnsiTheme="minorHAnsi" w:cstheme="minorHAnsi"/>
        </w:rPr>
        <w:t>")</w:t>
      </w:r>
    </w:p>
    <w:p w:rsidR="009D6C51" w:rsidRPr="002B5E6C" w:rsidRDefault="009D6C51">
      <w:pPr>
        <w:rPr>
          <w:rFonts w:asciiTheme="minorHAnsi" w:hAnsiTheme="minorHAnsi" w:cstheme="minorHAnsi"/>
        </w:rPr>
      </w:pPr>
    </w:p>
    <w:p w:rsidR="009D6C51" w:rsidRPr="002B5E6C" w:rsidRDefault="009D6C51">
      <w:pPr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 xml:space="preserve">tuto </w:t>
      </w:r>
    </w:p>
    <w:p w:rsidR="009D6C51" w:rsidRPr="002B5E6C" w:rsidRDefault="009D6C51">
      <w:pPr>
        <w:rPr>
          <w:rFonts w:asciiTheme="minorHAnsi" w:hAnsiTheme="minorHAnsi" w:cstheme="minorHAnsi"/>
        </w:rPr>
      </w:pPr>
    </w:p>
    <w:p w:rsidR="009D6C51" w:rsidRPr="002B5E6C" w:rsidRDefault="009D6C51" w:rsidP="000B4ABE">
      <w:pPr>
        <w:spacing w:after="12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B5E6C">
        <w:rPr>
          <w:rFonts w:asciiTheme="minorHAnsi" w:hAnsiTheme="minorHAnsi" w:cstheme="minorHAnsi"/>
          <w:b/>
          <w:caps/>
          <w:sz w:val="24"/>
          <w:szCs w:val="24"/>
        </w:rPr>
        <w:t>SmlouvU o sdružených službách dodávky elektřiny ZE SÍTÍ VN</w:t>
      </w:r>
    </w:p>
    <w:p w:rsidR="009D6C51" w:rsidRPr="002B5E6C" w:rsidRDefault="009D6C51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>(dále jen "</w:t>
      </w:r>
      <w:r w:rsidRPr="002B5E6C">
        <w:rPr>
          <w:rFonts w:asciiTheme="minorHAnsi" w:hAnsiTheme="minorHAnsi" w:cstheme="minorHAnsi"/>
          <w:b/>
        </w:rPr>
        <w:t>Smlouva</w:t>
      </w:r>
      <w:r w:rsidRPr="002B5E6C">
        <w:rPr>
          <w:rFonts w:asciiTheme="minorHAnsi" w:hAnsiTheme="minorHAnsi" w:cstheme="minorHAnsi"/>
        </w:rPr>
        <w:t>")</w:t>
      </w:r>
    </w:p>
    <w:p w:rsidR="009D6C51" w:rsidRPr="002B5E6C" w:rsidRDefault="009D6C51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:rsidR="009D6C51" w:rsidRPr="002B5E6C" w:rsidRDefault="009D6C51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:rsidR="009D6C51" w:rsidRPr="002B5E6C" w:rsidRDefault="009D6C51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:rsidR="009D6C51" w:rsidRPr="002B5E6C" w:rsidRDefault="009D6C51" w:rsidP="00AA3AA9">
      <w:pPr>
        <w:spacing w:before="4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5E6C">
        <w:rPr>
          <w:rFonts w:asciiTheme="minorHAnsi" w:hAnsiTheme="minorHAnsi" w:cstheme="minorHAnsi"/>
          <w:b/>
          <w:sz w:val="24"/>
          <w:szCs w:val="24"/>
        </w:rPr>
        <w:t>Čl. 1.</w:t>
      </w:r>
    </w:p>
    <w:p w:rsidR="009D6C51" w:rsidRPr="002B5E6C" w:rsidRDefault="009D6C51" w:rsidP="00AA3AA9">
      <w:pPr>
        <w:spacing w:after="36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B5E6C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:rsidR="009D6C51" w:rsidRPr="002B5E6C" w:rsidRDefault="009D6C51" w:rsidP="0062206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>Tato smlouva je smlouvou o sdružených službách dodávky elektřiny uzavřenou podle ustanoveni § 50 odst. 2 zákona č. 458/2000 Sb., o podmínkách podnikání a o výkonu statni správy v energetických odvětvích ("Energeticky zákon"), ve znění pozdějších předpisů a zákona č. 89/2012</w:t>
      </w:r>
      <w:r>
        <w:rPr>
          <w:rFonts w:asciiTheme="minorHAnsi" w:eastAsia="Arial Unicode MS" w:hAnsiTheme="minorHAnsi" w:cstheme="minorHAnsi"/>
        </w:rPr>
        <w:t>,</w:t>
      </w:r>
      <w:r w:rsidRPr="002B5E6C">
        <w:rPr>
          <w:rFonts w:asciiTheme="minorHAnsi" w:eastAsia="Arial Unicode MS" w:hAnsiTheme="minorHAnsi" w:cstheme="minorHAnsi"/>
        </w:rPr>
        <w:t xml:space="preserve"> </w:t>
      </w:r>
      <w:r>
        <w:rPr>
          <w:rFonts w:asciiTheme="minorHAnsi" w:eastAsia="Arial Unicode MS" w:hAnsiTheme="minorHAnsi" w:cstheme="minorHAnsi"/>
        </w:rPr>
        <w:t>o</w:t>
      </w:r>
      <w:r w:rsidRPr="002B5E6C">
        <w:rPr>
          <w:rFonts w:asciiTheme="minorHAnsi" w:eastAsia="Arial Unicode MS" w:hAnsiTheme="minorHAnsi" w:cstheme="minorHAnsi"/>
        </w:rPr>
        <w:t>bčanský zákoník, v</w:t>
      </w:r>
      <w:r>
        <w:rPr>
          <w:rFonts w:asciiTheme="minorHAnsi" w:eastAsia="Arial Unicode MS" w:hAnsiTheme="minorHAnsi" w:cstheme="minorHAnsi"/>
        </w:rPr>
        <w:t>e zněním pozdějších předpisů</w:t>
      </w:r>
      <w:r w:rsidRPr="002B5E6C">
        <w:rPr>
          <w:rFonts w:asciiTheme="minorHAnsi" w:eastAsia="Arial Unicode MS" w:hAnsiTheme="minorHAnsi" w:cstheme="minorHAnsi"/>
        </w:rPr>
        <w:t>, v režimu př</w:t>
      </w:r>
      <w:r>
        <w:rPr>
          <w:rFonts w:asciiTheme="minorHAnsi" w:eastAsia="Arial Unicode MS" w:hAnsiTheme="minorHAnsi" w:cstheme="minorHAnsi"/>
        </w:rPr>
        <w:t xml:space="preserve">enesení </w:t>
      </w:r>
      <w:r w:rsidRPr="002B5E6C">
        <w:rPr>
          <w:rFonts w:asciiTheme="minorHAnsi" w:eastAsia="Arial Unicode MS" w:hAnsiTheme="minorHAnsi" w:cstheme="minorHAnsi"/>
        </w:rPr>
        <w:t xml:space="preserve">odpovědnosti za odchylku na </w:t>
      </w:r>
      <w:r w:rsidRPr="002B5E6C">
        <w:rPr>
          <w:rFonts w:asciiTheme="minorHAnsi" w:eastAsia="Arial Unicode MS" w:hAnsiTheme="minorHAnsi" w:cstheme="minorHAnsi"/>
          <w:b/>
        </w:rPr>
        <w:t>Obchodníka</w:t>
      </w:r>
      <w:r w:rsidRPr="002B5E6C">
        <w:rPr>
          <w:rFonts w:asciiTheme="minorHAnsi" w:eastAsia="Arial Unicode MS" w:hAnsiTheme="minorHAnsi" w:cstheme="minorHAnsi"/>
        </w:rPr>
        <w:t xml:space="preserve">. </w:t>
      </w:r>
    </w:p>
    <w:p w:rsidR="009D6C51" w:rsidRPr="002B5E6C" w:rsidRDefault="009D6C51" w:rsidP="006972C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 xml:space="preserve">Práva a povinnosti Smluvních stran jsou blíže specifikovány v obchodních podmínkách dodávky elektřiny, které jsou </w:t>
      </w:r>
      <w:r w:rsidRPr="002B5E6C">
        <w:rPr>
          <w:rFonts w:asciiTheme="minorHAnsi" w:eastAsia="Arial Unicode MS" w:hAnsiTheme="minorHAnsi" w:cstheme="minorHAnsi"/>
          <w:b/>
        </w:rPr>
        <w:t>Přílohou č. 1</w:t>
      </w:r>
      <w:r w:rsidRPr="002B5E6C">
        <w:rPr>
          <w:rFonts w:asciiTheme="minorHAnsi" w:eastAsia="Arial Unicode MS" w:hAnsiTheme="minorHAnsi" w:cstheme="minorHAnsi"/>
        </w:rPr>
        <w:t xml:space="preserve"> této </w:t>
      </w:r>
      <w:r w:rsidRPr="002B5E6C">
        <w:rPr>
          <w:rFonts w:asciiTheme="minorHAnsi" w:eastAsia="Arial Unicode MS" w:hAnsiTheme="minorHAnsi" w:cstheme="minorHAnsi"/>
          <w:b/>
        </w:rPr>
        <w:t>Smlouvy</w:t>
      </w:r>
      <w:r w:rsidRPr="002B5E6C">
        <w:rPr>
          <w:rFonts w:asciiTheme="minorHAnsi" w:eastAsia="Arial Unicode MS" w:hAnsiTheme="minorHAnsi" w:cstheme="minorHAnsi"/>
        </w:rPr>
        <w:t xml:space="preserve"> a spolu se smlouvou tvoří nedílný celek (dále jen „O</w:t>
      </w:r>
      <w:r>
        <w:rPr>
          <w:rFonts w:asciiTheme="minorHAnsi" w:eastAsia="Arial Unicode MS" w:hAnsiTheme="minorHAnsi" w:cstheme="minorHAnsi"/>
        </w:rPr>
        <w:t>PD</w:t>
      </w:r>
      <w:r w:rsidRPr="002B5E6C">
        <w:rPr>
          <w:rFonts w:asciiTheme="minorHAnsi" w:eastAsia="Arial Unicode MS" w:hAnsiTheme="minorHAnsi" w:cstheme="minorHAnsi"/>
        </w:rPr>
        <w:t>“).</w:t>
      </w:r>
    </w:p>
    <w:p w:rsidR="009D6C51" w:rsidRPr="002B5E6C" w:rsidRDefault="009D6C51" w:rsidP="00AA3AA9">
      <w:pPr>
        <w:spacing w:before="4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5E6C">
        <w:rPr>
          <w:rFonts w:asciiTheme="minorHAnsi" w:hAnsiTheme="minorHAnsi" w:cstheme="minorHAnsi"/>
          <w:b/>
          <w:sz w:val="24"/>
          <w:szCs w:val="24"/>
        </w:rPr>
        <w:t>Čl. 2.</w:t>
      </w:r>
    </w:p>
    <w:p w:rsidR="009D6C51" w:rsidRPr="002B5E6C" w:rsidRDefault="009D6C51" w:rsidP="00AA3AA9">
      <w:pPr>
        <w:spacing w:after="36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B5E6C">
        <w:rPr>
          <w:rFonts w:asciiTheme="minorHAnsi" w:hAnsiTheme="minorHAnsi" w:cstheme="minorHAnsi"/>
          <w:b/>
          <w:caps/>
          <w:sz w:val="24"/>
          <w:szCs w:val="24"/>
        </w:rPr>
        <w:t>PŘedmĚt Smlouvy</w:t>
      </w:r>
    </w:p>
    <w:p w:rsidR="009D6C51" w:rsidRPr="002B5E6C" w:rsidRDefault="009D6C51" w:rsidP="003F736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 xml:space="preserve">Předmětem </w:t>
      </w:r>
      <w:r w:rsidRPr="002B5E6C">
        <w:rPr>
          <w:rFonts w:asciiTheme="minorHAnsi" w:eastAsia="Arial Unicode MS" w:hAnsiTheme="minorHAnsi" w:cstheme="minorHAnsi"/>
          <w:b/>
        </w:rPr>
        <w:t>Smlouvy</w:t>
      </w:r>
      <w:r w:rsidRPr="002B5E6C">
        <w:rPr>
          <w:rFonts w:asciiTheme="minorHAnsi" w:eastAsia="Arial Unicode MS" w:hAnsiTheme="minorHAnsi" w:cstheme="minorHAnsi"/>
        </w:rPr>
        <w:t xml:space="preserve"> je závazek </w:t>
      </w:r>
      <w:r w:rsidRPr="002B5E6C">
        <w:rPr>
          <w:rFonts w:asciiTheme="minorHAnsi" w:eastAsia="Arial Unicode MS" w:hAnsiTheme="minorHAnsi" w:cstheme="minorHAnsi"/>
          <w:b/>
        </w:rPr>
        <w:t>Obchodníka</w:t>
      </w:r>
      <w:r w:rsidRPr="002B5E6C">
        <w:rPr>
          <w:rFonts w:asciiTheme="minorHAnsi" w:eastAsia="Arial Unicode MS" w:hAnsiTheme="minorHAnsi" w:cstheme="minorHAnsi"/>
        </w:rPr>
        <w:t xml:space="preserve"> poskytnout </w:t>
      </w:r>
      <w:r w:rsidRPr="002B5E6C">
        <w:rPr>
          <w:rFonts w:asciiTheme="minorHAnsi" w:eastAsia="Arial Unicode MS" w:hAnsiTheme="minorHAnsi" w:cstheme="minorHAnsi"/>
          <w:b/>
        </w:rPr>
        <w:t>Zákazníkovi</w:t>
      </w:r>
      <w:r w:rsidRPr="002B5E6C">
        <w:rPr>
          <w:rFonts w:asciiTheme="minorHAnsi" w:eastAsia="Arial Unicode MS" w:hAnsiTheme="minorHAnsi" w:cstheme="minorHAnsi"/>
        </w:rPr>
        <w:t xml:space="preserve"> sdružené služby dodávky elektřiny (dále jen „sdružené služby"), tzn. dodat sjednané množství silové elektřiny </w:t>
      </w:r>
      <w:r w:rsidRPr="003B3851">
        <w:rPr>
          <w:rFonts w:asciiTheme="minorHAnsi" w:eastAsia="Arial Unicode MS" w:hAnsiTheme="minorHAnsi" w:cstheme="minorHAnsi"/>
        </w:rPr>
        <w:t>za podmínek sjednaných ve smlouvě</w:t>
      </w:r>
      <w:r w:rsidRPr="002B5E6C">
        <w:rPr>
          <w:rFonts w:asciiTheme="minorHAnsi" w:eastAsia="Arial Unicode MS" w:hAnsiTheme="minorHAnsi" w:cstheme="minorHAnsi"/>
        </w:rPr>
        <w:t xml:space="preserve"> a převzít odpovědnost za odchylku (dále jen „dodávka elektřiny") a zajistit distribuci elektřiny a systémových služeb (dále jen „distribuční služby") do OM </w:t>
      </w:r>
      <w:r w:rsidRPr="002B5E6C">
        <w:rPr>
          <w:rFonts w:asciiTheme="minorHAnsi" w:eastAsia="Arial Unicode MS" w:hAnsiTheme="minorHAnsi" w:cstheme="minorHAnsi"/>
          <w:b/>
        </w:rPr>
        <w:t>Zákazníka</w:t>
      </w:r>
      <w:r w:rsidRPr="002B5E6C">
        <w:rPr>
          <w:rFonts w:asciiTheme="minorHAnsi" w:eastAsia="Arial Unicode MS" w:hAnsiTheme="minorHAnsi" w:cstheme="minorHAnsi"/>
        </w:rPr>
        <w:t>.</w:t>
      </w:r>
    </w:p>
    <w:p w:rsidR="009D6C51" w:rsidRPr="00D9726E" w:rsidRDefault="009D6C51" w:rsidP="00E13B2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D9726E">
        <w:rPr>
          <w:rFonts w:asciiTheme="minorHAnsi" w:eastAsia="Arial Unicode MS" w:hAnsiTheme="minorHAnsi" w:cstheme="minorHAnsi"/>
          <w:b/>
        </w:rPr>
        <w:t>Zákazník</w:t>
      </w:r>
      <w:r w:rsidRPr="00D9726E">
        <w:rPr>
          <w:rFonts w:asciiTheme="minorHAnsi" w:eastAsia="Arial Unicode MS" w:hAnsiTheme="minorHAnsi" w:cstheme="minorHAnsi"/>
        </w:rPr>
        <w:t xml:space="preserve"> se zavazuje odebrat sjednané množství elektřiny v OM podle podmínek této </w:t>
      </w:r>
      <w:r w:rsidRPr="00D9726E">
        <w:rPr>
          <w:rFonts w:asciiTheme="minorHAnsi" w:eastAsia="Arial Unicode MS" w:hAnsiTheme="minorHAnsi" w:cstheme="minorHAnsi"/>
          <w:b/>
        </w:rPr>
        <w:t>Smlouvy</w:t>
      </w:r>
      <w:r w:rsidRPr="00D9726E">
        <w:rPr>
          <w:rFonts w:asciiTheme="minorHAnsi" w:eastAsia="Arial Unicode MS" w:hAnsiTheme="minorHAnsi" w:cstheme="minorHAnsi"/>
        </w:rPr>
        <w:t xml:space="preserve"> a uhradit </w:t>
      </w:r>
      <w:r w:rsidRPr="00D9726E">
        <w:rPr>
          <w:rFonts w:asciiTheme="minorHAnsi" w:eastAsia="Arial Unicode MS" w:hAnsiTheme="minorHAnsi" w:cstheme="minorHAnsi"/>
          <w:b/>
        </w:rPr>
        <w:t>Obchodníkovi</w:t>
      </w:r>
      <w:r w:rsidRPr="00D9726E">
        <w:rPr>
          <w:rFonts w:asciiTheme="minorHAnsi" w:eastAsia="Arial Unicode MS" w:hAnsiTheme="minorHAnsi" w:cstheme="minorHAnsi"/>
        </w:rPr>
        <w:t xml:space="preserve"> řádně a včas dohodnutou platbu za dodávku elektřiny a za distribuční služby. </w:t>
      </w:r>
    </w:p>
    <w:p w:rsidR="009D6C51" w:rsidRPr="002B5E6C" w:rsidRDefault="009D6C51" w:rsidP="003F736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exact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 xml:space="preserve">Dodávka elektřiny a distribuční služby se uskutečňují z distribuční sítě příslušného provozovatele distribuční soustavy (dále jen "PDS") podle smlouvy o připojení, kterou </w:t>
      </w:r>
      <w:r w:rsidRPr="002B5E6C">
        <w:rPr>
          <w:rFonts w:asciiTheme="minorHAnsi" w:eastAsia="Arial Unicode MS" w:hAnsiTheme="minorHAnsi" w:cstheme="minorHAnsi"/>
          <w:b/>
        </w:rPr>
        <w:t>Zákazník</w:t>
      </w:r>
      <w:r w:rsidRPr="002B5E6C">
        <w:rPr>
          <w:rFonts w:asciiTheme="minorHAnsi" w:eastAsia="Arial Unicode MS" w:hAnsiTheme="minorHAnsi" w:cstheme="minorHAnsi"/>
        </w:rPr>
        <w:t xml:space="preserve"> uzavřel s PDS, v souladu s Pravidly provozováni distribuční soustavy (dále jen „PPDS") a „Podmínkami distribuce elektřiny", vydanými příslušným PDS. </w:t>
      </w:r>
      <w:r w:rsidRPr="002B5E6C">
        <w:rPr>
          <w:rFonts w:asciiTheme="minorHAnsi" w:eastAsia="Arial Unicode MS" w:hAnsiTheme="minorHAnsi" w:cstheme="minorHAnsi"/>
          <w:b/>
        </w:rPr>
        <w:t>Obchodník</w:t>
      </w:r>
      <w:r w:rsidRPr="002B5E6C">
        <w:rPr>
          <w:rFonts w:asciiTheme="minorHAnsi" w:eastAsia="Arial Unicode MS" w:hAnsiTheme="minorHAnsi" w:cstheme="minorHAnsi"/>
        </w:rPr>
        <w:t xml:space="preserve"> a </w:t>
      </w:r>
      <w:r w:rsidRPr="002B5E6C">
        <w:rPr>
          <w:rFonts w:asciiTheme="minorHAnsi" w:eastAsia="Arial Unicode MS" w:hAnsiTheme="minorHAnsi" w:cstheme="minorHAnsi"/>
          <w:b/>
        </w:rPr>
        <w:t>Zákazník</w:t>
      </w:r>
      <w:r w:rsidRPr="002B5E6C">
        <w:rPr>
          <w:rFonts w:asciiTheme="minorHAnsi" w:eastAsia="Arial Unicode MS" w:hAnsiTheme="minorHAnsi" w:cstheme="minorHAnsi"/>
        </w:rPr>
        <w:t xml:space="preserve"> sjednávají, že zánik některé ze smluv o připojení ani její změny uzavřené mezi </w:t>
      </w:r>
      <w:r w:rsidRPr="002B5E6C">
        <w:rPr>
          <w:rFonts w:asciiTheme="minorHAnsi" w:eastAsia="Arial Unicode MS" w:hAnsiTheme="minorHAnsi" w:cstheme="minorHAnsi"/>
          <w:b/>
        </w:rPr>
        <w:t>Zákazníkem</w:t>
      </w:r>
      <w:r w:rsidRPr="002B5E6C">
        <w:rPr>
          <w:rFonts w:asciiTheme="minorHAnsi" w:eastAsia="Arial Unicode MS" w:hAnsiTheme="minorHAnsi" w:cstheme="minorHAnsi"/>
        </w:rPr>
        <w:t xml:space="preserve"> a PDS nemají vliv na platnost </w:t>
      </w:r>
      <w:r w:rsidRPr="002B5E6C">
        <w:rPr>
          <w:rFonts w:asciiTheme="minorHAnsi" w:eastAsia="Arial Unicode MS" w:hAnsiTheme="minorHAnsi" w:cstheme="minorHAnsi"/>
          <w:b/>
        </w:rPr>
        <w:t>Smlouvy.</w:t>
      </w:r>
    </w:p>
    <w:p w:rsidR="009D6C51" w:rsidRPr="002B5E6C" w:rsidRDefault="009D6C51" w:rsidP="00805BD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  <w:b/>
        </w:rPr>
        <w:t>Zákazník</w:t>
      </w:r>
      <w:r w:rsidRPr="002B5E6C">
        <w:rPr>
          <w:rFonts w:asciiTheme="minorHAnsi" w:hAnsiTheme="minorHAnsi" w:cstheme="minorHAnsi"/>
        </w:rPr>
        <w:t xml:space="preserve"> se zavazuje odebírat množství elektřiny způsobem sjednaným v čl. 4. této </w:t>
      </w:r>
      <w:r w:rsidRPr="002B5E6C">
        <w:rPr>
          <w:rFonts w:asciiTheme="minorHAnsi" w:hAnsiTheme="minorHAnsi" w:cstheme="minorHAnsi"/>
          <w:b/>
        </w:rPr>
        <w:t>Smlouvy</w:t>
      </w:r>
      <w:r w:rsidRPr="002B5E6C">
        <w:rPr>
          <w:rFonts w:asciiTheme="minorHAnsi" w:hAnsiTheme="minorHAnsi" w:cstheme="minorHAnsi"/>
        </w:rPr>
        <w:t>.</w:t>
      </w:r>
    </w:p>
    <w:p w:rsidR="009D6C51" w:rsidRPr="002B5E6C" w:rsidRDefault="009D6C51" w:rsidP="00164221">
      <w:pPr>
        <w:spacing w:before="4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5E6C">
        <w:rPr>
          <w:rFonts w:asciiTheme="minorHAnsi" w:hAnsiTheme="minorHAnsi" w:cstheme="minorHAnsi"/>
          <w:b/>
          <w:sz w:val="24"/>
          <w:szCs w:val="24"/>
        </w:rPr>
        <w:t>Čl. 3.</w:t>
      </w:r>
    </w:p>
    <w:p w:rsidR="009D6C51" w:rsidRPr="002B5E6C" w:rsidRDefault="009D6C51" w:rsidP="00164221">
      <w:pPr>
        <w:spacing w:after="36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B5E6C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:rsidR="009D6C51" w:rsidRPr="002B5E6C" w:rsidRDefault="009D6C51" w:rsidP="0082412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>Specifikace odběrných míst, to je:</w:t>
      </w:r>
    </w:p>
    <w:p w:rsidR="009D6C51" w:rsidRPr="002B5E6C" w:rsidRDefault="009D6C51" w:rsidP="00E34B5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contextualSpacing w:val="0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>EAN OPM</w:t>
      </w:r>
    </w:p>
    <w:p w:rsidR="009D6C51" w:rsidRPr="002B5E6C" w:rsidRDefault="009D6C51" w:rsidP="00E34B5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contextualSpacing w:val="0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>Název a adresa OM</w:t>
      </w:r>
    </w:p>
    <w:p w:rsidR="009D6C51" w:rsidRPr="002B5E6C" w:rsidRDefault="009D6C51" w:rsidP="00E34B5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contextualSpacing w:val="0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>Napěťová hladina</w:t>
      </w:r>
    </w:p>
    <w:p w:rsidR="009D6C51" w:rsidRPr="002B5E6C" w:rsidRDefault="009D6C51" w:rsidP="00E34B5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contextualSpacing w:val="0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>Rezervovaný příkon</w:t>
      </w:r>
    </w:p>
    <w:p w:rsidR="009D6C51" w:rsidRPr="002B5E6C" w:rsidRDefault="009D6C51" w:rsidP="00E34B5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contextualSpacing w:val="0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>Roční rezervovaná kapacita</w:t>
      </w:r>
    </w:p>
    <w:p w:rsidR="009D6C51" w:rsidRPr="002B5E6C" w:rsidRDefault="009D6C51" w:rsidP="00E34B5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contextualSpacing w:val="0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>Typ měření</w:t>
      </w:r>
    </w:p>
    <w:p w:rsidR="009D6C51" w:rsidRPr="002B5E6C" w:rsidRDefault="009D6C51" w:rsidP="00BE488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1003" w:hanging="357"/>
        <w:contextualSpacing w:val="0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>Plánovaný roční objem množství elektřiny, případně rozepsaný do jednotlivých měsíců</w:t>
      </w:r>
    </w:p>
    <w:p w:rsidR="009D6C51" w:rsidRPr="002B5E6C" w:rsidRDefault="009D6C51" w:rsidP="000C6740">
      <w:pPr>
        <w:pStyle w:val="Odstavecseseznamem"/>
        <w:autoSpaceDE w:val="0"/>
        <w:autoSpaceDN w:val="0"/>
        <w:adjustRightInd w:val="0"/>
        <w:spacing w:after="120"/>
        <w:ind w:left="284"/>
        <w:contextualSpacing w:val="0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 xml:space="preserve">jsou uvedeny v </w:t>
      </w:r>
      <w:r w:rsidRPr="002B5E6C">
        <w:rPr>
          <w:rFonts w:asciiTheme="minorHAnsi" w:eastAsia="Arial Unicode MS" w:hAnsiTheme="minorHAnsi" w:cstheme="minorHAnsi"/>
          <w:b/>
        </w:rPr>
        <w:t xml:space="preserve">Příloze č. 2 </w:t>
      </w:r>
      <w:r w:rsidRPr="002B5E6C">
        <w:rPr>
          <w:rFonts w:asciiTheme="minorHAnsi" w:eastAsia="Arial Unicode MS" w:hAnsiTheme="minorHAnsi" w:cstheme="minorHAnsi"/>
        </w:rPr>
        <w:t>této</w:t>
      </w:r>
      <w:r>
        <w:rPr>
          <w:rFonts w:asciiTheme="minorHAnsi" w:eastAsia="Arial Unicode MS" w:hAnsiTheme="minorHAnsi" w:cstheme="minorHAnsi"/>
          <w:b/>
        </w:rPr>
        <w:t xml:space="preserve"> Smlouvy </w:t>
      </w:r>
      <w:r w:rsidRPr="002B5E6C">
        <w:rPr>
          <w:rFonts w:asciiTheme="minorHAnsi" w:eastAsia="Arial Unicode MS" w:hAnsiTheme="minorHAnsi" w:cstheme="minorHAnsi"/>
        </w:rPr>
        <w:t>– seznam odběrných míst vysokého napětí</w:t>
      </w:r>
    </w:p>
    <w:p w:rsidR="009D6C51" w:rsidRPr="002B5E6C" w:rsidRDefault="009D6C51" w:rsidP="0042062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  <w:b/>
        </w:rPr>
        <w:t>Zákazník</w:t>
      </w:r>
      <w:r w:rsidRPr="002B5E6C">
        <w:rPr>
          <w:rFonts w:asciiTheme="minorHAnsi" w:eastAsia="Arial Unicode MS" w:hAnsiTheme="minorHAnsi" w:cstheme="minorHAnsi"/>
        </w:rPr>
        <w:t xml:space="preserve"> prohlašuje, že má příslušná majetkoprávní oprávnění k OM uvedeným v předchozím odstavci a zavazuje se, zajistit v souladu s platnou právní úpravou připojení OM specifikovaných v předchozím odstavci k distribuční soustavě příslušného PDS.</w:t>
      </w:r>
    </w:p>
    <w:p w:rsidR="009D6C51" w:rsidRDefault="009D6C51" w:rsidP="0057633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  <w:b/>
        </w:rPr>
        <w:t>Zákazník</w:t>
      </w:r>
      <w:r w:rsidRPr="002B5E6C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2B5E6C">
        <w:rPr>
          <w:rFonts w:asciiTheme="minorHAnsi" w:eastAsia="Arial Unicode MS" w:hAnsiTheme="minorHAnsi" w:cstheme="minorHAnsi"/>
          <w:b/>
        </w:rPr>
        <w:t>Přílohu č. 2</w:t>
      </w:r>
      <w:r w:rsidRPr="002B5E6C">
        <w:rPr>
          <w:rFonts w:asciiTheme="minorHAnsi" w:eastAsia="Arial Unicode MS" w:hAnsiTheme="minorHAnsi" w:cstheme="minorHAnsi"/>
        </w:rPr>
        <w:t xml:space="preserve"> této </w:t>
      </w:r>
      <w:r w:rsidRPr="002B5E6C">
        <w:rPr>
          <w:rFonts w:asciiTheme="minorHAnsi" w:eastAsia="Arial Unicode MS" w:hAnsiTheme="minorHAnsi" w:cstheme="minorHAnsi"/>
          <w:b/>
        </w:rPr>
        <w:t xml:space="preserve">Smlouvy, </w:t>
      </w:r>
      <w:r w:rsidRPr="002B5E6C">
        <w:rPr>
          <w:rFonts w:asciiTheme="minorHAnsi" w:eastAsia="Arial Unicode MS" w:hAnsiTheme="minorHAnsi" w:cstheme="minorHAnsi"/>
        </w:rPr>
        <w:t xml:space="preserve">odpovídají údajům o odběrném místě uvedeným ve smlouvě o připojení odběrného místa k distribuční soustavě. </w:t>
      </w:r>
      <w:r w:rsidRPr="002B5E6C">
        <w:rPr>
          <w:rFonts w:asciiTheme="minorHAnsi" w:eastAsia="Arial Unicode MS" w:hAnsiTheme="minorHAnsi" w:cstheme="minorHAnsi"/>
          <w:b/>
        </w:rPr>
        <w:t>Obchodník</w:t>
      </w:r>
      <w:r w:rsidRPr="002B5E6C">
        <w:rPr>
          <w:rFonts w:asciiTheme="minorHAnsi" w:eastAsia="Arial Unicode MS" w:hAnsiTheme="minorHAnsi" w:cstheme="minorHAnsi"/>
        </w:rPr>
        <w:t xml:space="preserve"> neodpovídá za chyby ve vyúčtování, způsobené uvedeným nesprávných údajů o odběrném místě v </w:t>
      </w:r>
      <w:r w:rsidRPr="002B5E6C">
        <w:rPr>
          <w:rFonts w:asciiTheme="minorHAnsi" w:eastAsia="Arial Unicode MS" w:hAnsiTheme="minorHAnsi" w:cstheme="minorHAnsi"/>
          <w:b/>
        </w:rPr>
        <w:t>Příloze č. 2</w:t>
      </w:r>
      <w:r w:rsidRPr="002B5E6C">
        <w:rPr>
          <w:rFonts w:asciiTheme="minorHAnsi" w:eastAsia="Arial Unicode MS" w:hAnsiTheme="minorHAnsi" w:cstheme="minorHAnsi"/>
        </w:rPr>
        <w:t xml:space="preserve"> této </w:t>
      </w:r>
      <w:r w:rsidRPr="002B5E6C">
        <w:rPr>
          <w:rFonts w:asciiTheme="minorHAnsi" w:eastAsia="Arial Unicode MS" w:hAnsiTheme="minorHAnsi" w:cstheme="minorHAnsi"/>
          <w:b/>
        </w:rPr>
        <w:t>Smlouvy</w:t>
      </w:r>
      <w:r w:rsidRPr="002B5E6C">
        <w:rPr>
          <w:rFonts w:asciiTheme="minorHAnsi" w:eastAsia="Arial Unicode MS" w:hAnsiTheme="minorHAnsi" w:cstheme="minorHAnsi"/>
        </w:rPr>
        <w:t xml:space="preserve"> </w:t>
      </w:r>
      <w:r w:rsidRPr="002B5E6C">
        <w:rPr>
          <w:rFonts w:asciiTheme="minorHAnsi" w:eastAsia="Arial Unicode MS" w:hAnsiTheme="minorHAnsi" w:cstheme="minorHAnsi"/>
          <w:b/>
        </w:rPr>
        <w:t>Zákazníkem</w:t>
      </w:r>
      <w:r w:rsidRPr="002B5E6C">
        <w:rPr>
          <w:rFonts w:asciiTheme="minorHAnsi" w:eastAsia="Arial Unicode MS" w:hAnsiTheme="minorHAnsi" w:cstheme="minorHAnsi"/>
        </w:rPr>
        <w:t xml:space="preserve"> a </w:t>
      </w:r>
      <w:r w:rsidRPr="002B5E6C">
        <w:rPr>
          <w:rFonts w:asciiTheme="minorHAnsi" w:eastAsia="Arial Unicode MS" w:hAnsiTheme="minorHAnsi" w:cstheme="minorHAnsi"/>
          <w:b/>
        </w:rPr>
        <w:t>Zákazník</w:t>
      </w:r>
      <w:r w:rsidRPr="002B5E6C">
        <w:rPr>
          <w:rFonts w:asciiTheme="minorHAnsi" w:eastAsia="Arial Unicode MS" w:hAnsiTheme="minorHAnsi" w:cstheme="minorHAnsi"/>
        </w:rPr>
        <w:t xml:space="preserve"> se zavazuje zaplatit </w:t>
      </w:r>
      <w:r w:rsidRPr="002B5E6C">
        <w:rPr>
          <w:rFonts w:asciiTheme="minorHAnsi" w:eastAsia="Arial Unicode MS" w:hAnsiTheme="minorHAnsi" w:cstheme="minorHAnsi"/>
          <w:b/>
        </w:rPr>
        <w:t>Obchodníkovi</w:t>
      </w:r>
      <w:r w:rsidRPr="002B5E6C">
        <w:rPr>
          <w:rFonts w:asciiTheme="minorHAnsi" w:eastAsia="Arial Unicode MS" w:hAnsiTheme="minorHAnsi" w:cstheme="minorHAnsi"/>
        </w:rPr>
        <w:t xml:space="preserve"> cenu za sdružené služby dodávky elektřiny ve výši dle údajů ve smlouvě o připojení s příslušným PDS. V případě, že </w:t>
      </w:r>
      <w:r w:rsidRPr="002B5E6C">
        <w:rPr>
          <w:rFonts w:asciiTheme="minorHAnsi" w:eastAsia="Arial Unicode MS" w:hAnsiTheme="minorHAnsi" w:cstheme="minorHAnsi"/>
          <w:b/>
        </w:rPr>
        <w:t>Zákazník</w:t>
      </w:r>
      <w:r w:rsidRPr="002B5E6C">
        <w:rPr>
          <w:rFonts w:asciiTheme="minorHAnsi" w:eastAsia="Arial Unicode MS" w:hAnsiTheme="minorHAnsi" w:cstheme="minorHAnsi"/>
        </w:rPr>
        <w:t xml:space="preserve"> požaduje sjednat změnu rezervovaného příkonu, kapacity nebo změnu typu měření oproti jeho současnému stavu, je povinen tento požadavek doručit </w:t>
      </w:r>
      <w:r w:rsidRPr="002B5E6C">
        <w:rPr>
          <w:rFonts w:asciiTheme="minorHAnsi" w:eastAsia="Arial Unicode MS" w:hAnsiTheme="minorHAnsi" w:cstheme="minorHAnsi"/>
          <w:b/>
        </w:rPr>
        <w:t>Obchodníkovi</w:t>
      </w:r>
      <w:r w:rsidRPr="002B5E6C">
        <w:rPr>
          <w:rFonts w:asciiTheme="minorHAnsi" w:eastAsia="Arial Unicode MS" w:hAnsiTheme="minorHAnsi" w:cstheme="minorHAnsi"/>
        </w:rPr>
        <w:t xml:space="preserve"> dohodnutým způsobem.</w:t>
      </w:r>
    </w:p>
    <w:p w:rsidR="009D6C51" w:rsidRPr="002B5E6C" w:rsidRDefault="009D6C51" w:rsidP="00E34B5B">
      <w:pPr>
        <w:spacing w:before="4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5E6C">
        <w:rPr>
          <w:rFonts w:asciiTheme="minorHAnsi" w:hAnsiTheme="minorHAnsi" w:cstheme="minorHAnsi"/>
          <w:b/>
          <w:sz w:val="24"/>
          <w:szCs w:val="24"/>
        </w:rPr>
        <w:t>Čl. 4.</w:t>
      </w:r>
    </w:p>
    <w:p w:rsidR="009D6C51" w:rsidRPr="002B5E6C" w:rsidRDefault="009D6C51" w:rsidP="00E34B5B">
      <w:pPr>
        <w:spacing w:after="36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B5E6C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:rsidR="009D6C51" w:rsidRPr="002B5E6C" w:rsidRDefault="009D6C51" w:rsidP="00812231">
      <w:pPr>
        <w:pStyle w:val="Odstavecseseznamem"/>
        <w:numPr>
          <w:ilvl w:val="0"/>
          <w:numId w:val="5"/>
        </w:numPr>
        <w:spacing w:after="120"/>
        <w:ind w:left="284" w:hanging="284"/>
        <w:rPr>
          <w:rFonts w:asciiTheme="minorHAnsi" w:hAnsiTheme="minorHAnsi" w:cstheme="minorHAnsi"/>
          <w:b/>
        </w:rPr>
      </w:pPr>
      <w:r w:rsidRPr="002B5E6C">
        <w:rPr>
          <w:rFonts w:asciiTheme="minorHAnsi" w:hAnsiTheme="minorHAnsi" w:cstheme="minorHAnsi"/>
          <w:b/>
        </w:rPr>
        <w:t>Období dodávky:</w:t>
      </w:r>
    </w:p>
    <w:p w:rsidR="009D6C51" w:rsidRPr="002B5E6C" w:rsidRDefault="009D6C51" w:rsidP="00812231">
      <w:pPr>
        <w:spacing w:after="120"/>
        <w:ind w:left="284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 xml:space="preserve">Datum a obchodní hodina zahájení dodávky: </w:t>
      </w:r>
      <w:r w:rsidRPr="002B5E6C">
        <w:rPr>
          <w:rFonts w:asciiTheme="minorHAnsi" w:hAnsiTheme="minorHAnsi" w:cstheme="minorHAnsi"/>
          <w:b/>
        </w:rPr>
        <w:t>1.1.2019  0:00 hod</w:t>
      </w:r>
      <w:r w:rsidRPr="002B5E6C">
        <w:rPr>
          <w:rFonts w:asciiTheme="minorHAnsi" w:hAnsiTheme="minorHAnsi" w:cstheme="minorHAnsi"/>
        </w:rPr>
        <w:t>.</w:t>
      </w:r>
    </w:p>
    <w:p w:rsidR="009D6C51" w:rsidRPr="002B5E6C" w:rsidRDefault="009D6C51" w:rsidP="00812231">
      <w:pPr>
        <w:spacing w:after="120"/>
        <w:ind w:left="284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 xml:space="preserve">Datum a obchodní hodina ukončení dodávky: </w:t>
      </w:r>
      <w:r w:rsidRPr="002B5E6C">
        <w:rPr>
          <w:rFonts w:asciiTheme="minorHAnsi" w:hAnsiTheme="minorHAnsi" w:cstheme="minorHAnsi"/>
          <w:b/>
        </w:rPr>
        <w:t>31.12.2019  24:00 hod.</w:t>
      </w:r>
    </w:p>
    <w:p w:rsidR="009D6C51" w:rsidRPr="002B5E6C" w:rsidRDefault="009D6C51" w:rsidP="00992627">
      <w:pPr>
        <w:pStyle w:val="Odstavecseseznamem"/>
        <w:autoSpaceDE w:val="0"/>
        <w:autoSpaceDN w:val="0"/>
        <w:adjustRightInd w:val="0"/>
        <w:spacing w:after="120"/>
        <w:ind w:left="284"/>
        <w:contextualSpacing w:val="0"/>
        <w:rPr>
          <w:rFonts w:asciiTheme="minorHAnsi" w:eastAsia="Arial Unicode MS" w:hAnsiTheme="minorHAnsi" w:cstheme="minorHAnsi"/>
        </w:rPr>
      </w:pPr>
      <w:r w:rsidRPr="002B5E6C">
        <w:rPr>
          <w:rFonts w:asciiTheme="minorHAnsi" w:hAnsiTheme="minorHAnsi" w:cstheme="minorHAnsi"/>
        </w:rPr>
        <w:t xml:space="preserve">V případě, že u některých odběrných míst bude stanoveno odlišné období dodávky, je to uvedeno </w:t>
      </w:r>
      <w:r w:rsidRPr="002B5E6C">
        <w:rPr>
          <w:rFonts w:asciiTheme="minorHAnsi" w:eastAsia="Arial Unicode MS" w:hAnsiTheme="minorHAnsi" w:cstheme="minorHAnsi"/>
        </w:rPr>
        <w:t xml:space="preserve">v </w:t>
      </w:r>
      <w:r w:rsidRPr="002B5E6C">
        <w:rPr>
          <w:rFonts w:asciiTheme="minorHAnsi" w:eastAsia="Arial Unicode MS" w:hAnsiTheme="minorHAnsi" w:cstheme="minorHAnsi"/>
          <w:b/>
        </w:rPr>
        <w:t xml:space="preserve">příloze č. 2 </w:t>
      </w:r>
      <w:r w:rsidRPr="002B5E6C">
        <w:rPr>
          <w:rFonts w:asciiTheme="minorHAnsi" w:eastAsia="Arial Unicode MS" w:hAnsiTheme="minorHAnsi" w:cstheme="minorHAnsi"/>
        </w:rPr>
        <w:t>– seznam odběrných míst vysokého napětí</w:t>
      </w:r>
    </w:p>
    <w:p w:rsidR="009D6C51" w:rsidRPr="002B5E6C" w:rsidRDefault="009D6C51" w:rsidP="000C6740">
      <w:pPr>
        <w:pStyle w:val="Odstavecseseznamem"/>
        <w:numPr>
          <w:ilvl w:val="0"/>
          <w:numId w:val="5"/>
        </w:numPr>
        <w:spacing w:after="120"/>
        <w:ind w:left="284" w:hanging="284"/>
        <w:contextualSpacing w:val="0"/>
        <w:rPr>
          <w:rFonts w:asciiTheme="minorHAnsi" w:hAnsiTheme="minorHAnsi" w:cstheme="minorHAnsi"/>
          <w:b/>
        </w:rPr>
      </w:pPr>
      <w:r w:rsidRPr="002B5E6C">
        <w:rPr>
          <w:rFonts w:asciiTheme="minorHAnsi" w:hAnsiTheme="minorHAnsi" w:cstheme="minorHAnsi"/>
          <w:b/>
        </w:rPr>
        <w:t>Odběrový diagram a způsob jeho sjednávání a upřesňování:</w:t>
      </w:r>
    </w:p>
    <w:p w:rsidR="009D6C51" w:rsidRPr="002B5E6C" w:rsidRDefault="009D6C51" w:rsidP="00D941F1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  <w:b/>
        </w:rPr>
        <w:t>Zákazník</w:t>
      </w:r>
      <w:r w:rsidRPr="002B5E6C">
        <w:rPr>
          <w:rFonts w:asciiTheme="minorHAnsi" w:eastAsia="Arial Unicode MS" w:hAnsiTheme="minorHAnsi" w:cstheme="minorHAnsi"/>
        </w:rPr>
        <w:t xml:space="preserve"> sjednal s </w:t>
      </w:r>
      <w:r w:rsidRPr="002B5E6C">
        <w:rPr>
          <w:rFonts w:asciiTheme="minorHAnsi" w:eastAsia="Arial Unicode MS" w:hAnsiTheme="minorHAnsi" w:cstheme="minorHAnsi"/>
          <w:b/>
        </w:rPr>
        <w:t>Obchodníkem</w:t>
      </w:r>
      <w:r w:rsidRPr="002B5E6C">
        <w:rPr>
          <w:rFonts w:asciiTheme="minorHAnsi" w:eastAsia="Arial Unicode MS" w:hAnsiTheme="minorHAnsi" w:cstheme="minorHAnsi"/>
        </w:rPr>
        <w:t xml:space="preserve"> množství elektřiny pro všechna odběrná místa na období trvání dodávky ve výši</w:t>
      </w:r>
      <w:r>
        <w:rPr>
          <w:rFonts w:asciiTheme="minorHAnsi" w:eastAsia="Arial Unicode MS" w:hAnsiTheme="minorHAnsi" w:cstheme="minorHAnsi"/>
        </w:rPr>
        <w:t xml:space="preserve"> 5187</w:t>
      </w:r>
      <w:r w:rsidRPr="00696B82">
        <w:rPr>
          <w:rFonts w:asciiTheme="minorHAnsi" w:eastAsia="Arial Unicode MS" w:hAnsiTheme="minorHAnsi" w:cstheme="minorHAnsi"/>
          <w:b/>
          <w:color w:val="FF0000"/>
        </w:rPr>
        <w:t xml:space="preserve"> </w:t>
      </w:r>
      <w:r w:rsidRPr="003B026E">
        <w:rPr>
          <w:rFonts w:asciiTheme="minorHAnsi" w:eastAsia="Arial Unicode MS" w:hAnsiTheme="minorHAnsi" w:cstheme="minorHAnsi"/>
          <w:b/>
        </w:rPr>
        <w:t>MWh</w:t>
      </w:r>
      <w:r w:rsidRPr="003B026E">
        <w:rPr>
          <w:rFonts w:asciiTheme="minorHAnsi" w:eastAsia="Arial Unicode MS" w:hAnsiTheme="minorHAnsi" w:cstheme="minorHAnsi"/>
        </w:rPr>
        <w:t>.</w:t>
      </w:r>
    </w:p>
    <w:p w:rsidR="009D6C51" w:rsidRPr="002B5E6C" w:rsidRDefault="009D6C51" w:rsidP="00D941F1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 xml:space="preserve">Výše uvedené množství je v některých případech rozepsáno do měsíčních množství odběru elektřiny v </w:t>
      </w:r>
      <w:r w:rsidRPr="002B5E6C">
        <w:rPr>
          <w:rFonts w:asciiTheme="minorHAnsi" w:eastAsia="Arial Unicode MS" w:hAnsiTheme="minorHAnsi" w:cstheme="minorHAnsi"/>
          <w:b/>
        </w:rPr>
        <w:t xml:space="preserve">Příloze č. 2 </w:t>
      </w:r>
      <w:r w:rsidRPr="002B5E6C">
        <w:rPr>
          <w:rFonts w:asciiTheme="minorHAnsi" w:eastAsia="Arial Unicode MS" w:hAnsiTheme="minorHAnsi" w:cstheme="minorHAnsi"/>
        </w:rPr>
        <w:t xml:space="preserve">– seznam odběrných míst vysokého napětí. </w:t>
      </w:r>
    </w:p>
    <w:p w:rsidR="009D6C51" w:rsidRPr="002B5E6C" w:rsidRDefault="009D6C51" w:rsidP="00D941F1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 xml:space="preserve">Případné nedočerpání nebo překročení plánovaného ročního odběru elektřiny v jednotlivých odběrných místech uvedených v </w:t>
      </w:r>
      <w:r w:rsidRPr="002B5E6C">
        <w:rPr>
          <w:rFonts w:asciiTheme="minorHAnsi" w:eastAsia="Arial Unicode MS" w:hAnsiTheme="minorHAnsi" w:cstheme="minorHAnsi"/>
          <w:b/>
        </w:rPr>
        <w:t>Příloze č. 2.</w:t>
      </w:r>
      <w:r w:rsidRPr="002B5E6C">
        <w:rPr>
          <w:rFonts w:asciiTheme="minorHAnsi" w:eastAsia="Arial Unicode MS" w:hAnsiTheme="minorHAnsi" w:cstheme="minorHAnsi"/>
        </w:rPr>
        <w:t xml:space="preserve"> nebude ze strany </w:t>
      </w:r>
      <w:r w:rsidRPr="002B5E6C">
        <w:rPr>
          <w:rFonts w:asciiTheme="minorHAnsi" w:eastAsia="Arial Unicode MS" w:hAnsiTheme="minorHAnsi" w:cstheme="minorHAnsi"/>
          <w:b/>
        </w:rPr>
        <w:t>Obchodníka</w:t>
      </w:r>
      <w:r w:rsidRPr="002B5E6C">
        <w:rPr>
          <w:rFonts w:asciiTheme="minorHAnsi" w:eastAsia="Arial Unicode MS" w:hAnsiTheme="minorHAnsi" w:cstheme="minorHAnsi"/>
        </w:rPr>
        <w:t xml:space="preserve"> podléhat žádným cenovým přirážkám</w:t>
      </w:r>
      <w:r>
        <w:rPr>
          <w:rFonts w:asciiTheme="minorHAnsi" w:eastAsia="Arial Unicode MS" w:hAnsiTheme="minorHAnsi" w:cstheme="minorHAnsi"/>
        </w:rPr>
        <w:t xml:space="preserve"> či jiným sankcím</w:t>
      </w:r>
      <w:r w:rsidRPr="002B5E6C">
        <w:rPr>
          <w:rFonts w:asciiTheme="minorHAnsi" w:eastAsia="Arial Unicode MS" w:hAnsiTheme="minorHAnsi" w:cstheme="minorHAnsi"/>
        </w:rPr>
        <w:t xml:space="preserve">.  </w:t>
      </w:r>
      <w:r w:rsidRPr="002B5E6C">
        <w:rPr>
          <w:rFonts w:asciiTheme="minorHAnsi" w:eastAsia="Arial Unicode MS" w:hAnsiTheme="minorHAnsi" w:cstheme="minorHAnsi"/>
          <w:b/>
        </w:rPr>
        <w:t>Zákazník</w:t>
      </w:r>
      <w:r w:rsidRPr="002B5E6C">
        <w:rPr>
          <w:rFonts w:asciiTheme="minorHAnsi" w:eastAsia="Arial Unicode MS" w:hAnsiTheme="minorHAnsi" w:cstheme="minorHAnsi"/>
        </w:rPr>
        <w:t xml:space="preserve"> však bude mít za povinnost sjednat hodnotu ročního odebraného množství elektřiny co nejpřesněji a během smluvního období sjednané množství upřesňovat na požadovanou výši podle jemu známých skutečností.</w:t>
      </w:r>
    </w:p>
    <w:p w:rsidR="009D6C51" w:rsidRPr="003B026E" w:rsidRDefault="009D6C51" w:rsidP="003B026E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284"/>
        <w:rPr>
          <w:rFonts w:asciiTheme="minorHAnsi" w:hAnsiTheme="minorHAnsi" w:cstheme="minorHAnsi"/>
          <w:color w:val="auto"/>
          <w:sz w:val="20"/>
        </w:rPr>
      </w:pPr>
      <w:r w:rsidRPr="00F04DC5">
        <w:rPr>
          <w:rFonts w:asciiTheme="minorHAnsi" w:hAnsiTheme="minorHAnsi" w:cstheme="minorHAnsi"/>
          <w:b/>
          <w:color w:val="auto"/>
          <w:sz w:val="20"/>
        </w:rPr>
        <w:t>Zákazník</w:t>
      </w:r>
      <w:r w:rsidRPr="003B026E">
        <w:rPr>
          <w:rFonts w:asciiTheme="minorHAnsi" w:hAnsiTheme="minorHAnsi" w:cstheme="minorHAnsi"/>
          <w:color w:val="auto"/>
          <w:sz w:val="20"/>
        </w:rPr>
        <w:t xml:space="preserve"> sjednává množství odběru elektřiny nebo jeho změnu prostřednictvím webového portálu </w:t>
      </w:r>
      <w:r w:rsidRPr="003B026E">
        <w:rPr>
          <w:rFonts w:asciiTheme="minorHAnsi" w:hAnsiTheme="minorHAnsi" w:cstheme="minorHAnsi"/>
          <w:b/>
          <w:color w:val="auto"/>
          <w:sz w:val="20"/>
        </w:rPr>
        <w:t>Obchodníka</w:t>
      </w:r>
      <w:r w:rsidRPr="003B026E">
        <w:rPr>
          <w:rFonts w:asciiTheme="minorHAnsi" w:hAnsiTheme="minorHAnsi" w:cstheme="minorHAnsi"/>
          <w:color w:val="auto"/>
          <w:sz w:val="20"/>
        </w:rPr>
        <w:t xml:space="preserve">. Není-li možné množství odběru elektřiny sjednat přes webovou aplikaci </w:t>
      </w:r>
      <w:r w:rsidRPr="003B026E">
        <w:rPr>
          <w:rFonts w:asciiTheme="minorHAnsi" w:hAnsiTheme="minorHAnsi" w:cstheme="minorHAnsi"/>
          <w:b/>
          <w:color w:val="auto"/>
          <w:sz w:val="20"/>
        </w:rPr>
        <w:t>Obchodníka</w:t>
      </w:r>
      <w:r w:rsidRPr="003B026E">
        <w:rPr>
          <w:rFonts w:asciiTheme="minorHAnsi" w:hAnsiTheme="minorHAnsi" w:cstheme="minorHAnsi"/>
          <w:color w:val="auto"/>
          <w:sz w:val="20"/>
        </w:rPr>
        <w:t xml:space="preserve">, pak lze množství odběru elektřiny či jeho změnu sjednat prostřednictvím e-mailové komunikace a to odesláním e-mailu </w:t>
      </w:r>
      <w:r w:rsidRPr="003B026E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B026E">
        <w:rPr>
          <w:rFonts w:asciiTheme="minorHAnsi" w:hAnsiTheme="minorHAnsi" w:cstheme="minorHAnsi"/>
          <w:color w:val="auto"/>
          <w:sz w:val="20"/>
        </w:rPr>
        <w:t xml:space="preserve"> na emailovou adresu </w:t>
      </w:r>
      <w:r w:rsidRPr="003B026E">
        <w:rPr>
          <w:rFonts w:asciiTheme="minorHAnsi" w:hAnsiTheme="minorHAnsi" w:cstheme="minorHAnsi"/>
          <w:b/>
          <w:color w:val="auto"/>
          <w:sz w:val="20"/>
        </w:rPr>
        <w:t xml:space="preserve">Obchodníka </w:t>
      </w:r>
      <w:r>
        <w:rPr>
          <w:rFonts w:asciiTheme="minorHAnsi" w:hAnsiTheme="minorHAnsi" w:cstheme="minorHAnsi"/>
          <w:sz w:val="20"/>
          <w:highlight w:val="lightGray"/>
          <w:lang w:val="en-GB"/>
        </w:rPr>
        <w:t>david.hruza@ppas.cz</w:t>
      </w:r>
      <w:r w:rsidRPr="003B026E">
        <w:rPr>
          <w:rFonts w:asciiTheme="minorHAnsi" w:eastAsia="Arial Unicode MS" w:hAnsiTheme="minorHAnsi" w:cstheme="minorHAnsi"/>
          <w:b/>
          <w:color w:val="FF0000"/>
          <w:sz w:val="20"/>
        </w:rPr>
        <w:t xml:space="preserve"> </w:t>
      </w:r>
      <w:r w:rsidRPr="003B026E">
        <w:rPr>
          <w:rFonts w:asciiTheme="minorHAnsi" w:eastAsia="Arial Unicode MS" w:hAnsiTheme="minorHAnsi" w:cstheme="minorHAnsi"/>
          <w:b/>
          <w:color w:val="auto"/>
          <w:sz w:val="20"/>
        </w:rPr>
        <w:t>.</w:t>
      </w:r>
      <w:r w:rsidRPr="003B026E">
        <w:rPr>
          <w:rFonts w:asciiTheme="minorHAnsi" w:hAnsiTheme="minorHAnsi" w:cstheme="minorHAnsi"/>
          <w:color w:val="auto"/>
          <w:sz w:val="20"/>
        </w:rPr>
        <w:t xml:space="preserve"> </w:t>
      </w:r>
    </w:p>
    <w:p w:rsidR="009D6C51" w:rsidRPr="002B5E6C" w:rsidRDefault="009D6C51" w:rsidP="00BF5C88">
      <w:pPr>
        <w:pStyle w:val="Odstavecseseznamem"/>
        <w:numPr>
          <w:ilvl w:val="0"/>
          <w:numId w:val="5"/>
        </w:numPr>
        <w:spacing w:after="120"/>
        <w:ind w:left="284" w:hanging="284"/>
        <w:contextualSpacing w:val="0"/>
        <w:rPr>
          <w:rFonts w:asciiTheme="minorHAnsi" w:hAnsiTheme="minorHAnsi" w:cstheme="minorHAnsi"/>
          <w:b/>
        </w:rPr>
      </w:pPr>
      <w:r w:rsidRPr="002B5E6C">
        <w:rPr>
          <w:rFonts w:asciiTheme="minorHAnsi" w:hAnsiTheme="minorHAnsi" w:cstheme="minorHAnsi"/>
          <w:b/>
        </w:rPr>
        <w:t>Rezervovaná kapacita a způsob jejího sjednávání a upřesňování:</w:t>
      </w:r>
    </w:p>
    <w:p w:rsidR="009D6C51" w:rsidRPr="002B5E6C" w:rsidRDefault="009D6C51" w:rsidP="007170E1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 xml:space="preserve">Hodnoty ročních rezervovaných kapacit jsou uvedeny v </w:t>
      </w:r>
      <w:r w:rsidRPr="002B5E6C">
        <w:rPr>
          <w:rFonts w:asciiTheme="minorHAnsi" w:eastAsia="Arial Unicode MS" w:hAnsiTheme="minorHAnsi" w:cstheme="minorHAnsi"/>
          <w:b/>
        </w:rPr>
        <w:t xml:space="preserve">příloze č. 2 </w:t>
      </w:r>
      <w:r w:rsidRPr="002B5E6C">
        <w:rPr>
          <w:rFonts w:asciiTheme="minorHAnsi" w:eastAsia="Arial Unicode MS" w:hAnsiTheme="minorHAnsi" w:cstheme="minorHAnsi"/>
        </w:rPr>
        <w:t>– seznam odběrných míst vysokého napětí.</w:t>
      </w:r>
    </w:p>
    <w:p w:rsidR="009D6C51" w:rsidRPr="002B5E6C" w:rsidRDefault="009D6C51" w:rsidP="007170E1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  <w:b/>
        </w:rPr>
        <w:t>Zákazník</w:t>
      </w:r>
      <w:r w:rsidRPr="002B5E6C">
        <w:rPr>
          <w:rFonts w:asciiTheme="minorHAnsi" w:eastAsia="Arial Unicode MS" w:hAnsiTheme="minorHAnsi" w:cstheme="minorHAnsi"/>
        </w:rPr>
        <w:t xml:space="preserve"> může sjednávat měsíční rezervovanou kapacitu nejpozději 2 pracovní dny před začátkem příslušného měsíce. V</w:t>
      </w:r>
      <w:r w:rsidRPr="002B5E6C">
        <w:rPr>
          <w:rFonts w:asciiTheme="minorHAnsi" w:hAnsiTheme="minorHAnsi" w:cstheme="minorHAnsi"/>
          <w:szCs w:val="22"/>
        </w:rPr>
        <w:t xml:space="preserve"> případě sjednávání rezervované kapacit pro měsíc leden 2019 pak nejpozději do 8. pracovního dne před koncem měsíce prosince 2018. </w:t>
      </w:r>
      <w:r w:rsidRPr="002B5E6C">
        <w:rPr>
          <w:rFonts w:asciiTheme="minorHAnsi" w:eastAsia="Arial Unicode MS" w:hAnsiTheme="minorHAnsi" w:cstheme="minorHAnsi"/>
          <w:b/>
        </w:rPr>
        <w:t>Obchodník</w:t>
      </w:r>
      <w:r w:rsidRPr="002B5E6C">
        <w:rPr>
          <w:rFonts w:asciiTheme="minorHAnsi" w:eastAsia="Arial Unicode MS" w:hAnsiTheme="minorHAnsi" w:cstheme="minorHAnsi"/>
        </w:rPr>
        <w:t xml:space="preserve"> je oprávněn odmítnout hodnoty měsíční rezervované kapacity navržené zákazníkem, jsou-li tyto v rozporu s podmínkami PDS nebo v případě jeho rozporu s Energetickým zákonem a navazujících právních předpisu. V takovém případě platí nadále sjednané hodnoty měsíční rezervované kapacity. </w:t>
      </w:r>
    </w:p>
    <w:p w:rsidR="009D6C51" w:rsidRPr="002B5E6C" w:rsidRDefault="009D6C51" w:rsidP="003358C8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284"/>
        <w:rPr>
          <w:rFonts w:asciiTheme="minorHAnsi" w:hAnsiTheme="minorHAnsi" w:cstheme="minorHAnsi"/>
          <w:color w:val="auto"/>
          <w:sz w:val="20"/>
        </w:rPr>
      </w:pPr>
      <w:r w:rsidRPr="002B5E6C">
        <w:rPr>
          <w:rFonts w:asciiTheme="minorHAnsi" w:hAnsiTheme="minorHAnsi" w:cstheme="minorHAnsi"/>
          <w:b/>
          <w:color w:val="auto"/>
          <w:sz w:val="20"/>
        </w:rPr>
        <w:t>Zákazník</w:t>
      </w:r>
      <w:r w:rsidRPr="002B5E6C">
        <w:rPr>
          <w:rFonts w:asciiTheme="minorHAnsi" w:hAnsiTheme="minorHAnsi" w:cstheme="minorHAnsi"/>
          <w:color w:val="auto"/>
          <w:sz w:val="20"/>
        </w:rPr>
        <w:t xml:space="preserve"> sjednává rezervovanou kapacitu nebo její změnu prostřednictvím webového portálu </w:t>
      </w:r>
      <w:r w:rsidRPr="002B5E6C">
        <w:rPr>
          <w:rFonts w:asciiTheme="minorHAnsi" w:hAnsiTheme="minorHAnsi" w:cstheme="minorHAnsi"/>
          <w:b/>
          <w:color w:val="auto"/>
          <w:sz w:val="20"/>
        </w:rPr>
        <w:t>Obchodníka</w:t>
      </w:r>
      <w:r w:rsidRPr="002B5E6C">
        <w:rPr>
          <w:rFonts w:asciiTheme="minorHAnsi" w:hAnsiTheme="minorHAnsi" w:cstheme="minorHAnsi"/>
          <w:color w:val="auto"/>
          <w:sz w:val="20"/>
        </w:rPr>
        <w:t xml:space="preserve">. Není-li možné rezervovanou kapacitu sjednat přes webovou aplikaci </w:t>
      </w:r>
      <w:r w:rsidRPr="002B5E6C">
        <w:rPr>
          <w:rFonts w:asciiTheme="minorHAnsi" w:hAnsiTheme="minorHAnsi" w:cstheme="minorHAnsi"/>
          <w:b/>
          <w:color w:val="auto"/>
          <w:sz w:val="20"/>
        </w:rPr>
        <w:t>Obchodníka</w:t>
      </w:r>
      <w:r w:rsidRPr="002B5E6C">
        <w:rPr>
          <w:rFonts w:asciiTheme="minorHAnsi" w:hAnsiTheme="minorHAnsi" w:cstheme="minorHAnsi"/>
          <w:color w:val="auto"/>
          <w:sz w:val="20"/>
        </w:rPr>
        <w:t xml:space="preserve">, pak lze rezervovanou kapacitu či její změnu sjednat prostřednictvím e-mailové komunikace a to odesláním e-mailu </w:t>
      </w:r>
      <w:r w:rsidRPr="002B5E6C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2B5E6C">
        <w:rPr>
          <w:rFonts w:asciiTheme="minorHAnsi" w:hAnsiTheme="minorHAnsi" w:cstheme="minorHAnsi"/>
          <w:color w:val="auto"/>
          <w:sz w:val="20"/>
        </w:rPr>
        <w:t xml:space="preserve"> na emailovou adresu </w:t>
      </w:r>
      <w:r w:rsidRPr="002B5E6C">
        <w:rPr>
          <w:rFonts w:asciiTheme="minorHAnsi" w:hAnsiTheme="minorHAnsi" w:cstheme="minorHAnsi"/>
          <w:b/>
          <w:color w:val="auto"/>
          <w:sz w:val="20"/>
        </w:rPr>
        <w:t>Obchodníka</w:t>
      </w:r>
      <w:r>
        <w:rPr>
          <w:rFonts w:asciiTheme="minorHAnsi" w:hAnsiTheme="minorHAnsi" w:cstheme="minorHAnsi"/>
          <w:b/>
          <w:color w:val="auto"/>
          <w:sz w:val="20"/>
        </w:rPr>
        <w:t xml:space="preserve"> </w:t>
      </w:r>
      <w:hyperlink r:id="rId8" w:history="1">
        <w:r w:rsidR="007858BD" w:rsidRPr="00D14A1D">
          <w:rPr>
            <w:rStyle w:val="Hypertextovodkaz"/>
            <w:rFonts w:asciiTheme="minorHAnsi" w:hAnsiTheme="minorHAnsi" w:cstheme="minorHAnsi"/>
            <w:sz w:val="20"/>
          </w:rPr>
          <w:t>david.hruza@ppas.cz</w:t>
        </w:r>
      </w:hyperlink>
      <w:r>
        <w:rPr>
          <w:rFonts w:asciiTheme="minorHAnsi" w:hAnsiTheme="minorHAnsi" w:cstheme="minorHAnsi"/>
          <w:b/>
          <w:color w:val="auto"/>
          <w:sz w:val="20"/>
        </w:rPr>
        <w:t>.</w:t>
      </w:r>
      <w:r w:rsidR="007858BD">
        <w:rPr>
          <w:rFonts w:asciiTheme="minorHAnsi" w:hAnsiTheme="minorHAnsi" w:cstheme="minorHAnsi"/>
          <w:b/>
          <w:color w:val="auto"/>
          <w:sz w:val="20"/>
        </w:rPr>
        <w:t xml:space="preserve"> </w:t>
      </w:r>
      <w:r w:rsidRPr="002B5E6C">
        <w:rPr>
          <w:rFonts w:asciiTheme="minorHAnsi" w:hAnsiTheme="minorHAnsi" w:cstheme="minorHAnsi"/>
          <w:color w:val="auto"/>
          <w:sz w:val="20"/>
        </w:rPr>
        <w:t xml:space="preserve">Rezervovaná kapacita nebo její změna je tak sjednána okamžikem, kdy </w:t>
      </w:r>
      <w:r w:rsidRPr="002B5E6C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2B5E6C">
        <w:rPr>
          <w:rFonts w:asciiTheme="minorHAnsi" w:hAnsiTheme="minorHAnsi" w:cstheme="minorHAnsi"/>
          <w:color w:val="auto"/>
          <w:sz w:val="20"/>
        </w:rPr>
        <w:t xml:space="preserve"> potvrdí přijetí požadované kapacity.</w:t>
      </w:r>
    </w:p>
    <w:p w:rsidR="009D6C51" w:rsidRPr="002B5E6C" w:rsidRDefault="009D6C51" w:rsidP="002A79C8">
      <w:pPr>
        <w:pStyle w:val="Odstavecseseznamem"/>
        <w:numPr>
          <w:ilvl w:val="0"/>
          <w:numId w:val="5"/>
        </w:numPr>
        <w:spacing w:after="120"/>
        <w:ind w:left="284" w:hanging="284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Regulace odběru elektřiny a s</w:t>
      </w:r>
      <w:r w:rsidRPr="002B5E6C">
        <w:rPr>
          <w:rFonts w:asciiTheme="minorHAnsi" w:hAnsiTheme="minorHAnsi" w:cstheme="minorHAnsi"/>
          <w:b/>
        </w:rPr>
        <w:t>tavy nouze</w:t>
      </w:r>
    </w:p>
    <w:p w:rsidR="009D6C51" w:rsidRPr="002B5E6C" w:rsidRDefault="009D6C51" w:rsidP="00D60B2E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 xml:space="preserve">Opatřeni přijímaná při předcházení stavu nouze, ve stavu nouze a odstraňování následků stavu nouze upravují Vyhláška č. 80/2010 Sb. a PPDS. </w:t>
      </w:r>
    </w:p>
    <w:p w:rsidR="009D6C51" w:rsidRPr="002B5E6C" w:rsidRDefault="009D6C51" w:rsidP="00D60B2E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  <w:r w:rsidRPr="002B5E6C">
        <w:rPr>
          <w:rFonts w:asciiTheme="minorHAnsi" w:eastAsia="Arial Unicode MS" w:hAnsiTheme="minorHAnsi" w:cstheme="minorHAnsi"/>
        </w:rPr>
        <w:t xml:space="preserve">Hodnoty </w:t>
      </w:r>
      <w:r>
        <w:rPr>
          <w:rFonts w:asciiTheme="minorHAnsi" w:eastAsia="Arial Unicode MS" w:hAnsiTheme="minorHAnsi" w:cstheme="minorHAnsi"/>
        </w:rPr>
        <w:t xml:space="preserve">bezpečnostního minima při vyhlášení regulačního stupně č. 7 </w:t>
      </w:r>
      <w:r w:rsidRPr="002B5E6C">
        <w:rPr>
          <w:rFonts w:asciiTheme="minorHAnsi" w:eastAsia="Arial Unicode MS" w:hAnsiTheme="minorHAnsi" w:cstheme="minorHAnsi"/>
        </w:rPr>
        <w:t xml:space="preserve">jsou uvedeny v </w:t>
      </w:r>
      <w:r w:rsidRPr="002B5E6C">
        <w:rPr>
          <w:rFonts w:asciiTheme="minorHAnsi" w:eastAsia="Arial Unicode MS" w:hAnsiTheme="minorHAnsi" w:cstheme="minorHAnsi"/>
          <w:b/>
        </w:rPr>
        <w:t xml:space="preserve">Příloze č. </w:t>
      </w:r>
      <w:r>
        <w:rPr>
          <w:rFonts w:asciiTheme="minorHAnsi" w:eastAsia="Arial Unicode MS" w:hAnsiTheme="minorHAnsi" w:cstheme="minorHAnsi"/>
          <w:b/>
        </w:rPr>
        <w:t>2</w:t>
      </w:r>
      <w:r w:rsidRPr="002B5E6C">
        <w:rPr>
          <w:rFonts w:asciiTheme="minorHAnsi" w:eastAsia="Arial Unicode MS" w:hAnsiTheme="minorHAnsi" w:cstheme="minorHAnsi"/>
          <w:b/>
        </w:rPr>
        <w:t xml:space="preserve"> </w:t>
      </w:r>
      <w:r w:rsidRPr="002B5E6C">
        <w:rPr>
          <w:rFonts w:asciiTheme="minorHAnsi" w:eastAsia="Arial Unicode MS" w:hAnsiTheme="minorHAnsi" w:cstheme="minorHAnsi"/>
        </w:rPr>
        <w:t>– seznam odběrných míst vysokého napětí.</w:t>
      </w:r>
    </w:p>
    <w:p w:rsidR="009D6C51" w:rsidRPr="006C463D" w:rsidRDefault="009D6C51" w:rsidP="00767F7E">
      <w:pPr>
        <w:spacing w:before="4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463D">
        <w:rPr>
          <w:rFonts w:asciiTheme="minorHAnsi" w:hAnsiTheme="minorHAnsi" w:cstheme="minorHAnsi"/>
          <w:b/>
          <w:sz w:val="24"/>
          <w:szCs w:val="24"/>
        </w:rPr>
        <w:t>Čl. 5.</w:t>
      </w:r>
    </w:p>
    <w:p w:rsidR="009D6C51" w:rsidRPr="002B5E6C" w:rsidRDefault="009D6C51" w:rsidP="00767F7E">
      <w:pPr>
        <w:spacing w:after="36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C463D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:rsidR="009D6C51" w:rsidRPr="002B5E6C" w:rsidRDefault="009D6C51" w:rsidP="00725123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2B5E6C">
        <w:rPr>
          <w:rFonts w:asciiTheme="minorHAnsi" w:hAnsiTheme="minorHAnsi" w:cstheme="minorHAnsi"/>
          <w:color w:val="auto"/>
          <w:sz w:val="20"/>
        </w:rPr>
        <w:t xml:space="preserve">Cena za dodávku silové elektřiny bez daně z elektřiny a bez DPH je smluvní a sjednává se pro celou dobu trvání </w:t>
      </w:r>
      <w:r w:rsidRPr="002B5E6C">
        <w:rPr>
          <w:rFonts w:asciiTheme="minorHAnsi" w:hAnsiTheme="minorHAnsi" w:cstheme="minorHAnsi"/>
          <w:b/>
          <w:color w:val="auto"/>
          <w:sz w:val="20"/>
        </w:rPr>
        <w:t>Smlouv</w:t>
      </w:r>
      <w:r w:rsidRPr="002B5E6C">
        <w:rPr>
          <w:rFonts w:asciiTheme="minorHAnsi" w:hAnsiTheme="minorHAnsi" w:cstheme="minorHAnsi"/>
          <w:color w:val="auto"/>
          <w:sz w:val="20"/>
        </w:rPr>
        <w:t xml:space="preserve">y dle čl. 6. </w:t>
      </w:r>
      <w:r w:rsidRPr="002B5E6C">
        <w:rPr>
          <w:rFonts w:asciiTheme="minorHAnsi" w:hAnsiTheme="minorHAnsi" w:cstheme="minorHAnsi"/>
          <w:b/>
          <w:color w:val="auto"/>
          <w:sz w:val="20"/>
        </w:rPr>
        <w:t>Smlouvy</w:t>
      </w:r>
      <w:r w:rsidRPr="002B5E6C">
        <w:rPr>
          <w:rFonts w:asciiTheme="minorHAnsi" w:hAnsiTheme="minorHAnsi" w:cstheme="minorHAnsi"/>
          <w:color w:val="auto"/>
          <w:sz w:val="20"/>
        </w:rPr>
        <w:t xml:space="preserve"> následovně: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788"/>
        <w:gridCol w:w="2773"/>
        <w:gridCol w:w="2781"/>
      </w:tblGrid>
      <w:tr w:rsidR="009D6C51" w:rsidRPr="002B5E6C" w:rsidTr="008B258F">
        <w:tc>
          <w:tcPr>
            <w:tcW w:w="2856" w:type="dxa"/>
            <w:vMerge w:val="restart"/>
            <w:vAlign w:val="center"/>
          </w:tcPr>
          <w:p w:rsidR="009D6C51" w:rsidRPr="002B5E6C" w:rsidRDefault="009D6C51" w:rsidP="008B258F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2B5E6C">
              <w:rPr>
                <w:rFonts w:asciiTheme="minorHAnsi" w:hAnsiTheme="minorHAnsi" w:cstheme="minorHAnsi"/>
                <w:b/>
                <w:color w:val="auto"/>
                <w:szCs w:val="22"/>
              </w:rPr>
              <w:t>Jednotarif</w:t>
            </w:r>
          </w:p>
          <w:p w:rsidR="009D6C51" w:rsidRPr="002B5E6C" w:rsidRDefault="009D6C51" w:rsidP="00805BD7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2B5E6C">
              <w:rPr>
                <w:rFonts w:asciiTheme="minorHAnsi" w:hAnsiTheme="minorHAnsi" w:cstheme="minorHAnsi"/>
                <w:b/>
                <w:color w:val="auto"/>
                <w:szCs w:val="22"/>
              </w:rPr>
              <w:t>(Kč/MWh)</w:t>
            </w:r>
          </w:p>
        </w:tc>
        <w:tc>
          <w:tcPr>
            <w:tcW w:w="2856" w:type="dxa"/>
            <w:vAlign w:val="center"/>
          </w:tcPr>
          <w:p w:rsidR="009D6C51" w:rsidRPr="002B5E6C" w:rsidRDefault="009D6C51" w:rsidP="008B258F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2B5E6C">
              <w:rPr>
                <w:rFonts w:asciiTheme="minorHAnsi" w:hAnsiTheme="minorHAnsi" w:cstheme="minorHAnsi"/>
                <w:b/>
                <w:color w:val="auto"/>
                <w:szCs w:val="22"/>
              </w:rPr>
              <w:t>Cena pro r. 2019</w:t>
            </w:r>
          </w:p>
        </w:tc>
        <w:tc>
          <w:tcPr>
            <w:tcW w:w="2856" w:type="dxa"/>
            <w:vAlign w:val="center"/>
          </w:tcPr>
          <w:p w:rsidR="009D6C51" w:rsidRPr="002B5E6C" w:rsidRDefault="009D6C51" w:rsidP="008B258F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2B5E6C">
              <w:rPr>
                <w:rFonts w:asciiTheme="minorHAnsi" w:hAnsiTheme="minorHAnsi" w:cstheme="minorHAnsi"/>
                <w:b/>
                <w:color w:val="auto"/>
                <w:szCs w:val="22"/>
              </w:rPr>
              <w:t>platnost tarifu</w:t>
            </w:r>
          </w:p>
        </w:tc>
      </w:tr>
      <w:tr w:rsidR="009D6C51" w:rsidRPr="002B5E6C" w:rsidTr="008B258F">
        <w:tc>
          <w:tcPr>
            <w:tcW w:w="2856" w:type="dxa"/>
            <w:vMerge/>
          </w:tcPr>
          <w:p w:rsidR="009D6C51" w:rsidRPr="002B5E6C" w:rsidRDefault="009D6C51" w:rsidP="008B258F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2856" w:type="dxa"/>
            <w:vAlign w:val="center"/>
          </w:tcPr>
          <w:p w:rsidR="009D6C51" w:rsidRPr="002B5E6C" w:rsidRDefault="009D6C51" w:rsidP="008B258F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lang w:val="en-GB"/>
              </w:rPr>
              <w:t>1500,-</w:t>
            </w:r>
          </w:p>
        </w:tc>
        <w:tc>
          <w:tcPr>
            <w:tcW w:w="2856" w:type="dxa"/>
            <w:vAlign w:val="center"/>
          </w:tcPr>
          <w:p w:rsidR="009D6C51" w:rsidRPr="002B5E6C" w:rsidRDefault="009D6C51" w:rsidP="008B258F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2B5E6C">
              <w:rPr>
                <w:rFonts w:asciiTheme="minorHAnsi" w:hAnsiTheme="minorHAnsi" w:cstheme="minorHAnsi"/>
                <w:b/>
                <w:color w:val="auto"/>
                <w:szCs w:val="22"/>
              </w:rPr>
              <w:t>po celé období dodávky</w:t>
            </w:r>
          </w:p>
        </w:tc>
      </w:tr>
    </w:tbl>
    <w:p w:rsidR="009D6C51" w:rsidRPr="002B5E6C" w:rsidRDefault="009D6C51" w:rsidP="00725123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/>
        <w:jc w:val="both"/>
        <w:rPr>
          <w:rFonts w:asciiTheme="minorHAnsi" w:hAnsiTheme="minorHAnsi" w:cstheme="minorHAnsi"/>
          <w:color w:val="auto"/>
          <w:sz w:val="20"/>
        </w:rPr>
      </w:pPr>
    </w:p>
    <w:p w:rsidR="009D6C51" w:rsidRPr="002B5E6C" w:rsidRDefault="009D6C51" w:rsidP="00542498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2B5E6C">
        <w:rPr>
          <w:rFonts w:asciiTheme="minorHAnsi" w:hAnsiTheme="minorHAnsi" w:cstheme="minorHAnsi"/>
          <w:color w:val="auto"/>
          <w:sz w:val="20"/>
        </w:rPr>
        <w:t>Cena za distribuci elektřiny a systémové služby bude stanovena podle platného Cenového rozhodnutí Energetického regulačního úřadu.</w:t>
      </w:r>
    </w:p>
    <w:p w:rsidR="009D6C51" w:rsidRPr="002B5E6C" w:rsidRDefault="009D6C51" w:rsidP="00542498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2B5E6C">
        <w:rPr>
          <w:rFonts w:asciiTheme="minorHAnsi" w:hAnsiTheme="minorHAnsi" w:cstheme="minorHAnsi"/>
          <w:color w:val="auto"/>
          <w:sz w:val="20"/>
        </w:rPr>
        <w:t>K účtované ceně se připočítává daň z elektřiny a daň z přidané hodnoty stanovené platnými právními předpisy.</w:t>
      </w:r>
    </w:p>
    <w:p w:rsidR="009D6C51" w:rsidRPr="00D9726E" w:rsidRDefault="009D6C51" w:rsidP="00542498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D9726E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D9726E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D9726E">
        <w:rPr>
          <w:rFonts w:asciiTheme="minorHAnsi" w:hAnsiTheme="minorHAnsi" w:cstheme="minorHAnsi"/>
          <w:color w:val="auto"/>
          <w:sz w:val="20"/>
        </w:rPr>
        <w:t xml:space="preserve"> - Obchodní podmínky dodávky elektřiny.</w:t>
      </w:r>
    </w:p>
    <w:p w:rsidR="009D6C51" w:rsidRPr="00D9726E" w:rsidRDefault="009D6C51" w:rsidP="00560326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 w:hanging="426"/>
        <w:rPr>
          <w:rFonts w:asciiTheme="minorHAnsi" w:hAnsiTheme="minorHAnsi" w:cstheme="minorHAnsi"/>
          <w:color w:val="auto"/>
          <w:sz w:val="20"/>
        </w:rPr>
      </w:pPr>
      <w:r w:rsidRPr="00D9726E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D9726E">
        <w:rPr>
          <w:rFonts w:asciiTheme="minorHAnsi" w:hAnsiTheme="minorHAnsi" w:cstheme="minorHAnsi"/>
          <w:color w:val="auto"/>
          <w:sz w:val="20"/>
        </w:rPr>
        <w:t xml:space="preserve"> bude poskytovat </w:t>
      </w:r>
      <w:r w:rsidRPr="00D9726E">
        <w:rPr>
          <w:rFonts w:asciiTheme="minorHAnsi" w:hAnsiTheme="minorHAnsi" w:cstheme="minorHAnsi"/>
          <w:b/>
          <w:color w:val="auto"/>
          <w:sz w:val="20"/>
        </w:rPr>
        <w:t>Zákazníkovi</w:t>
      </w:r>
      <w:r w:rsidRPr="00D9726E">
        <w:rPr>
          <w:rFonts w:asciiTheme="minorHAnsi" w:hAnsiTheme="minorHAnsi" w:cstheme="minorHAnsi"/>
          <w:color w:val="auto"/>
          <w:sz w:val="20"/>
        </w:rPr>
        <w:t xml:space="preserve"> na základě jeho písemného požadavku soubor dat v elektronické podobě, obsahující kompletní údaje o realizované dodávce elektřiny v rozsahu dat dle fakturačních dokladů. P</w:t>
      </w:r>
      <w:r w:rsidRPr="00D9726E">
        <w:rPr>
          <w:rFonts w:asciiTheme="minorHAnsi" w:hAnsiTheme="minorHAnsi" w:cstheme="minorHAnsi"/>
          <w:sz w:val="20"/>
        </w:rPr>
        <w:t>o skončení této smlouvy poskytne tato data za celé období dodávky.</w:t>
      </w:r>
    </w:p>
    <w:p w:rsidR="009D6C51" w:rsidRPr="00907983" w:rsidRDefault="009D6C51" w:rsidP="00907983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907983">
        <w:rPr>
          <w:rFonts w:asciiTheme="minorHAnsi" w:hAnsiTheme="minorHAnsi" w:cstheme="minorHAnsi"/>
          <w:color w:val="auto"/>
          <w:sz w:val="20"/>
        </w:rPr>
        <w:t xml:space="preserve">Z důvodu provozních potřeb může být v průběhu trvání smlouvy měněn počet měřících nebo OM </w:t>
      </w:r>
      <w:r w:rsidRPr="00907983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907983">
        <w:rPr>
          <w:rFonts w:asciiTheme="minorHAnsi" w:hAnsiTheme="minorHAnsi" w:cstheme="minorHAnsi"/>
          <w:color w:val="auto"/>
          <w:sz w:val="20"/>
        </w:rPr>
        <w:t xml:space="preserve">, a to jak zrušením OM uvedených v této smlouvě, tak zřízením nových OM, v této smlouvě neuvedených, a to v případě, že nebude překročeno sjednané množství elektřiny uvedené v čl. 4. odst. 2 o více než +5 %. V takovém případě se </w:t>
      </w:r>
      <w:r w:rsidRPr="00907983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907983">
        <w:rPr>
          <w:rFonts w:asciiTheme="minorHAnsi" w:hAnsiTheme="minorHAnsi" w:cstheme="minorHAnsi"/>
          <w:color w:val="auto"/>
          <w:sz w:val="20"/>
        </w:rPr>
        <w:t xml:space="preserve"> zavazuje garantovat cenu dle této smlouvy a neprodleně po oznámení o zřízení nového odběrného místa zahájit dodávku elektřiny. V případě, že v důsledku změny počtu odběrných míst by odchylka od sjednaného množství elektřiny uvedeného v čl. 4. odst. 2 přesáhla +5 %, není </w:t>
      </w:r>
      <w:r w:rsidRPr="00907983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907983">
        <w:rPr>
          <w:rFonts w:asciiTheme="minorHAnsi" w:hAnsiTheme="minorHAnsi" w:cstheme="minorHAnsi"/>
          <w:color w:val="auto"/>
          <w:sz w:val="20"/>
        </w:rPr>
        <w:t xml:space="preserve"> povinný dodávat elektřinu za cenu sjednanou v této smlouvě a změna počtu odběrných míst podléhá ujednání nové ceny. Změny počtu odběrných míst v průběhu dodávky budou vždy řešeny dodatkem k této Smlouvě.</w:t>
      </w:r>
    </w:p>
    <w:p w:rsidR="009D6C51" w:rsidRPr="002B5E6C" w:rsidRDefault="009D6C51" w:rsidP="005F7EDA">
      <w:pPr>
        <w:spacing w:before="4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5E6C">
        <w:rPr>
          <w:rFonts w:asciiTheme="minorHAnsi" w:hAnsiTheme="minorHAnsi" w:cstheme="minorHAnsi"/>
          <w:b/>
          <w:sz w:val="24"/>
          <w:szCs w:val="24"/>
        </w:rPr>
        <w:t>Čl. 6.</w:t>
      </w:r>
    </w:p>
    <w:p w:rsidR="009D6C51" w:rsidRPr="002B5E6C" w:rsidRDefault="009D6C51" w:rsidP="005F7EDA">
      <w:pPr>
        <w:spacing w:after="36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B5E6C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:rsidR="009D6C51" w:rsidRPr="00907983" w:rsidRDefault="009D6C51" w:rsidP="00725123">
      <w:pPr>
        <w:pStyle w:val="Odstavecseseznamem"/>
        <w:numPr>
          <w:ilvl w:val="0"/>
          <w:numId w:val="18"/>
        </w:numPr>
        <w:spacing w:after="120"/>
        <w:ind w:left="425" w:hanging="567"/>
        <w:contextualSpacing w:val="0"/>
        <w:rPr>
          <w:rFonts w:asciiTheme="minorHAnsi" w:hAnsiTheme="minorHAnsi" w:cstheme="minorHAnsi"/>
        </w:rPr>
      </w:pPr>
      <w:r w:rsidRPr="00907983">
        <w:rPr>
          <w:rFonts w:asciiTheme="minorHAnsi" w:hAnsiTheme="minorHAnsi" w:cstheme="minorHAnsi"/>
        </w:rPr>
        <w:t xml:space="preserve">Tato </w:t>
      </w:r>
      <w:r w:rsidRPr="00907983">
        <w:rPr>
          <w:rFonts w:asciiTheme="minorHAnsi" w:hAnsiTheme="minorHAnsi" w:cstheme="minorHAnsi"/>
          <w:b/>
        </w:rPr>
        <w:t>Smlouva</w:t>
      </w:r>
      <w:r w:rsidRPr="00907983">
        <w:rPr>
          <w:rFonts w:asciiTheme="minorHAnsi" w:hAnsiTheme="minorHAnsi" w:cstheme="minorHAnsi"/>
        </w:rPr>
        <w:t xml:space="preserve"> se uzavírá na dobu určitou </w:t>
      </w:r>
      <w:r w:rsidRPr="00907983">
        <w:rPr>
          <w:rFonts w:asciiTheme="minorHAnsi" w:hAnsiTheme="minorHAnsi" w:cstheme="minorHAnsi"/>
          <w:b/>
        </w:rPr>
        <w:t>1.1.2019</w:t>
      </w:r>
      <w:r w:rsidRPr="00907983">
        <w:rPr>
          <w:rFonts w:asciiTheme="minorHAnsi" w:hAnsiTheme="minorHAnsi" w:cstheme="minorHAnsi"/>
        </w:rPr>
        <w:t xml:space="preserve"> </w:t>
      </w:r>
      <w:r w:rsidRPr="00D9726E">
        <w:rPr>
          <w:rFonts w:asciiTheme="minorHAnsi" w:hAnsiTheme="minorHAnsi" w:cstheme="minorHAnsi"/>
          <w:b/>
        </w:rPr>
        <w:t>00:00 hod.</w:t>
      </w:r>
      <w:r>
        <w:rPr>
          <w:rFonts w:asciiTheme="minorHAnsi" w:hAnsiTheme="minorHAnsi" w:cstheme="minorHAnsi"/>
        </w:rPr>
        <w:t xml:space="preserve"> </w:t>
      </w:r>
      <w:r w:rsidRPr="00907983">
        <w:rPr>
          <w:rFonts w:asciiTheme="minorHAnsi" w:hAnsiTheme="minorHAnsi" w:cstheme="minorHAnsi"/>
        </w:rPr>
        <w:t xml:space="preserve">do </w:t>
      </w:r>
      <w:r w:rsidRPr="00907983">
        <w:rPr>
          <w:rFonts w:asciiTheme="minorHAnsi" w:hAnsiTheme="minorHAnsi" w:cstheme="minorHAnsi"/>
          <w:b/>
        </w:rPr>
        <w:t>31.12.2019</w:t>
      </w:r>
      <w:r>
        <w:rPr>
          <w:rFonts w:asciiTheme="minorHAnsi" w:hAnsiTheme="minorHAnsi" w:cstheme="minorHAnsi"/>
          <w:b/>
        </w:rPr>
        <w:t xml:space="preserve"> 24:00 hod.</w:t>
      </w:r>
    </w:p>
    <w:p w:rsidR="009D6C51" w:rsidRPr="002B5E6C" w:rsidRDefault="009D6C51" w:rsidP="00725123">
      <w:pPr>
        <w:pStyle w:val="Odstavecseseznamem"/>
        <w:numPr>
          <w:ilvl w:val="0"/>
          <w:numId w:val="18"/>
        </w:numPr>
        <w:spacing w:after="120"/>
        <w:ind w:left="425" w:hanging="567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>nabývá platnosti dnem uzavření</w:t>
      </w:r>
      <w:r>
        <w:rPr>
          <w:rFonts w:asciiTheme="minorHAnsi" w:hAnsiTheme="minorHAnsi" w:cstheme="minorHAnsi"/>
        </w:rPr>
        <w:t>.</w:t>
      </w:r>
      <w:r w:rsidRPr="00696B82">
        <w:rPr>
          <w:rFonts w:asciiTheme="minorHAnsi" w:hAnsiTheme="minorHAnsi" w:cstheme="minorHAnsi"/>
        </w:rPr>
        <w:t xml:space="preserve"> Účinnost </w:t>
      </w:r>
      <w:r>
        <w:rPr>
          <w:rFonts w:asciiTheme="minorHAnsi" w:hAnsiTheme="minorHAnsi" w:cstheme="minorHAnsi"/>
          <w:b/>
        </w:rPr>
        <w:t xml:space="preserve">Smlouva </w:t>
      </w:r>
      <w:r>
        <w:rPr>
          <w:rFonts w:asciiTheme="minorHAnsi" w:hAnsiTheme="minorHAnsi" w:cstheme="minorHAnsi"/>
        </w:rPr>
        <w:t>nabývá jejím uveřejněním v registru smluv.</w:t>
      </w:r>
    </w:p>
    <w:p w:rsidR="009D6C51" w:rsidRPr="002B5E6C" w:rsidRDefault="009D6C51" w:rsidP="00725123">
      <w:pPr>
        <w:tabs>
          <w:tab w:val="left" w:pos="426"/>
        </w:tabs>
        <w:spacing w:before="4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5E6C">
        <w:rPr>
          <w:rFonts w:asciiTheme="minorHAnsi" w:hAnsiTheme="minorHAnsi" w:cstheme="minorHAnsi"/>
          <w:b/>
          <w:sz w:val="24"/>
          <w:szCs w:val="24"/>
        </w:rPr>
        <w:t>Čl. 7.</w:t>
      </w:r>
    </w:p>
    <w:p w:rsidR="009D6C51" w:rsidRPr="002B5E6C" w:rsidRDefault="009D6C51" w:rsidP="006B1B37">
      <w:pPr>
        <w:spacing w:after="36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B5E6C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:rsidR="009D6C51" w:rsidRPr="002B5E6C" w:rsidRDefault="009D6C51" w:rsidP="009647A9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  <w:b/>
        </w:rPr>
        <w:t>Zákazník</w:t>
      </w:r>
      <w:r w:rsidRPr="002B5E6C">
        <w:rPr>
          <w:rFonts w:asciiTheme="minorHAnsi" w:hAnsiTheme="minorHAnsi" w:cstheme="minorHAnsi"/>
        </w:rPr>
        <w:t xml:space="preserve"> podpisem této </w:t>
      </w:r>
      <w:r w:rsidRPr="002B5E6C">
        <w:rPr>
          <w:rFonts w:asciiTheme="minorHAnsi" w:hAnsiTheme="minorHAnsi" w:cstheme="minorHAnsi"/>
          <w:b/>
        </w:rPr>
        <w:t>Smlouvy</w:t>
      </w:r>
      <w:r w:rsidRPr="002B5E6C">
        <w:rPr>
          <w:rFonts w:asciiTheme="minorHAnsi" w:hAnsiTheme="minorHAnsi" w:cstheme="minorHAnsi"/>
        </w:rPr>
        <w:t xml:space="preserve"> potvrzuje, že převzal Obchodní podmínky dodávky elektřiny, které tvoří </w:t>
      </w:r>
      <w:r w:rsidRPr="002B5E6C">
        <w:rPr>
          <w:rFonts w:asciiTheme="minorHAnsi" w:hAnsiTheme="minorHAnsi" w:cstheme="minorHAnsi"/>
          <w:b/>
        </w:rPr>
        <w:t>Přílohu č.1</w:t>
      </w:r>
      <w:r w:rsidRPr="002B5E6C">
        <w:rPr>
          <w:rFonts w:asciiTheme="minorHAnsi" w:hAnsiTheme="minorHAnsi" w:cstheme="minorHAnsi"/>
        </w:rPr>
        <w:t xml:space="preserve"> této </w:t>
      </w:r>
      <w:r w:rsidRPr="002B5E6C">
        <w:rPr>
          <w:rFonts w:asciiTheme="minorHAnsi" w:hAnsiTheme="minorHAnsi" w:cstheme="minorHAnsi"/>
          <w:b/>
        </w:rPr>
        <w:t xml:space="preserve">Smlouvy </w:t>
      </w:r>
      <w:r w:rsidRPr="002B5E6C">
        <w:rPr>
          <w:rFonts w:asciiTheme="minorHAnsi" w:hAnsiTheme="minorHAnsi" w:cstheme="minorHAnsi"/>
        </w:rPr>
        <w:t xml:space="preserve">(dále jen OPD). </w:t>
      </w:r>
    </w:p>
    <w:p w:rsidR="009D6C51" w:rsidRPr="002B5E6C" w:rsidRDefault="009D6C51" w:rsidP="009647A9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2B5E6C">
        <w:rPr>
          <w:rFonts w:asciiTheme="minorHAnsi" w:hAnsiTheme="minorHAnsi" w:cstheme="minorHAnsi"/>
          <w:b/>
        </w:rPr>
        <w:t>Smlouvy</w:t>
      </w:r>
      <w:r w:rsidRPr="002B5E6C">
        <w:rPr>
          <w:rFonts w:asciiTheme="minorHAnsi" w:hAnsiTheme="minorHAnsi" w:cstheme="minorHAnsi"/>
        </w:rPr>
        <w:t xml:space="preserve"> a dalším úkonům, včetně přijetí změn této </w:t>
      </w:r>
      <w:r w:rsidRPr="002B5E6C">
        <w:rPr>
          <w:rFonts w:asciiTheme="minorHAnsi" w:hAnsiTheme="minorHAnsi" w:cstheme="minorHAnsi"/>
          <w:b/>
        </w:rPr>
        <w:t>Smlouvy</w:t>
      </w:r>
      <w:r w:rsidRPr="002B5E6C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t</w:t>
      </w:r>
      <w:r w:rsidRPr="002B5E6C">
        <w:rPr>
          <w:rFonts w:asciiTheme="minorHAnsi" w:hAnsiTheme="minorHAnsi" w:cstheme="minorHAnsi"/>
        </w:rPr>
        <w:t xml:space="preserve">aké určují doručovací adresy pro vzájemnou komunikaci; Tyto osoby a adresy jsou uvedeny v </w:t>
      </w:r>
      <w:r w:rsidRPr="002B5E6C">
        <w:rPr>
          <w:rFonts w:asciiTheme="minorHAnsi" w:hAnsiTheme="minorHAnsi" w:cstheme="minorHAnsi"/>
          <w:b/>
        </w:rPr>
        <w:t>Příloze č. 3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této </w:t>
      </w:r>
      <w:r w:rsidRPr="00E96B9B">
        <w:rPr>
          <w:rFonts w:asciiTheme="minorHAnsi" w:hAnsiTheme="minorHAnsi" w:cstheme="minorHAnsi"/>
          <w:b/>
        </w:rPr>
        <w:t>Smlouvy</w:t>
      </w:r>
      <w:r>
        <w:rPr>
          <w:rFonts w:asciiTheme="minorHAnsi" w:hAnsiTheme="minorHAnsi" w:cstheme="minorHAnsi"/>
        </w:rPr>
        <w:t>.</w:t>
      </w:r>
    </w:p>
    <w:p w:rsidR="009D6C51" w:rsidRPr="002B5E6C" w:rsidRDefault="009D6C51" w:rsidP="00725123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 xml:space="preserve">Tuto </w:t>
      </w:r>
      <w:r w:rsidRPr="002B5E6C">
        <w:rPr>
          <w:rFonts w:asciiTheme="minorHAnsi" w:hAnsiTheme="minorHAnsi" w:cstheme="minorHAnsi"/>
          <w:b/>
        </w:rPr>
        <w:t>Smlouvu</w:t>
      </w:r>
      <w:r w:rsidRPr="002B5E6C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smluvních stran, takže jakákoliv ústní ujednání o změnách této </w:t>
      </w:r>
      <w:r w:rsidRPr="002B5E6C">
        <w:rPr>
          <w:rFonts w:asciiTheme="minorHAnsi" w:hAnsiTheme="minorHAnsi" w:cstheme="minorHAnsi"/>
          <w:b/>
        </w:rPr>
        <w:t>Smlouvy</w:t>
      </w:r>
      <w:r w:rsidRPr="002B5E6C">
        <w:rPr>
          <w:rFonts w:asciiTheme="minorHAnsi" w:hAnsiTheme="minorHAnsi" w:cstheme="minorHAnsi"/>
        </w:rPr>
        <w:t xml:space="preserve"> budou považována za právně neplatná a neúčinná. </w:t>
      </w:r>
    </w:p>
    <w:p w:rsidR="009D6C51" w:rsidRPr="002B5E6C" w:rsidRDefault="009D6C51" w:rsidP="00725123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 xml:space="preserve">Pokud by jakýkoliv závazek (povinnost) podle této </w:t>
      </w:r>
      <w:r w:rsidRPr="002B5E6C">
        <w:rPr>
          <w:rFonts w:asciiTheme="minorHAnsi" w:hAnsiTheme="minorHAnsi" w:cstheme="minorHAnsi"/>
          <w:b/>
        </w:rPr>
        <w:t>Smlouvy</w:t>
      </w:r>
      <w:r w:rsidRPr="002B5E6C">
        <w:rPr>
          <w:rFonts w:asciiTheme="minorHAnsi" w:hAnsiTheme="minorHAnsi" w:cstheme="minorHAnsi"/>
        </w:rPr>
        <w:t xml:space="preserve"> </w:t>
      </w:r>
      <w:r w:rsidRPr="002B5E6C">
        <w:rPr>
          <w:rFonts w:asciiTheme="minorHAnsi" w:hAnsiTheme="minorHAnsi" w:cstheme="minorHAnsi"/>
          <w:b/>
        </w:rPr>
        <w:t>oddělitelný od ostatního obsahu</w:t>
      </w:r>
      <w:r w:rsidRPr="002B5E6C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2B5E6C">
        <w:rPr>
          <w:rFonts w:asciiTheme="minorHAnsi" w:hAnsiTheme="minorHAnsi" w:cstheme="minorHAnsi"/>
          <w:b/>
        </w:rPr>
        <w:t>Smlouvy</w:t>
      </w:r>
      <w:r>
        <w:rPr>
          <w:rFonts w:asciiTheme="minorHAnsi" w:hAnsiTheme="minorHAnsi" w:cstheme="minorHAnsi"/>
        </w:rPr>
        <w:t>; S</w:t>
      </w:r>
      <w:r w:rsidRPr="002B5E6C">
        <w:rPr>
          <w:rFonts w:asciiTheme="minorHAnsi" w:hAnsiTheme="minorHAnsi" w:cstheme="minorHAnsi"/>
        </w:rPr>
        <w:t>mluvní strany se zavazují nahradit takovýto neplatný nebo nevymahatelný závazek (povinnost) novým, platným a vymahatelným závazkem (povinností)</w:t>
      </w:r>
      <w:r>
        <w:rPr>
          <w:rFonts w:asciiTheme="minorHAnsi" w:hAnsiTheme="minorHAnsi" w:cstheme="minorHAnsi"/>
        </w:rPr>
        <w:t>,</w:t>
      </w:r>
      <w:r w:rsidRPr="002B5E6C">
        <w:rPr>
          <w:rFonts w:asciiTheme="minorHAnsi" w:hAnsiTheme="minorHAnsi" w:cstheme="minorHAnsi"/>
        </w:rPr>
        <w:t xml:space="preserve"> jehož předmět bude nejvhodněji odpovídat předmětu a účelu původního závazku (povinnosti); pokud by tato </w:t>
      </w:r>
      <w:r w:rsidRPr="002B5E6C">
        <w:rPr>
          <w:rFonts w:asciiTheme="minorHAnsi" w:hAnsiTheme="minorHAnsi" w:cstheme="minorHAnsi"/>
          <w:b/>
        </w:rPr>
        <w:t>Smlouva</w:t>
      </w:r>
      <w:r w:rsidRPr="002B5E6C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>
        <w:rPr>
          <w:rFonts w:asciiTheme="minorHAnsi" w:hAnsiTheme="minorHAnsi" w:cstheme="minorHAnsi"/>
        </w:rPr>
        <w:t>S</w:t>
      </w:r>
      <w:r w:rsidRPr="002B5E6C">
        <w:rPr>
          <w:rFonts w:asciiTheme="minorHAnsi" w:hAnsiTheme="minorHAnsi" w:cstheme="minorHAnsi"/>
        </w:rPr>
        <w:t xml:space="preserve">mluvní strany se zavazují takové ustanovení do </w:t>
      </w:r>
      <w:r w:rsidRPr="002B5E6C">
        <w:rPr>
          <w:rFonts w:asciiTheme="minorHAnsi" w:hAnsiTheme="minorHAnsi" w:cstheme="minorHAnsi"/>
          <w:b/>
        </w:rPr>
        <w:t>Smlouvy</w:t>
      </w:r>
      <w:r w:rsidRPr="002B5E6C">
        <w:rPr>
          <w:rFonts w:asciiTheme="minorHAnsi" w:hAnsiTheme="minorHAnsi" w:cstheme="minorHAnsi"/>
        </w:rPr>
        <w:t xml:space="preserve"> doplnit; ostatní ustanovení této </w:t>
      </w:r>
      <w:r w:rsidRPr="002B5E6C">
        <w:rPr>
          <w:rFonts w:asciiTheme="minorHAnsi" w:hAnsiTheme="minorHAnsi" w:cstheme="minorHAnsi"/>
          <w:b/>
        </w:rPr>
        <w:t>Smlouvy</w:t>
      </w:r>
      <w:r w:rsidRPr="002B5E6C">
        <w:rPr>
          <w:rFonts w:asciiTheme="minorHAnsi" w:hAnsiTheme="minorHAnsi" w:cstheme="minorHAnsi"/>
        </w:rPr>
        <w:t xml:space="preserve"> zůstávají beze změny.</w:t>
      </w:r>
    </w:p>
    <w:p w:rsidR="009D6C51" w:rsidRPr="002B5E6C" w:rsidRDefault="009D6C51" w:rsidP="00725123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 xml:space="preserve">Tato </w:t>
      </w:r>
      <w:r w:rsidRPr="002B5E6C">
        <w:rPr>
          <w:rFonts w:asciiTheme="minorHAnsi" w:hAnsiTheme="minorHAnsi" w:cstheme="minorHAnsi"/>
          <w:b/>
        </w:rPr>
        <w:t>Smlouva</w:t>
      </w:r>
      <w:r w:rsidRPr="002B5E6C">
        <w:rPr>
          <w:rFonts w:asciiTheme="minorHAnsi" w:hAnsiTheme="minorHAnsi" w:cstheme="minorHAnsi"/>
        </w:rPr>
        <w:t xml:space="preserve"> se řídí právem České republiky; není-li v této </w:t>
      </w:r>
      <w:r w:rsidRPr="002B5E6C">
        <w:rPr>
          <w:rFonts w:asciiTheme="minorHAnsi" w:hAnsiTheme="minorHAnsi" w:cstheme="minorHAnsi"/>
          <w:b/>
        </w:rPr>
        <w:t>Smlouv</w:t>
      </w:r>
      <w:r w:rsidRPr="002B5E6C">
        <w:rPr>
          <w:rFonts w:asciiTheme="minorHAnsi" w:hAnsiTheme="minorHAnsi" w:cstheme="minorHAnsi"/>
        </w:rPr>
        <w:t xml:space="preserve">ě uvedeno </w:t>
      </w:r>
      <w:r>
        <w:rPr>
          <w:rFonts w:asciiTheme="minorHAnsi" w:hAnsiTheme="minorHAnsi" w:cstheme="minorHAnsi"/>
        </w:rPr>
        <w:t>jinak, řídí se vzájemné vztahy S</w:t>
      </w:r>
      <w:r w:rsidRPr="002B5E6C">
        <w:rPr>
          <w:rFonts w:asciiTheme="minorHAnsi" w:hAnsiTheme="minorHAnsi" w:cstheme="minorHAnsi"/>
        </w:rPr>
        <w:t>mluvních stran příslušnými ustanoveními Energetického zákona a jeho prováděcími předpisy (vyhlášky, c</w:t>
      </w:r>
      <w:r>
        <w:rPr>
          <w:rFonts w:asciiTheme="minorHAnsi" w:hAnsiTheme="minorHAnsi" w:cstheme="minorHAnsi"/>
        </w:rPr>
        <w:t>enové rozhodnutí ERÚ, apod.) a o</w:t>
      </w:r>
      <w:r w:rsidRPr="002B5E6C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:rsidR="009D6C51" w:rsidRPr="002B5E6C" w:rsidRDefault="009D6C51" w:rsidP="00725123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Při zániku jedné nebo druhé S</w:t>
      </w:r>
      <w:r w:rsidRPr="002B5E6C">
        <w:rPr>
          <w:rFonts w:asciiTheme="minorHAnsi" w:hAnsiTheme="minorHAnsi" w:cstheme="minorHAnsi"/>
        </w:rPr>
        <w:t xml:space="preserve">mluvní strany, přecházejí smluvní závazky z této </w:t>
      </w:r>
      <w:r w:rsidRPr="002B5E6C">
        <w:rPr>
          <w:rFonts w:asciiTheme="minorHAnsi" w:hAnsiTheme="minorHAnsi" w:cstheme="minorHAnsi"/>
          <w:b/>
        </w:rPr>
        <w:t>Smlouvy</w:t>
      </w:r>
      <w:r w:rsidRPr="002B5E6C">
        <w:rPr>
          <w:rFonts w:asciiTheme="minorHAnsi" w:hAnsiTheme="minorHAnsi" w:cstheme="minorHAnsi"/>
        </w:rPr>
        <w:t xml:space="preserve"> n</w:t>
      </w:r>
      <w:r>
        <w:rPr>
          <w:rFonts w:asciiTheme="minorHAnsi" w:hAnsiTheme="minorHAnsi" w:cstheme="minorHAnsi"/>
        </w:rPr>
        <w:t>a právního nástupce zanikající S</w:t>
      </w:r>
      <w:r w:rsidRPr="002B5E6C">
        <w:rPr>
          <w:rFonts w:asciiTheme="minorHAnsi" w:hAnsiTheme="minorHAnsi" w:cstheme="minorHAnsi"/>
        </w:rPr>
        <w:t>mluvní strany.</w:t>
      </w:r>
    </w:p>
    <w:p w:rsidR="009D6C51" w:rsidRPr="002B5E6C" w:rsidRDefault="009D6C51" w:rsidP="00725123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  <w:b/>
        </w:rPr>
        <w:t>Smlouva</w:t>
      </w:r>
      <w:r w:rsidRPr="002B5E6C">
        <w:rPr>
          <w:rFonts w:asciiTheme="minorHAnsi" w:hAnsiTheme="minorHAnsi" w:cstheme="minorHAnsi"/>
        </w:rPr>
        <w:t xml:space="preserve"> je vyhotovena ve dvou stejnopisech; po jejím </w:t>
      </w:r>
      <w:r>
        <w:rPr>
          <w:rFonts w:asciiTheme="minorHAnsi" w:hAnsiTheme="minorHAnsi" w:cstheme="minorHAnsi"/>
        </w:rPr>
        <w:t>podpisu obdrží každá ze S</w:t>
      </w:r>
      <w:r w:rsidRPr="002B5E6C">
        <w:rPr>
          <w:rFonts w:asciiTheme="minorHAnsi" w:hAnsiTheme="minorHAnsi" w:cstheme="minorHAnsi"/>
        </w:rPr>
        <w:t>mluvních stran jeden stejnopis.</w:t>
      </w:r>
    </w:p>
    <w:p w:rsidR="009D6C51" w:rsidRPr="002B5E6C" w:rsidRDefault="009D6C51" w:rsidP="00725123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</w:rPr>
        <w:t xml:space="preserve">Smluvní strany prohlašují, že k této </w:t>
      </w:r>
      <w:r w:rsidRPr="002B5E6C">
        <w:rPr>
          <w:rFonts w:asciiTheme="minorHAnsi" w:hAnsiTheme="minorHAnsi" w:cstheme="minorHAnsi"/>
          <w:b/>
        </w:rPr>
        <w:t>Smlouvě</w:t>
      </w:r>
      <w:r w:rsidRPr="002B5E6C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:rsidR="009D6C51" w:rsidRPr="002B5E6C" w:rsidRDefault="009D6C51" w:rsidP="00725123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  <w:b/>
        </w:rPr>
        <w:t>Obchodník</w:t>
      </w:r>
      <w:r w:rsidRPr="002B5E6C">
        <w:rPr>
          <w:rFonts w:asciiTheme="minorHAnsi" w:hAnsiTheme="minorHAnsi" w:cstheme="minorHAnsi"/>
        </w:rPr>
        <w:t xml:space="preserve"> je oprávněn zveřejnit, že </w:t>
      </w:r>
      <w:r w:rsidRPr="002B5E6C">
        <w:rPr>
          <w:rFonts w:asciiTheme="minorHAnsi" w:hAnsiTheme="minorHAnsi" w:cstheme="minorHAnsi"/>
          <w:b/>
        </w:rPr>
        <w:t>Zákazník</w:t>
      </w:r>
      <w:r w:rsidRPr="002B5E6C">
        <w:rPr>
          <w:rFonts w:asciiTheme="minorHAnsi" w:hAnsiTheme="minorHAnsi" w:cstheme="minorHAnsi"/>
        </w:rPr>
        <w:t xml:space="preserve"> odebírá elektrickou energii od </w:t>
      </w:r>
      <w:r w:rsidRPr="002B5E6C">
        <w:rPr>
          <w:rFonts w:asciiTheme="minorHAnsi" w:hAnsiTheme="minorHAnsi" w:cstheme="minorHAnsi"/>
          <w:b/>
        </w:rPr>
        <w:t>Obchodníka</w:t>
      </w:r>
      <w:r w:rsidRPr="002B5E6C">
        <w:rPr>
          <w:rFonts w:asciiTheme="minorHAnsi" w:hAnsiTheme="minorHAnsi" w:cstheme="minorHAnsi"/>
        </w:rPr>
        <w:t xml:space="preserve">. Tuto informaci je </w:t>
      </w:r>
      <w:r w:rsidRPr="002B5E6C">
        <w:rPr>
          <w:rFonts w:asciiTheme="minorHAnsi" w:hAnsiTheme="minorHAnsi" w:cstheme="minorHAnsi"/>
          <w:b/>
        </w:rPr>
        <w:t>Obchodník</w:t>
      </w:r>
      <w:r w:rsidRPr="002B5E6C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komunikace. Za tímto účelem je oprávněn použít též aktuálního loga </w:t>
      </w:r>
      <w:r w:rsidRPr="002B5E6C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ve správné podobě</w:t>
      </w:r>
      <w:r w:rsidRPr="002B5E6C">
        <w:rPr>
          <w:rFonts w:asciiTheme="minorHAnsi" w:hAnsiTheme="minorHAnsi" w:cstheme="minorHAnsi"/>
        </w:rPr>
        <w:t>.</w:t>
      </w:r>
    </w:p>
    <w:p w:rsidR="009D6C51" w:rsidRDefault="009D6C51" w:rsidP="00725123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  <w:b/>
        </w:rPr>
        <w:t>Obchodník</w:t>
      </w:r>
      <w:r w:rsidRPr="002B5E6C">
        <w:rPr>
          <w:rFonts w:asciiTheme="minorHAnsi" w:hAnsiTheme="minorHAnsi" w:cstheme="minorHAnsi"/>
        </w:rPr>
        <w:t xml:space="preserve"> souhlasí, že </w:t>
      </w:r>
      <w:r w:rsidRPr="002B5E6C">
        <w:rPr>
          <w:rFonts w:asciiTheme="minorHAnsi" w:hAnsiTheme="minorHAnsi" w:cstheme="minorHAnsi"/>
          <w:b/>
        </w:rPr>
        <w:t>Zákazník</w:t>
      </w:r>
      <w:r w:rsidRPr="002B5E6C">
        <w:rPr>
          <w:rFonts w:asciiTheme="minorHAnsi" w:hAnsiTheme="minorHAnsi" w:cstheme="minorHAnsi"/>
        </w:rPr>
        <w:t xml:space="preserve"> podléhá režimu zákona č. 106/1999 Sb. o svobodném přístupu k informacím v platném znění a je oprávněn obsah </w:t>
      </w:r>
      <w:r>
        <w:rPr>
          <w:rFonts w:asciiTheme="minorHAnsi" w:hAnsiTheme="minorHAnsi" w:cstheme="minorHAnsi"/>
        </w:rPr>
        <w:t>S</w:t>
      </w:r>
      <w:r w:rsidRPr="002B5E6C">
        <w:rPr>
          <w:rFonts w:asciiTheme="minorHAnsi" w:hAnsiTheme="minorHAnsi" w:cstheme="minorHAnsi"/>
        </w:rPr>
        <w:t>mlouvy včetně příloh a případných dodatků v plném rozsahu zveřejnit na svých internetových stránkách/profilu zadavatele, a to po dobu časově neomezenou.</w:t>
      </w:r>
    </w:p>
    <w:p w:rsidR="009D6C51" w:rsidRPr="009E35B2" w:rsidRDefault="009D6C51" w:rsidP="009E35B2">
      <w:pPr>
        <w:spacing w:after="120" w:line="276" w:lineRule="auto"/>
        <w:ind w:left="426"/>
        <w:rPr>
          <w:rFonts w:asciiTheme="minorHAnsi" w:hAnsiTheme="minorHAnsi" w:cstheme="minorHAnsi"/>
        </w:rPr>
      </w:pPr>
      <w:r w:rsidRPr="009E35B2">
        <w:rPr>
          <w:rFonts w:asciiTheme="minorHAnsi" w:hAnsiTheme="minorHAnsi" w:cstheme="minorHAnsi"/>
          <w:b/>
        </w:rPr>
        <w:t>Obchodník</w:t>
      </w:r>
      <w:r w:rsidRPr="009E35B2">
        <w:rPr>
          <w:rFonts w:asciiTheme="minorHAnsi" w:hAnsiTheme="minorHAnsi" w:cstheme="minorHAnsi"/>
        </w:rPr>
        <w:t xml:space="preserve"> bere dále na vědomí, že </w:t>
      </w:r>
      <w:r w:rsidRPr="009E35B2">
        <w:rPr>
          <w:rFonts w:asciiTheme="minorHAnsi" w:hAnsiTheme="minorHAnsi" w:cstheme="minorHAnsi"/>
          <w:b/>
        </w:rPr>
        <w:t>Zákazník</w:t>
      </w:r>
      <w:r w:rsidRPr="009E35B2">
        <w:rPr>
          <w:rFonts w:asciiTheme="minorHAnsi" w:hAnsiTheme="minorHAnsi" w:cstheme="minorHAnsi"/>
        </w:rPr>
        <w:t xml:space="preserve"> je povinen za podmínek stanovených v zákoně č. 340/2015 Sb., o registru smluv, </w:t>
      </w:r>
      <w:r>
        <w:rPr>
          <w:rFonts w:asciiTheme="minorHAnsi" w:hAnsiTheme="minorHAnsi" w:cstheme="minorHAnsi"/>
        </w:rPr>
        <w:t xml:space="preserve">ve znění pozdějších předpisů, </w:t>
      </w:r>
      <w:r w:rsidRPr="009E35B2">
        <w:rPr>
          <w:rFonts w:asciiTheme="minorHAnsi" w:hAnsiTheme="minorHAnsi" w:cstheme="minorHAnsi"/>
        </w:rPr>
        <w:t xml:space="preserve">tuto </w:t>
      </w:r>
      <w:r w:rsidRPr="009E35B2">
        <w:rPr>
          <w:rFonts w:asciiTheme="minorHAnsi" w:hAnsiTheme="minorHAnsi" w:cstheme="minorHAnsi"/>
          <w:b/>
        </w:rPr>
        <w:t>Smlouvu</w:t>
      </w:r>
      <w:r w:rsidRPr="009E35B2">
        <w:rPr>
          <w:rFonts w:asciiTheme="minorHAnsi" w:hAnsiTheme="minorHAnsi" w:cstheme="minorHAnsi"/>
        </w:rPr>
        <w:t xml:space="preserve">, včetně všech jejích příloh zveřejnit na portálu veřejné správy v registru smluv. </w:t>
      </w:r>
      <w:r w:rsidRPr="009E35B2">
        <w:rPr>
          <w:rFonts w:asciiTheme="minorHAnsi" w:hAnsiTheme="minorHAnsi" w:cstheme="minorHAnsi"/>
          <w:b/>
        </w:rPr>
        <w:t>Obchodník</w:t>
      </w:r>
      <w:r w:rsidRPr="009E35B2">
        <w:rPr>
          <w:rFonts w:asciiTheme="minorHAnsi" w:hAnsiTheme="minorHAnsi" w:cstheme="minorHAnsi"/>
        </w:rPr>
        <w:t xml:space="preserve"> souhlasí se zveřejněním </w:t>
      </w:r>
      <w:r w:rsidRPr="009E35B2">
        <w:rPr>
          <w:rFonts w:asciiTheme="minorHAnsi" w:hAnsiTheme="minorHAnsi" w:cstheme="minorHAnsi"/>
          <w:b/>
        </w:rPr>
        <w:t>Smlouvy</w:t>
      </w:r>
      <w:r w:rsidRPr="009E35B2">
        <w:rPr>
          <w:rFonts w:asciiTheme="minorHAnsi" w:hAnsiTheme="minorHAnsi" w:cstheme="minorHAnsi"/>
        </w:rPr>
        <w:t xml:space="preserve"> a všech jejích příloh v plném rozsahu, vyjma podpisů zástupců smluvních stran jakožto osobních údajů chráněných dle příslušných právních předpisů. Smluvní strany se dohodly, že zveřejnění </w:t>
      </w:r>
      <w:r w:rsidRPr="009E35B2">
        <w:rPr>
          <w:rFonts w:asciiTheme="minorHAnsi" w:hAnsiTheme="minorHAnsi" w:cstheme="minorHAnsi"/>
          <w:b/>
        </w:rPr>
        <w:t>Smlouvy</w:t>
      </w:r>
      <w:r w:rsidRPr="009E35B2">
        <w:rPr>
          <w:rFonts w:asciiTheme="minorHAnsi" w:hAnsiTheme="minorHAnsi" w:cstheme="minorHAnsi"/>
        </w:rPr>
        <w:t xml:space="preserve"> zajistí </w:t>
      </w:r>
      <w:r w:rsidRPr="009E35B2">
        <w:rPr>
          <w:rFonts w:asciiTheme="minorHAnsi" w:hAnsiTheme="minorHAnsi" w:cstheme="minorHAnsi"/>
          <w:b/>
        </w:rPr>
        <w:t>Zákazník</w:t>
      </w:r>
      <w:r w:rsidRPr="009E35B2">
        <w:rPr>
          <w:rFonts w:asciiTheme="minorHAnsi" w:hAnsiTheme="minorHAnsi" w:cstheme="minorHAnsi"/>
        </w:rPr>
        <w:t xml:space="preserve">, přičemž se o tom zavazuje neprodleně informovat </w:t>
      </w:r>
      <w:r w:rsidRPr="009E35B2">
        <w:rPr>
          <w:rFonts w:asciiTheme="minorHAnsi" w:hAnsiTheme="minorHAnsi" w:cstheme="minorHAnsi"/>
          <w:b/>
        </w:rPr>
        <w:t>Obchodníka</w:t>
      </w:r>
      <w:r w:rsidRPr="009E35B2">
        <w:rPr>
          <w:rFonts w:asciiTheme="minorHAnsi" w:hAnsiTheme="minorHAnsi" w:cstheme="minorHAnsi"/>
        </w:rPr>
        <w:t xml:space="preserve"> na e-mailovou adresu </w:t>
      </w:r>
      <w:r>
        <w:rPr>
          <w:rFonts w:asciiTheme="minorHAnsi" w:hAnsiTheme="minorHAnsi" w:cstheme="minorHAnsi"/>
          <w:lang w:val="en-GB"/>
        </w:rPr>
        <w:t>david.hruza@ppas.cz</w:t>
      </w:r>
      <w:r w:rsidRPr="009E35B2">
        <w:rPr>
          <w:rFonts w:asciiTheme="minorHAnsi" w:hAnsiTheme="minorHAnsi" w:cstheme="minorHAnsi"/>
        </w:rPr>
        <w:t xml:space="preserve"> nebo do jeho datové schránky. Data uvedená v registračním listu </w:t>
      </w:r>
      <w:r w:rsidRPr="009E35B2">
        <w:rPr>
          <w:rFonts w:asciiTheme="minorHAnsi" w:hAnsiTheme="minorHAnsi" w:cstheme="minorHAnsi"/>
          <w:b/>
        </w:rPr>
        <w:t>Smlouvy</w:t>
      </w:r>
      <w:r w:rsidRPr="009E35B2">
        <w:rPr>
          <w:rFonts w:asciiTheme="minorHAnsi" w:hAnsiTheme="minorHAnsi" w:cstheme="minorHAnsi"/>
        </w:rPr>
        <w:t xml:space="preserve"> dle čl. X. odst. 8 OPD nejsou pro </w:t>
      </w:r>
      <w:r w:rsidRPr="009E35B2">
        <w:rPr>
          <w:rFonts w:asciiTheme="minorHAnsi" w:hAnsiTheme="minorHAnsi" w:cstheme="minorHAnsi"/>
          <w:b/>
        </w:rPr>
        <w:t>Zákazníka</w:t>
      </w:r>
      <w:r w:rsidRPr="009E35B2">
        <w:rPr>
          <w:rFonts w:asciiTheme="minorHAnsi" w:hAnsiTheme="minorHAnsi" w:cstheme="minorHAnsi"/>
        </w:rPr>
        <w:t xml:space="preserve"> při zveřejňování </w:t>
      </w:r>
      <w:r w:rsidRPr="009E35B2">
        <w:rPr>
          <w:rFonts w:asciiTheme="minorHAnsi" w:hAnsiTheme="minorHAnsi" w:cstheme="minorHAnsi"/>
          <w:b/>
        </w:rPr>
        <w:t>Smlouvy</w:t>
      </w:r>
      <w:r w:rsidRPr="009E35B2">
        <w:rPr>
          <w:rFonts w:asciiTheme="minorHAnsi" w:hAnsiTheme="minorHAnsi" w:cstheme="minorHAnsi"/>
        </w:rPr>
        <w:t xml:space="preserve"> závazná.</w:t>
      </w:r>
    </w:p>
    <w:p w:rsidR="009D6C51" w:rsidRDefault="009D6C51" w:rsidP="00883F24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schválení právního úkonu dle </w:t>
      </w:r>
      <w:r>
        <w:rPr>
          <w:rFonts w:asciiTheme="minorHAnsi" w:hAnsiTheme="minorHAnsi" w:cstheme="minorHAnsi"/>
        </w:rPr>
        <w:t xml:space="preserve">ust. </w:t>
      </w:r>
      <w:r w:rsidRPr="00696B82">
        <w:rPr>
          <w:rFonts w:asciiTheme="minorHAnsi" w:hAnsiTheme="minorHAnsi" w:cstheme="minorHAnsi"/>
        </w:rPr>
        <w:t xml:space="preserve">§ 41 </w:t>
      </w:r>
      <w:r>
        <w:rPr>
          <w:rFonts w:asciiTheme="minorHAnsi" w:hAnsiTheme="minorHAnsi" w:cstheme="minorHAnsi"/>
        </w:rPr>
        <w:t>z</w:t>
      </w:r>
      <w:r w:rsidRPr="00696B82">
        <w:rPr>
          <w:rFonts w:asciiTheme="minorHAnsi" w:hAnsiTheme="minorHAnsi" w:cstheme="minorHAnsi"/>
        </w:rPr>
        <w:t>ákona 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:rsidR="009D6C51" w:rsidRDefault="009D6C51" w:rsidP="00883F2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O uzavření této </w:t>
      </w:r>
      <w:r w:rsidRPr="002971A6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rozhodla rada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</w:t>
      </w:r>
    </w:p>
    <w:p w:rsidR="009D6C51" w:rsidRPr="00696B82" w:rsidRDefault="009D6C51" w:rsidP="00883F2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svým usnesením č. </w:t>
      </w:r>
      <w:r>
        <w:rPr>
          <w:rFonts w:asciiTheme="minorHAnsi" w:hAnsiTheme="minorHAnsi" w:cstheme="minorHAnsi"/>
          <w:lang w:val="en-GB"/>
        </w:rPr>
        <w:t>……………………………</w:t>
      </w:r>
      <w:r w:rsidRPr="00696B82">
        <w:rPr>
          <w:rFonts w:asciiTheme="minorHAnsi" w:hAnsiTheme="minorHAnsi" w:cstheme="minorHAnsi"/>
          <w:lang w:val="en-GB"/>
        </w:rPr>
        <w:t xml:space="preserve"> </w:t>
      </w:r>
      <w:r w:rsidRPr="00696B82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  <w:lang w:val="en-GB"/>
        </w:rPr>
        <w:t>……………………………</w:t>
      </w:r>
      <w:r w:rsidRPr="00696B82">
        <w:rPr>
          <w:rFonts w:asciiTheme="minorHAnsi" w:hAnsiTheme="minorHAnsi" w:cstheme="minorHAnsi"/>
          <w:lang w:val="en-GB"/>
        </w:rPr>
        <w:t>.</w:t>
      </w:r>
    </w:p>
    <w:p w:rsidR="009D6C51" w:rsidRDefault="009D6C51" w:rsidP="009647A9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:rsidR="009D6C51" w:rsidRDefault="009D6C51" w:rsidP="009647A9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:rsidR="009D6C51" w:rsidRDefault="009D6C51" w:rsidP="009647A9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:rsidR="009D6C51" w:rsidRDefault="009D6C51" w:rsidP="009647A9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:rsidR="009D6C51" w:rsidRPr="002B5E6C" w:rsidRDefault="009D6C51" w:rsidP="009647A9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:rsidR="009D6C51" w:rsidRPr="002B5E6C" w:rsidRDefault="009D6C51" w:rsidP="0073329E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  <w:highlight w:val="yellow"/>
        </w:rPr>
      </w:pPr>
    </w:p>
    <w:p w:rsidR="009D6C51" w:rsidRPr="002B5E6C" w:rsidRDefault="009D6C51" w:rsidP="0073329E">
      <w:pPr>
        <w:spacing w:after="120"/>
        <w:rPr>
          <w:rFonts w:asciiTheme="minorHAnsi" w:hAnsiTheme="minorHAnsi" w:cstheme="minorHAnsi"/>
          <w:b/>
        </w:rPr>
      </w:pPr>
      <w:r w:rsidRPr="002B5E6C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:rsidR="009D6C51" w:rsidRPr="002B5E6C" w:rsidRDefault="009D6C51" w:rsidP="006972C0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  <w:b/>
        </w:rPr>
      </w:pPr>
      <w:r w:rsidRPr="002B5E6C">
        <w:rPr>
          <w:rFonts w:asciiTheme="minorHAnsi" w:hAnsiTheme="minorHAnsi" w:cstheme="minorHAnsi"/>
          <w:b/>
        </w:rPr>
        <w:t xml:space="preserve">Příloha č. 1. – </w:t>
      </w:r>
      <w:r w:rsidRPr="002B5E6C">
        <w:rPr>
          <w:rFonts w:asciiTheme="minorHAnsi" w:hAnsiTheme="minorHAnsi" w:cstheme="minorHAnsi"/>
        </w:rPr>
        <w:t xml:space="preserve">Obchodní podmínky dodávky </w:t>
      </w:r>
    </w:p>
    <w:p w:rsidR="009D6C51" w:rsidRPr="002B5E6C" w:rsidRDefault="009D6C51" w:rsidP="006972C0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  <w:b/>
        </w:rPr>
        <w:t>Příloha č. 2.</w:t>
      </w:r>
      <w:r w:rsidRPr="002B5E6C">
        <w:rPr>
          <w:rFonts w:asciiTheme="minorHAnsi" w:hAnsiTheme="minorHAnsi" w:cstheme="minorHAnsi"/>
        </w:rPr>
        <w:t xml:space="preserve"> – Seznam odběrných míst z vysokého napětí</w:t>
      </w:r>
      <w:r>
        <w:rPr>
          <w:rFonts w:asciiTheme="minorHAnsi" w:hAnsiTheme="minorHAnsi" w:cstheme="minorHAnsi"/>
        </w:rPr>
        <w:t xml:space="preserve"> </w:t>
      </w:r>
    </w:p>
    <w:p w:rsidR="009D6C51" w:rsidRPr="002B5E6C" w:rsidRDefault="009D6C51" w:rsidP="006972C0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 w:rsidRPr="002B5E6C">
        <w:rPr>
          <w:rFonts w:asciiTheme="minorHAnsi" w:hAnsiTheme="minorHAnsi" w:cstheme="minorHAnsi"/>
          <w:b/>
        </w:rPr>
        <w:t xml:space="preserve">Příloha č. 3. </w:t>
      </w:r>
      <w:r w:rsidRPr="002B5E6C">
        <w:rPr>
          <w:rFonts w:asciiTheme="minorHAnsi" w:hAnsiTheme="minorHAnsi" w:cstheme="minorHAnsi"/>
        </w:rPr>
        <w:t>– Kontakty a kontaktní osoby oprávněné k jednání pro naplnění Smlouvy</w:t>
      </w:r>
    </w:p>
    <w:p w:rsidR="009D6C51" w:rsidRPr="002B5E6C" w:rsidRDefault="009D6C51" w:rsidP="00175351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:rsidR="009D6C51" w:rsidRPr="002B5E6C" w:rsidRDefault="009D6C51" w:rsidP="00175351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:rsidR="009D6C51" w:rsidRPr="002B5E6C" w:rsidRDefault="009D6C51" w:rsidP="00175351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:rsidR="009D6C51" w:rsidRPr="002B5E6C" w:rsidRDefault="00931958" w:rsidP="00931958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4962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V Ostravě dne: ………………………</w:t>
      </w:r>
      <w:r>
        <w:rPr>
          <w:rFonts w:asciiTheme="minorHAnsi" w:hAnsiTheme="minorHAnsi" w:cstheme="minorHAnsi"/>
          <w:color w:val="auto"/>
          <w:szCs w:val="22"/>
        </w:rPr>
        <w:tab/>
      </w:r>
      <w:r w:rsidR="009D6C51" w:rsidRPr="002B5E6C">
        <w:rPr>
          <w:rFonts w:asciiTheme="minorHAnsi" w:hAnsiTheme="minorHAnsi" w:cstheme="minorHAnsi"/>
          <w:color w:val="auto"/>
          <w:szCs w:val="22"/>
        </w:rPr>
        <w:t>V Ostravě dne: .....………………...</w:t>
      </w:r>
    </w:p>
    <w:p w:rsidR="009D6C51" w:rsidRDefault="009D6C51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p w:rsidR="009D6C51" w:rsidRDefault="009D6C51" w:rsidP="009E35B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9D6C51" w:rsidRPr="009E35B2" w:rsidRDefault="009D6C51" w:rsidP="009E35B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9E35B2">
        <w:rPr>
          <w:rFonts w:asciiTheme="minorHAnsi" w:hAnsiTheme="minorHAnsi" w:cstheme="minorHAnsi"/>
        </w:rPr>
        <w:t>.................................................</w:t>
      </w:r>
      <w:r w:rsidRPr="009E35B2">
        <w:rPr>
          <w:rFonts w:asciiTheme="minorHAnsi" w:hAnsiTheme="minorHAnsi" w:cstheme="minorHAnsi"/>
        </w:rPr>
        <w:tab/>
      </w:r>
      <w:r w:rsidR="00931958">
        <w:rPr>
          <w:rFonts w:asciiTheme="minorHAnsi" w:hAnsiTheme="minorHAnsi" w:cstheme="minorHAnsi"/>
        </w:rPr>
        <w:t xml:space="preserve">              </w:t>
      </w:r>
      <w:r w:rsidR="00931958">
        <w:rPr>
          <w:rFonts w:asciiTheme="minorHAnsi" w:hAnsiTheme="minorHAnsi" w:cstheme="minorHAnsi"/>
        </w:rPr>
        <w:tab/>
      </w:r>
      <w:r w:rsidR="00931958">
        <w:rPr>
          <w:rFonts w:asciiTheme="minorHAnsi" w:hAnsiTheme="minorHAnsi" w:cstheme="minorHAnsi"/>
        </w:rPr>
        <w:tab/>
      </w:r>
      <w:r w:rsidRPr="009E35B2">
        <w:rPr>
          <w:rFonts w:asciiTheme="minorHAnsi" w:hAnsiTheme="minorHAnsi" w:cstheme="minorHAnsi"/>
        </w:rPr>
        <w:t>.................................................</w:t>
      </w:r>
    </w:p>
    <w:p w:rsidR="009D6C51" w:rsidRPr="00931958" w:rsidRDefault="009D6C51" w:rsidP="00931958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Ing. David Hrůza, na základě plné moci</w:t>
      </w:r>
      <w:r w:rsidRPr="00696B82">
        <w:rPr>
          <w:rFonts w:asciiTheme="minorHAnsi" w:hAnsiTheme="minorHAnsi" w:cstheme="minorHAnsi"/>
          <w:lang w:val="en-GB"/>
        </w:rPr>
        <w:tab/>
      </w:r>
      <w:r w:rsidR="00931958">
        <w:rPr>
          <w:rFonts w:asciiTheme="minorHAnsi" w:hAnsiTheme="minorHAnsi" w:cstheme="minorHAnsi"/>
          <w:lang w:val="en-GB"/>
        </w:rPr>
        <w:t xml:space="preserve">             </w:t>
      </w:r>
      <w:r w:rsidR="00931958">
        <w:rPr>
          <w:rFonts w:asciiTheme="minorHAnsi" w:hAnsiTheme="minorHAnsi" w:cstheme="minorHAnsi"/>
          <w:lang w:val="en-GB"/>
        </w:rPr>
        <w:tab/>
        <w:t xml:space="preserve">Mgr. Kamil Vrubl, </w:t>
      </w:r>
      <w:r w:rsidR="007858BD" w:rsidRPr="00931958">
        <w:rPr>
          <w:rFonts w:asciiTheme="minorHAnsi" w:hAnsiTheme="minorHAnsi" w:cstheme="minorHAnsi"/>
          <w:lang w:val="en-GB"/>
        </w:rPr>
        <w:t>předseda představenstva</w:t>
      </w:r>
    </w:p>
    <w:p w:rsidR="009D6C51" w:rsidRDefault="009D6C51" w:rsidP="009E35B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Obchodník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931958">
        <w:rPr>
          <w:rFonts w:asciiTheme="minorHAnsi" w:hAnsiTheme="minorHAnsi" w:cstheme="minorHAnsi"/>
        </w:rPr>
        <w:t xml:space="preserve">               </w:t>
      </w:r>
      <w:r w:rsidR="00931958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Zákazník</w:t>
      </w:r>
    </w:p>
    <w:p w:rsidR="007858BD" w:rsidRDefault="007858BD" w:rsidP="009E35B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7858BD" w:rsidRDefault="007858BD" w:rsidP="009E35B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7858BD" w:rsidRPr="009E35B2" w:rsidRDefault="00931958" w:rsidP="007858BD">
      <w:pPr>
        <w:pStyle w:val="Odstavecseseznamem"/>
        <w:spacing w:after="120" w:line="276" w:lineRule="auto"/>
        <w:ind w:left="3258" w:firstLine="282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858BD" w:rsidRPr="009E35B2">
        <w:rPr>
          <w:rFonts w:asciiTheme="minorHAnsi" w:hAnsiTheme="minorHAnsi" w:cstheme="minorHAnsi"/>
        </w:rPr>
        <w:t>.................................................</w:t>
      </w:r>
    </w:p>
    <w:p w:rsidR="007858BD" w:rsidRPr="00696B82" w:rsidRDefault="007858BD" w:rsidP="00931958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 w:rsidRPr="00696B82">
        <w:rPr>
          <w:rFonts w:asciiTheme="minorHAnsi" w:hAnsiTheme="minorHAnsi" w:cstheme="minorHAnsi"/>
          <w:lang w:val="en-GB"/>
        </w:rPr>
        <w:tab/>
      </w:r>
      <w:r w:rsidR="00931958">
        <w:rPr>
          <w:rFonts w:asciiTheme="minorHAnsi" w:hAnsiTheme="minorHAnsi" w:cstheme="minorHAnsi"/>
          <w:lang w:val="en-GB"/>
        </w:rPr>
        <w:t xml:space="preserve">             </w:t>
      </w:r>
      <w:r w:rsidR="00931958"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>Ing, Jaroslav Kovář, místopředseda představenstva</w:t>
      </w:r>
    </w:p>
    <w:p w:rsidR="007858BD" w:rsidRPr="00696B82" w:rsidRDefault="007858BD" w:rsidP="007858BD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931958">
        <w:rPr>
          <w:rFonts w:asciiTheme="minorHAnsi" w:hAnsiTheme="minorHAnsi" w:cstheme="minorHAnsi"/>
        </w:rPr>
        <w:t xml:space="preserve">               </w:t>
      </w:r>
      <w:r w:rsidR="00931958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Zákazník</w:t>
      </w:r>
      <w:bookmarkStart w:id="0" w:name="_GoBack"/>
      <w:bookmarkEnd w:id="0"/>
    </w:p>
    <w:sectPr w:rsidR="007858BD" w:rsidRPr="00696B82" w:rsidSect="001C6110">
      <w:headerReference w:type="default" r:id="rId9"/>
      <w:footerReference w:type="default" r:id="rId10"/>
      <w:pgSz w:w="11906" w:h="16838"/>
      <w:pgMar w:top="1668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C51" w:rsidRDefault="009D6C51" w:rsidP="005349E5">
      <w:r>
        <w:separator/>
      </w:r>
    </w:p>
  </w:endnote>
  <w:endnote w:type="continuationSeparator" w:id="0">
    <w:p w:rsidR="009D6C51" w:rsidRDefault="009D6C51" w:rsidP="005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C16" w:rsidRDefault="006C2C16">
    <w:pPr>
      <w:pStyle w:val="Zpat"/>
      <w:jc w:val="center"/>
    </w:pPr>
    <w:r w:rsidRPr="00B3659A">
      <w:t xml:space="preserve">Stránka </w:t>
    </w:r>
    <w:sdt>
      <w:sdtPr>
        <w:id w:val="1600071627"/>
        <w:docPartObj>
          <w:docPartGallery w:val="Page Numbers (Bottom of Page)"/>
          <w:docPartUnique/>
        </w:docPartObj>
      </w:sdtPr>
      <w:sdtEndPr/>
      <w:sdtContent>
        <w:r w:rsidRPr="00B3659A">
          <w:fldChar w:fldCharType="begin"/>
        </w:r>
        <w:r w:rsidRPr="00B3659A">
          <w:instrText>PAGE   \* MERGEFORMAT</w:instrText>
        </w:r>
        <w:r w:rsidRPr="00B3659A">
          <w:fldChar w:fldCharType="separate"/>
        </w:r>
        <w:r w:rsidR="001C6110">
          <w:rPr>
            <w:noProof/>
          </w:rPr>
          <w:t>5</w:t>
        </w:r>
        <w:r w:rsidRPr="00B3659A">
          <w:fldChar w:fldCharType="end"/>
        </w:r>
        <w:r w:rsidRPr="00B3659A">
          <w:t xml:space="preserve"> z 8</w:t>
        </w:r>
      </w:sdtContent>
    </w:sdt>
  </w:p>
  <w:p w:rsidR="006C2C16" w:rsidRDefault="006C2C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C51" w:rsidRDefault="009D6C51" w:rsidP="005349E5">
      <w:r>
        <w:separator/>
      </w:r>
    </w:p>
  </w:footnote>
  <w:footnote w:type="continuationSeparator" w:id="0">
    <w:p w:rsidR="009D6C51" w:rsidRDefault="009D6C51" w:rsidP="00534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C16" w:rsidRDefault="006C2C16" w:rsidP="009D2036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ab/>
    </w:r>
  </w:p>
  <w:p w:rsidR="006C2C16" w:rsidRPr="005349E5" w:rsidRDefault="006C2C16" w:rsidP="009D2036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  <w:r>
      <w:rPr>
        <w:sz w:val="16"/>
        <w:szCs w:val="16"/>
      </w:rPr>
      <w:tab/>
    </w:r>
    <w:r w:rsidRPr="004C6E96">
      <w:rPr>
        <w:rFonts w:ascii="Calibri" w:hAnsi="Calibri"/>
        <w:highlight w:val="lightGray"/>
        <w:lang w:val="en-GB"/>
      </w:rPr>
      <w:t>[</w:t>
    </w:r>
    <w:r w:rsidRPr="004C6E96">
      <w:rPr>
        <w:rFonts w:ascii="Calibri" w:hAnsi="Calibri"/>
        <w:highlight w:val="lightGray"/>
      </w:rPr>
      <w:t>BUDE DOPLNĚNO PŘED PODPISEM SMLOUVY</w:t>
    </w:r>
    <w:r w:rsidRPr="004C6E96">
      <w:rPr>
        <w:rFonts w:ascii="Calibri" w:hAnsi="Calibri"/>
        <w:highlight w:val="lightGray"/>
        <w:lang w:val="en-GB"/>
      </w:rPr>
      <w:t>]</w:t>
    </w:r>
  </w:p>
  <w:p w:rsidR="006C2C16" w:rsidRPr="009D2036" w:rsidRDefault="006C2C16" w:rsidP="009D203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" w15:restartNumberingAfterBreak="1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 w15:restartNumberingAfterBreak="1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 w15:restartNumberingAfterBreak="1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4" w15:restartNumberingAfterBreak="1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5" w15:restartNumberingAfterBreak="1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6" w15:restartNumberingAfterBreak="1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7" w15:restartNumberingAfterBreak="1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09C16855"/>
    <w:multiLevelType w:val="hybridMultilevel"/>
    <w:tmpl w:val="953E0E2A"/>
    <w:lvl w:ilvl="0" w:tplc="9398977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1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112F5975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 w15:restartNumberingAfterBreak="1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1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17781B97"/>
    <w:multiLevelType w:val="hybridMultilevel"/>
    <w:tmpl w:val="6F6E64BE"/>
    <w:lvl w:ilvl="0" w:tplc="E302897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225713D5"/>
    <w:multiLevelType w:val="hybridMultilevel"/>
    <w:tmpl w:val="21A40BB8"/>
    <w:lvl w:ilvl="0" w:tplc="CA887C98">
      <w:start w:val="1"/>
      <w:numFmt w:val="decimal"/>
      <w:lvlText w:val="%1."/>
      <w:lvlJc w:val="left"/>
      <w:pPr>
        <w:ind w:left="720" w:hanging="360"/>
      </w:pPr>
      <w:rPr>
        <w:rFonts w:ascii="Arial" w:hAnsi="Arial" w:cs="Tahoma-Bold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2A7B5F31"/>
    <w:multiLevelType w:val="hybridMultilevel"/>
    <w:tmpl w:val="63AC188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1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1">
    <w:nsid w:val="2DF729D1"/>
    <w:multiLevelType w:val="hybridMultilevel"/>
    <w:tmpl w:val="E8522B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31F25F3C"/>
    <w:multiLevelType w:val="hybridMultilevel"/>
    <w:tmpl w:val="3B4AF264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54F61CC"/>
    <w:multiLevelType w:val="hybridMultilevel"/>
    <w:tmpl w:val="011842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387B77DF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8" w15:restartNumberingAfterBreak="1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1" w15:restartNumberingAfterBreak="1">
    <w:nsid w:val="52D15963"/>
    <w:multiLevelType w:val="hybridMultilevel"/>
    <w:tmpl w:val="016037E6"/>
    <w:lvl w:ilvl="0" w:tplc="82E8801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54045290"/>
    <w:multiLevelType w:val="hybridMultilevel"/>
    <w:tmpl w:val="9056A634"/>
    <w:lvl w:ilvl="0" w:tplc="6A34B0A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1">
    <w:nsid w:val="61206232"/>
    <w:multiLevelType w:val="hybridMultilevel"/>
    <w:tmpl w:val="8C9EFF68"/>
    <w:lvl w:ilvl="0" w:tplc="EBD266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623C58B3"/>
    <w:multiLevelType w:val="hybridMultilevel"/>
    <w:tmpl w:val="7BCE20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1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1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0" w15:restartNumberingAfterBreak="1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1">
    <w:nsid w:val="6D1E7925"/>
    <w:multiLevelType w:val="hybridMultilevel"/>
    <w:tmpl w:val="9E28CCFC"/>
    <w:lvl w:ilvl="0" w:tplc="6602BB8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6DAF1B61"/>
    <w:multiLevelType w:val="hybridMultilevel"/>
    <w:tmpl w:val="4606BFC0"/>
    <w:lvl w:ilvl="0" w:tplc="4BD830F4">
      <w:start w:val="1"/>
      <w:numFmt w:val="decimal"/>
      <w:lvlText w:val="%1."/>
      <w:lvlJc w:val="left"/>
      <w:pPr>
        <w:ind w:left="720" w:hanging="360"/>
      </w:pPr>
      <w:rPr>
        <w:rFonts w:ascii="Arial" w:hAnsi="Arial" w:cs="Tahoma-Bold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73945807"/>
    <w:multiLevelType w:val="hybridMultilevel"/>
    <w:tmpl w:val="B31E0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1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1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1"/>
  </w:num>
  <w:num w:numId="3">
    <w:abstractNumId w:val="8"/>
  </w:num>
  <w:num w:numId="4">
    <w:abstractNumId w:val="21"/>
  </w:num>
  <w:num w:numId="5">
    <w:abstractNumId w:val="26"/>
  </w:num>
  <w:num w:numId="6">
    <w:abstractNumId w:val="13"/>
  </w:num>
  <w:num w:numId="7">
    <w:abstractNumId w:val="1"/>
  </w:num>
  <w:num w:numId="8">
    <w:abstractNumId w:val="2"/>
  </w:num>
  <w:num w:numId="9">
    <w:abstractNumId w:val="45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30"/>
  </w:num>
  <w:num w:numId="15">
    <w:abstractNumId w:val="39"/>
  </w:num>
  <w:num w:numId="16">
    <w:abstractNumId w:val="34"/>
  </w:num>
  <w:num w:numId="17">
    <w:abstractNumId w:val="36"/>
  </w:num>
  <w:num w:numId="18">
    <w:abstractNumId w:val="37"/>
  </w:num>
  <w:num w:numId="19">
    <w:abstractNumId w:val="22"/>
  </w:num>
  <w:num w:numId="20">
    <w:abstractNumId w:val="43"/>
  </w:num>
  <w:num w:numId="21">
    <w:abstractNumId w:val="32"/>
  </w:num>
  <w:num w:numId="22">
    <w:abstractNumId w:val="31"/>
  </w:num>
  <w:num w:numId="23">
    <w:abstractNumId w:val="0"/>
  </w:num>
  <w:num w:numId="24">
    <w:abstractNumId w:val="44"/>
  </w:num>
  <w:num w:numId="25">
    <w:abstractNumId w:val="20"/>
  </w:num>
  <w:num w:numId="26">
    <w:abstractNumId w:val="18"/>
  </w:num>
  <w:num w:numId="27">
    <w:abstractNumId w:val="42"/>
  </w:num>
  <w:num w:numId="28">
    <w:abstractNumId w:val="29"/>
  </w:num>
  <w:num w:numId="29">
    <w:abstractNumId w:val="14"/>
  </w:num>
  <w:num w:numId="30">
    <w:abstractNumId w:val="28"/>
  </w:num>
  <w:num w:numId="31">
    <w:abstractNumId w:val="27"/>
  </w:num>
  <w:num w:numId="32">
    <w:abstractNumId w:val="25"/>
  </w:num>
  <w:num w:numId="33">
    <w:abstractNumId w:val="16"/>
  </w:num>
  <w:num w:numId="34">
    <w:abstractNumId w:val="7"/>
  </w:num>
  <w:num w:numId="35">
    <w:abstractNumId w:val="35"/>
  </w:num>
  <w:num w:numId="36">
    <w:abstractNumId w:val="41"/>
  </w:num>
  <w:num w:numId="37">
    <w:abstractNumId w:val="15"/>
  </w:num>
  <w:num w:numId="38">
    <w:abstractNumId w:val="12"/>
  </w:num>
  <w:num w:numId="39">
    <w:abstractNumId w:val="10"/>
  </w:num>
  <w:num w:numId="40">
    <w:abstractNumId w:val="40"/>
  </w:num>
  <w:num w:numId="41">
    <w:abstractNumId w:val="23"/>
  </w:num>
  <w:num w:numId="42">
    <w:abstractNumId w:val="24"/>
  </w:num>
  <w:num w:numId="43">
    <w:abstractNumId w:val="33"/>
  </w:num>
  <w:num w:numId="44">
    <w:abstractNumId w:val="17"/>
  </w:num>
  <w:num w:numId="45">
    <w:abstractNumId w:val="9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ED"/>
    <w:rsid w:val="00007172"/>
    <w:rsid w:val="0001273B"/>
    <w:rsid w:val="00034035"/>
    <w:rsid w:val="00046BDD"/>
    <w:rsid w:val="00060605"/>
    <w:rsid w:val="00082EAC"/>
    <w:rsid w:val="000B17EB"/>
    <w:rsid w:val="000B39DC"/>
    <w:rsid w:val="000B4ABE"/>
    <w:rsid w:val="000C0E33"/>
    <w:rsid w:val="000C625D"/>
    <w:rsid w:val="000C6740"/>
    <w:rsid w:val="000D6A0C"/>
    <w:rsid w:val="000E41A2"/>
    <w:rsid w:val="000F56B5"/>
    <w:rsid w:val="001010B5"/>
    <w:rsid w:val="00102E8C"/>
    <w:rsid w:val="0010535B"/>
    <w:rsid w:val="00105B9F"/>
    <w:rsid w:val="00113463"/>
    <w:rsid w:val="00114A97"/>
    <w:rsid w:val="0014557E"/>
    <w:rsid w:val="00150B59"/>
    <w:rsid w:val="00164221"/>
    <w:rsid w:val="00170A81"/>
    <w:rsid w:val="00175351"/>
    <w:rsid w:val="00182272"/>
    <w:rsid w:val="0018480F"/>
    <w:rsid w:val="00192A6E"/>
    <w:rsid w:val="00196C98"/>
    <w:rsid w:val="001A39F0"/>
    <w:rsid w:val="001C0219"/>
    <w:rsid w:val="001C6110"/>
    <w:rsid w:val="001E2022"/>
    <w:rsid w:val="001F3AF6"/>
    <w:rsid w:val="00210022"/>
    <w:rsid w:val="002132B6"/>
    <w:rsid w:val="00227A8D"/>
    <w:rsid w:val="00264343"/>
    <w:rsid w:val="00283C4D"/>
    <w:rsid w:val="00291AEC"/>
    <w:rsid w:val="002A79C8"/>
    <w:rsid w:val="002B5CD0"/>
    <w:rsid w:val="002B5E6C"/>
    <w:rsid w:val="002C4482"/>
    <w:rsid w:val="002E09CC"/>
    <w:rsid w:val="003358C8"/>
    <w:rsid w:val="00341ADF"/>
    <w:rsid w:val="00372B4B"/>
    <w:rsid w:val="003B026E"/>
    <w:rsid w:val="003B0ABC"/>
    <w:rsid w:val="003B6E70"/>
    <w:rsid w:val="003C3282"/>
    <w:rsid w:val="003D31FF"/>
    <w:rsid w:val="003E01F2"/>
    <w:rsid w:val="003E5EC6"/>
    <w:rsid w:val="003F736C"/>
    <w:rsid w:val="0042062E"/>
    <w:rsid w:val="00453C95"/>
    <w:rsid w:val="0046141E"/>
    <w:rsid w:val="004673E9"/>
    <w:rsid w:val="0048193B"/>
    <w:rsid w:val="00490157"/>
    <w:rsid w:val="00495ABE"/>
    <w:rsid w:val="004A0E3C"/>
    <w:rsid w:val="004A53ED"/>
    <w:rsid w:val="004C7F9B"/>
    <w:rsid w:val="004D30EA"/>
    <w:rsid w:val="004D7C0B"/>
    <w:rsid w:val="004E39F6"/>
    <w:rsid w:val="00512079"/>
    <w:rsid w:val="005129DF"/>
    <w:rsid w:val="00522890"/>
    <w:rsid w:val="00524CD1"/>
    <w:rsid w:val="005349E5"/>
    <w:rsid w:val="00542498"/>
    <w:rsid w:val="0055437F"/>
    <w:rsid w:val="00560326"/>
    <w:rsid w:val="00563D26"/>
    <w:rsid w:val="00565ED3"/>
    <w:rsid w:val="005665DB"/>
    <w:rsid w:val="00576336"/>
    <w:rsid w:val="0058310D"/>
    <w:rsid w:val="00592C83"/>
    <w:rsid w:val="005B07CE"/>
    <w:rsid w:val="005F7EDA"/>
    <w:rsid w:val="00604B2B"/>
    <w:rsid w:val="0062206E"/>
    <w:rsid w:val="006321E1"/>
    <w:rsid w:val="00634D85"/>
    <w:rsid w:val="00652DA8"/>
    <w:rsid w:val="00655DAD"/>
    <w:rsid w:val="00672B18"/>
    <w:rsid w:val="00684E00"/>
    <w:rsid w:val="00685A1B"/>
    <w:rsid w:val="00693439"/>
    <w:rsid w:val="006972C0"/>
    <w:rsid w:val="006B1B37"/>
    <w:rsid w:val="006C2C16"/>
    <w:rsid w:val="006C463D"/>
    <w:rsid w:val="006F4CFD"/>
    <w:rsid w:val="006F7047"/>
    <w:rsid w:val="007134A0"/>
    <w:rsid w:val="007170E1"/>
    <w:rsid w:val="00725123"/>
    <w:rsid w:val="00725B4E"/>
    <w:rsid w:val="00726A28"/>
    <w:rsid w:val="007279B4"/>
    <w:rsid w:val="0073329E"/>
    <w:rsid w:val="007341C9"/>
    <w:rsid w:val="0074183B"/>
    <w:rsid w:val="00746188"/>
    <w:rsid w:val="00765E57"/>
    <w:rsid w:val="00767F7E"/>
    <w:rsid w:val="00782861"/>
    <w:rsid w:val="007858BD"/>
    <w:rsid w:val="0079688B"/>
    <w:rsid w:val="007A4B67"/>
    <w:rsid w:val="007A57BC"/>
    <w:rsid w:val="007D2026"/>
    <w:rsid w:val="00805BD7"/>
    <w:rsid w:val="00812231"/>
    <w:rsid w:val="00820118"/>
    <w:rsid w:val="00824123"/>
    <w:rsid w:val="00862B6E"/>
    <w:rsid w:val="00866401"/>
    <w:rsid w:val="00883164"/>
    <w:rsid w:val="00883F24"/>
    <w:rsid w:val="008A55EC"/>
    <w:rsid w:val="008B1373"/>
    <w:rsid w:val="008B1B03"/>
    <w:rsid w:val="008B258F"/>
    <w:rsid w:val="008B333C"/>
    <w:rsid w:val="008C192A"/>
    <w:rsid w:val="008D002E"/>
    <w:rsid w:val="0090235F"/>
    <w:rsid w:val="00902407"/>
    <w:rsid w:val="009048C7"/>
    <w:rsid w:val="00907983"/>
    <w:rsid w:val="009100E9"/>
    <w:rsid w:val="009131B6"/>
    <w:rsid w:val="0092318A"/>
    <w:rsid w:val="00931958"/>
    <w:rsid w:val="00932662"/>
    <w:rsid w:val="00937916"/>
    <w:rsid w:val="009628FA"/>
    <w:rsid w:val="009647A9"/>
    <w:rsid w:val="00972AE7"/>
    <w:rsid w:val="0097349A"/>
    <w:rsid w:val="00992627"/>
    <w:rsid w:val="00995FC5"/>
    <w:rsid w:val="009C7632"/>
    <w:rsid w:val="009D2036"/>
    <w:rsid w:val="009D6C51"/>
    <w:rsid w:val="009E35B2"/>
    <w:rsid w:val="00A11714"/>
    <w:rsid w:val="00A128DE"/>
    <w:rsid w:val="00A2091D"/>
    <w:rsid w:val="00A50A93"/>
    <w:rsid w:val="00A6451E"/>
    <w:rsid w:val="00A67550"/>
    <w:rsid w:val="00A711C0"/>
    <w:rsid w:val="00A711DD"/>
    <w:rsid w:val="00A7602B"/>
    <w:rsid w:val="00A77EA0"/>
    <w:rsid w:val="00A80061"/>
    <w:rsid w:val="00AA3AA9"/>
    <w:rsid w:val="00AE76E3"/>
    <w:rsid w:val="00AF36AA"/>
    <w:rsid w:val="00B11BC7"/>
    <w:rsid w:val="00B22F95"/>
    <w:rsid w:val="00B362E7"/>
    <w:rsid w:val="00B3659A"/>
    <w:rsid w:val="00B44C62"/>
    <w:rsid w:val="00B84D76"/>
    <w:rsid w:val="00B87812"/>
    <w:rsid w:val="00BA6626"/>
    <w:rsid w:val="00BB4BDB"/>
    <w:rsid w:val="00BD5188"/>
    <w:rsid w:val="00BE32B4"/>
    <w:rsid w:val="00BE488A"/>
    <w:rsid w:val="00BE7662"/>
    <w:rsid w:val="00BF5C88"/>
    <w:rsid w:val="00C31FEF"/>
    <w:rsid w:val="00C323A4"/>
    <w:rsid w:val="00C677D2"/>
    <w:rsid w:val="00C75F14"/>
    <w:rsid w:val="00C80548"/>
    <w:rsid w:val="00C82B64"/>
    <w:rsid w:val="00C8503A"/>
    <w:rsid w:val="00CB2DB9"/>
    <w:rsid w:val="00CB465C"/>
    <w:rsid w:val="00CC5375"/>
    <w:rsid w:val="00CD53D1"/>
    <w:rsid w:val="00CE2660"/>
    <w:rsid w:val="00D0632E"/>
    <w:rsid w:val="00D14418"/>
    <w:rsid w:val="00D316C8"/>
    <w:rsid w:val="00D327EA"/>
    <w:rsid w:val="00D413C8"/>
    <w:rsid w:val="00D43779"/>
    <w:rsid w:val="00D4491B"/>
    <w:rsid w:val="00D51609"/>
    <w:rsid w:val="00D56B0D"/>
    <w:rsid w:val="00D60B2E"/>
    <w:rsid w:val="00D61651"/>
    <w:rsid w:val="00D773DB"/>
    <w:rsid w:val="00D777FA"/>
    <w:rsid w:val="00D90FA0"/>
    <w:rsid w:val="00D941F1"/>
    <w:rsid w:val="00D9726E"/>
    <w:rsid w:val="00DA73C9"/>
    <w:rsid w:val="00DB459F"/>
    <w:rsid w:val="00DB7458"/>
    <w:rsid w:val="00DC084E"/>
    <w:rsid w:val="00DC09EC"/>
    <w:rsid w:val="00DD102E"/>
    <w:rsid w:val="00DE68AE"/>
    <w:rsid w:val="00E040B4"/>
    <w:rsid w:val="00E05F73"/>
    <w:rsid w:val="00E13B21"/>
    <w:rsid w:val="00E34B5B"/>
    <w:rsid w:val="00E50E0C"/>
    <w:rsid w:val="00E66E24"/>
    <w:rsid w:val="00E75F92"/>
    <w:rsid w:val="00E94D18"/>
    <w:rsid w:val="00E96B9B"/>
    <w:rsid w:val="00E97B39"/>
    <w:rsid w:val="00EA3F71"/>
    <w:rsid w:val="00EB13FD"/>
    <w:rsid w:val="00EC2220"/>
    <w:rsid w:val="00ED0DAF"/>
    <w:rsid w:val="00EE7D52"/>
    <w:rsid w:val="00EF43A4"/>
    <w:rsid w:val="00F04DC5"/>
    <w:rsid w:val="00F07CE9"/>
    <w:rsid w:val="00F27128"/>
    <w:rsid w:val="00F2775F"/>
    <w:rsid w:val="00F37C46"/>
    <w:rsid w:val="00F74367"/>
    <w:rsid w:val="00F7456A"/>
    <w:rsid w:val="00F83E4F"/>
    <w:rsid w:val="00F92491"/>
    <w:rsid w:val="00FA61D3"/>
    <w:rsid w:val="00FB35A0"/>
    <w:rsid w:val="00FB631B"/>
    <w:rsid w:val="00FB79C7"/>
    <w:rsid w:val="00FC0F59"/>
    <w:rsid w:val="00FC3B4C"/>
    <w:rsid w:val="00F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1D861-E08F-4B92-B164-B0123AE6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semiHidden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2">
    <w:name w:val="Body Text 2"/>
    <w:basedOn w:val="Normln"/>
    <w:link w:val="Zkladntext2Char"/>
    <w:uiPriority w:val="99"/>
    <w:unhideWhenUsed/>
    <w:rsid w:val="009100E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100E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A5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0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hruza@ppas.cz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37BBD7-A5F0-42BB-8F6A-5F84D6D38EC6}"/>
</file>

<file path=customXml/itemProps2.xml><?xml version="1.0" encoding="utf-8"?>
<ds:datastoreItem xmlns:ds="http://schemas.openxmlformats.org/officeDocument/2006/customXml" ds:itemID="{116812C8-DCE4-4702-B8D3-8D6792F5C3A5}"/>
</file>

<file path=customXml/itemProps3.xml><?xml version="1.0" encoding="utf-8"?>
<ds:datastoreItem xmlns:ds="http://schemas.openxmlformats.org/officeDocument/2006/customXml" ds:itemID="{C011592E-0F31-4B00-8FD7-1DDE07D44499}"/>
</file>

<file path=customXml/itemProps4.xml><?xml version="1.0" encoding="utf-8"?>
<ds:datastoreItem xmlns:ds="http://schemas.openxmlformats.org/officeDocument/2006/customXml" ds:itemID="{A3ACA2E6-1D97-490F-915A-B3F6566137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2027</Words>
  <Characters>11961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Klokner René</cp:lastModifiedBy>
  <cp:revision>2</cp:revision>
  <cp:lastPrinted>2019-01-23T12:24:00Z</cp:lastPrinted>
  <dcterms:created xsi:type="dcterms:W3CDTF">2019-01-23T12:26:00Z</dcterms:created>
  <dcterms:modified xsi:type="dcterms:W3CDTF">2019-01-23T12:26:00Z</dcterms:modified>
</cp:coreProperties>
</file>