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B18" w:rsidRDefault="00952B18">
      <w:pPr>
        <w:rPr>
          <w:sz w:val="2"/>
          <w:szCs w:val="24"/>
        </w:rPr>
      </w:pPr>
    </w:p>
    <w:p w:rsidR="00952B18" w:rsidRDefault="00034B31">
      <w:pPr>
        <w:framePr w:w="1689" w:h="1958" w:wrap="auto" w:hAnchor="margin" w:x="359" w:y="359"/>
        <w:spacing w:line="225" w:lineRule="exact"/>
        <w:ind w:left="14"/>
        <w:rPr>
          <w:b/>
          <w:szCs w:val="24"/>
        </w:rPr>
      </w:pPr>
      <w:r>
        <w:rPr>
          <w:b/>
          <w:szCs w:val="24"/>
        </w:rPr>
        <w:t xml:space="preserve">Objednatel: </w:t>
      </w:r>
    </w:p>
    <w:p w:rsidR="00952B18" w:rsidRDefault="00034B31">
      <w:pPr>
        <w:framePr w:w="1689" w:h="1958" w:wrap="auto" w:hAnchor="margin" w:x="359" w:y="359"/>
        <w:spacing w:line="489" w:lineRule="exact"/>
        <w:ind w:left="14"/>
        <w:rPr>
          <w:szCs w:val="24"/>
        </w:rPr>
      </w:pPr>
      <w:r>
        <w:rPr>
          <w:szCs w:val="24"/>
        </w:rPr>
        <w:t xml:space="preserve">Sídlo: </w:t>
      </w:r>
    </w:p>
    <w:p w:rsidR="00952B18" w:rsidRDefault="00034B31">
      <w:pPr>
        <w:framePr w:w="1689" w:h="1958" w:wrap="auto" w:hAnchor="margin" w:x="359" w:y="359"/>
        <w:spacing w:line="249" w:lineRule="exact"/>
        <w:ind w:left="4"/>
        <w:rPr>
          <w:szCs w:val="24"/>
        </w:rPr>
      </w:pPr>
      <w:r>
        <w:rPr>
          <w:szCs w:val="24"/>
        </w:rPr>
        <w:t xml:space="preserve">Zastoupené: </w:t>
      </w:r>
    </w:p>
    <w:p w:rsidR="00952B18" w:rsidRDefault="00034B31">
      <w:pPr>
        <w:framePr w:w="1689" w:h="1958" w:wrap="auto" w:hAnchor="margin" w:x="359" w:y="359"/>
        <w:spacing w:line="249" w:lineRule="exact"/>
        <w:ind w:left="4"/>
        <w:rPr>
          <w:szCs w:val="24"/>
        </w:rPr>
      </w:pPr>
      <w:r>
        <w:rPr>
          <w:szCs w:val="24"/>
        </w:rPr>
        <w:t xml:space="preserve">IČO: </w:t>
      </w:r>
    </w:p>
    <w:p w:rsidR="00952B18" w:rsidRDefault="00034B31">
      <w:pPr>
        <w:framePr w:w="1689" w:h="1958" w:wrap="auto" w:hAnchor="margin" w:x="359" w:y="359"/>
        <w:spacing w:line="249" w:lineRule="exact"/>
        <w:ind w:left="4"/>
        <w:rPr>
          <w:szCs w:val="24"/>
        </w:rPr>
      </w:pPr>
      <w:r>
        <w:rPr>
          <w:szCs w:val="24"/>
        </w:rPr>
        <w:t xml:space="preserve">Bankovní spojení: </w:t>
      </w:r>
    </w:p>
    <w:p w:rsidR="00952B18" w:rsidRDefault="00034B31">
      <w:pPr>
        <w:framePr w:w="1689" w:h="1958" w:wrap="auto" w:hAnchor="margin" w:x="359" w:y="359"/>
        <w:spacing w:line="254" w:lineRule="exact"/>
        <w:ind w:left="4" w:right="700"/>
        <w:rPr>
          <w:szCs w:val="24"/>
        </w:rPr>
      </w:pPr>
      <w:r>
        <w:rPr>
          <w:szCs w:val="24"/>
        </w:rPr>
        <w:t xml:space="preserve">Číslo účtu: tel. </w:t>
      </w:r>
    </w:p>
    <w:p w:rsidR="00952B18" w:rsidRDefault="00034B31">
      <w:pPr>
        <w:framePr w:w="633" w:h="345" w:wrap="auto" w:hAnchor="margin" w:x="8836" w:y="-787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00050" cy="219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18" w:rsidRDefault="00034B31">
      <w:pPr>
        <w:framePr w:w="633" w:h="307" w:wrap="auto" w:hAnchor="margin" w:x="10045" w:y="-768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400050" cy="1905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B18" w:rsidRDefault="00034B31">
      <w:pPr>
        <w:framePr w:w="6772" w:h="1967" w:wrap="auto" w:hAnchor="margin" w:x="2452" w:y="364"/>
        <w:spacing w:line="494" w:lineRule="exact"/>
        <w:ind w:left="4"/>
        <w:rPr>
          <w:szCs w:val="24"/>
        </w:rPr>
      </w:pPr>
      <w:r>
        <w:rPr>
          <w:b/>
          <w:szCs w:val="24"/>
        </w:rPr>
        <w:t xml:space="preserve">Městské středisko sociálních služeb OÁZA Nové Město nad Metují </w:t>
      </w:r>
      <w:r>
        <w:rPr>
          <w:szCs w:val="24"/>
        </w:rPr>
        <w:t xml:space="preserve">T. G. Masaryka 1424, 549 01 Nové Město nad Metují </w:t>
      </w:r>
    </w:p>
    <w:p w:rsidR="00952B18" w:rsidRDefault="00034B31">
      <w:pPr>
        <w:framePr w:w="6772" w:h="1967" w:wrap="auto" w:hAnchor="margin" w:x="2452" w:y="364"/>
        <w:spacing w:line="249" w:lineRule="exact"/>
        <w:ind w:left="4"/>
        <w:rPr>
          <w:szCs w:val="24"/>
        </w:rPr>
      </w:pPr>
      <w:r>
        <w:rPr>
          <w:szCs w:val="24"/>
        </w:rPr>
        <w:t xml:space="preserve">Mgr. Janou Balcarovou, ředitelkou </w:t>
      </w:r>
    </w:p>
    <w:p w:rsidR="00952B18" w:rsidRDefault="00034B31">
      <w:pPr>
        <w:framePr w:w="6772" w:h="1967" w:wrap="auto" w:hAnchor="margin" w:x="2452" w:y="364"/>
        <w:spacing w:line="249" w:lineRule="exact"/>
        <w:ind w:left="4"/>
        <w:rPr>
          <w:szCs w:val="24"/>
        </w:rPr>
      </w:pPr>
      <w:r>
        <w:rPr>
          <w:szCs w:val="24"/>
        </w:rPr>
        <w:t xml:space="preserve">62730631 </w:t>
      </w:r>
    </w:p>
    <w:p w:rsidR="00AA7DE5" w:rsidRDefault="00034B31" w:rsidP="00AA7DE5">
      <w:pPr>
        <w:framePr w:w="6772" w:h="1967" w:wrap="auto" w:hAnchor="margin" w:x="2452" w:y="364"/>
        <w:spacing w:line="244" w:lineRule="exact"/>
        <w:ind w:left="9" w:right="2486"/>
        <w:rPr>
          <w:szCs w:val="24"/>
        </w:rPr>
      </w:pPr>
      <w:r>
        <w:rPr>
          <w:szCs w:val="24"/>
        </w:rPr>
        <w:t xml:space="preserve">Komerční </w:t>
      </w:r>
      <w:r>
        <w:rPr>
          <w:szCs w:val="24"/>
        </w:rPr>
        <w:t xml:space="preserve">banka a.s., Nové Město nad Metují </w:t>
      </w:r>
    </w:p>
    <w:p w:rsidR="00952B18" w:rsidRDefault="00952B18">
      <w:pPr>
        <w:framePr w:w="6772" w:h="1967" w:wrap="auto" w:hAnchor="margin" w:x="2452" w:y="364"/>
        <w:spacing w:line="249" w:lineRule="exact"/>
        <w:ind w:left="4"/>
        <w:rPr>
          <w:szCs w:val="24"/>
        </w:rPr>
      </w:pPr>
    </w:p>
    <w:p w:rsidR="00952B18" w:rsidRDefault="00034B31">
      <w:pPr>
        <w:framePr w:w="10276" w:h="724" w:wrap="auto" w:hAnchor="margin" w:x="364" w:y="2577"/>
        <w:spacing w:line="494" w:lineRule="exact"/>
        <w:ind w:left="119" w:right="6638"/>
        <w:rPr>
          <w:szCs w:val="24"/>
        </w:rPr>
      </w:pPr>
      <w:r>
        <w:rPr>
          <w:szCs w:val="24"/>
        </w:rPr>
        <w:t xml:space="preserve">dále jen </w:t>
      </w:r>
      <w:r>
        <w:rPr>
          <w:b/>
          <w:i/>
          <w:sz w:val="19"/>
          <w:szCs w:val="24"/>
        </w:rPr>
        <w:t xml:space="preserve">„odběratel" </w:t>
      </w:r>
      <w:r>
        <w:rPr>
          <w:szCs w:val="24"/>
        </w:rPr>
        <w:t xml:space="preserve">na straně jedné a </w:t>
      </w:r>
    </w:p>
    <w:p w:rsidR="00952B18" w:rsidRDefault="00034B31">
      <w:pPr>
        <w:framePr w:w="1084" w:h="230" w:wrap="auto" w:hAnchor="margin" w:x="359" w:y="3556"/>
        <w:spacing w:line="225" w:lineRule="exact"/>
        <w:ind w:left="14"/>
        <w:rPr>
          <w:b/>
          <w:szCs w:val="24"/>
        </w:rPr>
      </w:pPr>
      <w:r>
        <w:rPr>
          <w:b/>
          <w:szCs w:val="24"/>
        </w:rPr>
        <w:t xml:space="preserve">Dodavatel: </w:t>
      </w:r>
    </w:p>
    <w:p w:rsidR="00952B18" w:rsidRDefault="00034B31">
      <w:pPr>
        <w:framePr w:w="3801" w:h="278" w:wrap="auto" w:hAnchor="margin" w:x="2452" w:y="3561"/>
        <w:spacing w:line="225" w:lineRule="exact"/>
        <w:ind w:left="14"/>
        <w:rPr>
          <w:b/>
          <w:szCs w:val="24"/>
        </w:rPr>
      </w:pPr>
      <w:r>
        <w:rPr>
          <w:b/>
          <w:szCs w:val="24"/>
        </w:rPr>
        <w:t xml:space="preserve">První novoměstská teplárenská s.r.o. </w:t>
      </w:r>
    </w:p>
    <w:p w:rsidR="00952B18" w:rsidRDefault="00034B31">
      <w:pPr>
        <w:framePr w:w="10286" w:h="1454" w:wrap="auto" w:hAnchor="margin" w:x="359" w:y="4050"/>
        <w:tabs>
          <w:tab w:val="left" w:pos="2087"/>
        </w:tabs>
        <w:spacing w:line="239" w:lineRule="exact"/>
        <w:rPr>
          <w:szCs w:val="24"/>
        </w:rPr>
      </w:pPr>
      <w:r>
        <w:rPr>
          <w:szCs w:val="24"/>
        </w:rPr>
        <w:t xml:space="preserve">Sídlo: </w:t>
      </w:r>
      <w:r>
        <w:rPr>
          <w:szCs w:val="24"/>
        </w:rPr>
        <w:tab/>
        <w:t xml:space="preserve">náměstí Republiky 6, 549 01 Nové Město nad Metují </w:t>
      </w:r>
    </w:p>
    <w:p w:rsidR="00952B18" w:rsidRDefault="00034B31">
      <w:pPr>
        <w:framePr w:w="10286" w:h="1454" w:wrap="auto" w:hAnchor="margin" w:x="359" w:y="4050"/>
        <w:tabs>
          <w:tab w:val="left" w:pos="2087"/>
        </w:tabs>
        <w:spacing w:line="239" w:lineRule="exact"/>
        <w:rPr>
          <w:szCs w:val="24"/>
        </w:rPr>
      </w:pPr>
      <w:r>
        <w:rPr>
          <w:szCs w:val="24"/>
        </w:rPr>
        <w:t xml:space="preserve">Zastoupená: </w:t>
      </w:r>
      <w:r>
        <w:rPr>
          <w:szCs w:val="24"/>
        </w:rPr>
        <w:tab/>
        <w:t>Miroslavem Koskem - jed</w:t>
      </w:r>
      <w:r>
        <w:rPr>
          <w:szCs w:val="24"/>
        </w:rPr>
        <w:t xml:space="preserve">natelem </w:t>
      </w:r>
    </w:p>
    <w:p w:rsidR="00952B18" w:rsidRDefault="00034B31">
      <w:pPr>
        <w:framePr w:w="10286" w:h="1454" w:wrap="auto" w:hAnchor="margin" w:x="359" w:y="4050"/>
        <w:tabs>
          <w:tab w:val="left" w:pos="2082"/>
        </w:tabs>
        <w:spacing w:line="249" w:lineRule="exact"/>
        <w:rPr>
          <w:szCs w:val="24"/>
        </w:rPr>
      </w:pPr>
      <w:r>
        <w:rPr>
          <w:szCs w:val="24"/>
        </w:rPr>
        <w:t xml:space="preserve">IČO: </w:t>
      </w:r>
      <w:r>
        <w:rPr>
          <w:szCs w:val="24"/>
        </w:rPr>
        <w:tab/>
        <w:t xml:space="preserve">27471454 </w:t>
      </w:r>
    </w:p>
    <w:p w:rsidR="00952B18" w:rsidRDefault="00034B31">
      <w:pPr>
        <w:framePr w:w="10286" w:h="1454" w:wrap="auto" w:hAnchor="margin" w:x="359" w:y="4050"/>
        <w:tabs>
          <w:tab w:val="left" w:pos="2087"/>
        </w:tabs>
        <w:spacing w:line="244" w:lineRule="exact"/>
        <w:rPr>
          <w:szCs w:val="24"/>
        </w:rPr>
      </w:pPr>
      <w:r>
        <w:rPr>
          <w:szCs w:val="24"/>
        </w:rPr>
        <w:t xml:space="preserve">'JIČ: </w:t>
      </w:r>
      <w:r>
        <w:rPr>
          <w:szCs w:val="24"/>
        </w:rPr>
        <w:tab/>
        <w:t xml:space="preserve">CZ27471454 </w:t>
      </w:r>
    </w:p>
    <w:p w:rsidR="00952B18" w:rsidRDefault="00034B31">
      <w:pPr>
        <w:framePr w:w="10286" w:h="1454" w:wrap="auto" w:hAnchor="margin" w:x="359" w:y="4050"/>
        <w:spacing w:before="14" w:line="230" w:lineRule="exact"/>
        <w:ind w:left="14" w:right="4"/>
        <w:rPr>
          <w:i/>
          <w:szCs w:val="24"/>
        </w:rPr>
      </w:pPr>
      <w:r>
        <w:rPr>
          <w:i/>
          <w:szCs w:val="24"/>
        </w:rPr>
        <w:t xml:space="preserve">Společnost je zapsaná do obchodního rejstříku vedeného Krajským soudem v Hradci Králové, oddíl </w:t>
      </w:r>
      <w:r>
        <w:rPr>
          <w:w w:val="90"/>
          <w:sz w:val="21"/>
          <w:szCs w:val="24"/>
        </w:rPr>
        <w:t xml:space="preserve">C, </w:t>
      </w:r>
      <w:r>
        <w:rPr>
          <w:i/>
          <w:szCs w:val="24"/>
        </w:rPr>
        <w:t xml:space="preserve">vložka 20969 </w:t>
      </w:r>
    </w:p>
    <w:p w:rsidR="00952B18" w:rsidRDefault="00034B31">
      <w:pPr>
        <w:framePr w:w="1665" w:h="484" w:wrap="auto" w:hAnchor="margin" w:x="364" w:y="5529"/>
        <w:spacing w:line="249" w:lineRule="exact"/>
        <w:ind w:left="4"/>
        <w:rPr>
          <w:szCs w:val="24"/>
        </w:rPr>
      </w:pPr>
      <w:r>
        <w:rPr>
          <w:szCs w:val="24"/>
        </w:rPr>
        <w:t xml:space="preserve">Bankovní spojení: </w:t>
      </w:r>
    </w:p>
    <w:p w:rsidR="00952B18" w:rsidRDefault="00034B31">
      <w:pPr>
        <w:framePr w:w="1665" w:h="484" w:wrap="auto" w:hAnchor="margin" w:x="364" w:y="5529"/>
        <w:spacing w:line="249" w:lineRule="exact"/>
        <w:ind w:left="4"/>
        <w:rPr>
          <w:szCs w:val="24"/>
        </w:rPr>
      </w:pPr>
      <w:r>
        <w:rPr>
          <w:szCs w:val="24"/>
        </w:rPr>
        <w:t xml:space="preserve">Číslo účtu: </w:t>
      </w:r>
    </w:p>
    <w:p w:rsidR="00952B18" w:rsidRDefault="00034B31" w:rsidP="007711F5">
      <w:pPr>
        <w:framePr w:w="1723" w:h="484" w:wrap="auto" w:hAnchor="margin" w:x="2456" w:y="5538"/>
        <w:spacing w:line="249" w:lineRule="exact"/>
        <w:ind w:left="4"/>
        <w:rPr>
          <w:szCs w:val="24"/>
        </w:rPr>
      </w:pPr>
      <w:r>
        <w:rPr>
          <w:szCs w:val="24"/>
        </w:rPr>
        <w:t xml:space="preserve"> </w:t>
      </w:r>
    </w:p>
    <w:p w:rsidR="00952B18" w:rsidRDefault="00034B31">
      <w:pPr>
        <w:framePr w:w="10276" w:h="767" w:wrap="auto" w:hAnchor="margin" w:x="364" w:y="6378"/>
        <w:spacing w:line="494" w:lineRule="exact"/>
        <w:ind w:left="119" w:right="6638"/>
        <w:rPr>
          <w:szCs w:val="24"/>
        </w:rPr>
      </w:pPr>
      <w:r>
        <w:rPr>
          <w:szCs w:val="24"/>
        </w:rPr>
        <w:t xml:space="preserve">dále jen </w:t>
      </w:r>
      <w:r>
        <w:rPr>
          <w:b/>
          <w:i/>
          <w:sz w:val="19"/>
          <w:szCs w:val="24"/>
        </w:rPr>
        <w:t xml:space="preserve">„dodavatel" </w:t>
      </w:r>
      <w:r>
        <w:rPr>
          <w:szCs w:val="24"/>
        </w:rPr>
        <w:t xml:space="preserve">na straně </w:t>
      </w:r>
      <w:r>
        <w:rPr>
          <w:szCs w:val="24"/>
        </w:rPr>
        <w:t xml:space="preserve">druhé uzavírají dnešního dne tento </w:t>
      </w:r>
    </w:p>
    <w:p w:rsidR="00952B18" w:rsidRDefault="00034B31">
      <w:pPr>
        <w:framePr w:w="10276" w:h="1151" w:wrap="auto" w:hAnchor="margin" w:x="364" w:y="7674"/>
        <w:spacing w:line="283" w:lineRule="exact"/>
        <w:ind w:left="4411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Dodatek </w:t>
      </w:r>
      <w:r>
        <w:rPr>
          <w:b/>
          <w:sz w:val="25"/>
          <w:szCs w:val="24"/>
        </w:rPr>
        <w:t xml:space="preserve">č. </w:t>
      </w:r>
      <w:r>
        <w:rPr>
          <w:b/>
          <w:sz w:val="26"/>
          <w:szCs w:val="24"/>
        </w:rPr>
        <w:t xml:space="preserve">1 </w:t>
      </w:r>
    </w:p>
    <w:p w:rsidR="00952B18" w:rsidRDefault="00034B31">
      <w:pPr>
        <w:framePr w:w="10276" w:h="1151" w:wrap="auto" w:hAnchor="margin" w:x="364" w:y="7674"/>
        <w:spacing w:line="436" w:lineRule="exact"/>
        <w:ind w:left="1636" w:right="1492"/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ke Kupní smlouvě o dodávce tepelné energie ze dne 11.10.2017 </w:t>
      </w:r>
    </w:p>
    <w:p w:rsidR="00952B18" w:rsidRDefault="00034B31">
      <w:pPr>
        <w:framePr w:w="10276" w:h="268" w:wrap="auto" w:hAnchor="margin" w:x="364" w:y="9076"/>
        <w:spacing w:line="220" w:lineRule="exact"/>
        <w:ind w:left="1425"/>
        <w:rPr>
          <w:sz w:val="18"/>
          <w:szCs w:val="24"/>
        </w:rPr>
      </w:pPr>
      <w:r>
        <w:rPr>
          <w:sz w:val="18"/>
          <w:szCs w:val="24"/>
        </w:rPr>
        <w:t xml:space="preserve">uzavřené podle§ 76 odst. 3 zákona </w:t>
      </w:r>
      <w:r>
        <w:rPr>
          <w:rFonts w:ascii="Times New Roman" w:hAnsi="Times New Roman"/>
          <w:w w:val="105"/>
          <w:szCs w:val="24"/>
        </w:rPr>
        <w:t xml:space="preserve">č. </w:t>
      </w:r>
      <w:r>
        <w:rPr>
          <w:sz w:val="18"/>
          <w:szCs w:val="24"/>
        </w:rPr>
        <w:t xml:space="preserve">458/2000 Sb., energetický zákon, v platném znění </w:t>
      </w:r>
    </w:p>
    <w:p w:rsidR="00952B18" w:rsidRDefault="00034B31">
      <w:pPr>
        <w:framePr w:w="10406" w:h="3955" w:wrap="auto" w:hAnchor="margin" w:x="364" w:y="9719"/>
        <w:spacing w:line="206" w:lineRule="exact"/>
        <w:ind w:left="5260"/>
        <w:rPr>
          <w:w w:val="107"/>
          <w:sz w:val="19"/>
          <w:szCs w:val="24"/>
        </w:rPr>
      </w:pPr>
      <w:r>
        <w:rPr>
          <w:w w:val="107"/>
          <w:sz w:val="19"/>
          <w:szCs w:val="24"/>
        </w:rPr>
        <w:t xml:space="preserve">I. </w:t>
      </w:r>
    </w:p>
    <w:p w:rsidR="00952B18" w:rsidRDefault="00034B31">
      <w:pPr>
        <w:framePr w:w="10406" w:h="3955" w:wrap="auto" w:hAnchor="margin" w:x="364" w:y="9719"/>
        <w:spacing w:line="287" w:lineRule="exact"/>
        <w:ind w:left="4166"/>
        <w:rPr>
          <w:b/>
          <w:sz w:val="19"/>
          <w:szCs w:val="24"/>
        </w:rPr>
      </w:pPr>
      <w:r>
        <w:rPr>
          <w:b/>
          <w:sz w:val="19"/>
          <w:szCs w:val="24"/>
        </w:rPr>
        <w:t xml:space="preserve">PŘEDMĚT DODATKU </w:t>
      </w:r>
    </w:p>
    <w:p w:rsidR="00952B18" w:rsidRDefault="00034B31">
      <w:pPr>
        <w:framePr w:w="10406" w:h="3955" w:wrap="auto" w:hAnchor="margin" w:x="364" w:y="9719"/>
        <w:spacing w:before="244" w:line="235" w:lineRule="exact"/>
        <w:ind w:left="19" w:right="14"/>
        <w:rPr>
          <w:szCs w:val="24"/>
        </w:rPr>
      </w:pPr>
      <w:r>
        <w:rPr>
          <w:szCs w:val="24"/>
        </w:rPr>
        <w:t xml:space="preserve">Na základě </w:t>
      </w:r>
      <w:r>
        <w:rPr>
          <w:szCs w:val="24"/>
        </w:rPr>
        <w:t xml:space="preserve">oboustranné dohody smluvních stran se prodlužuje doba trvání Kupní smlouvy o dodávce tepelné energie ze dne 11. 1 </w:t>
      </w:r>
      <w:r>
        <w:rPr>
          <w:rFonts w:ascii="Times New Roman" w:hAnsi="Times New Roman"/>
          <w:w w:val="74"/>
          <w:sz w:val="22"/>
          <w:szCs w:val="24"/>
        </w:rPr>
        <w:t xml:space="preserve">O. </w:t>
      </w:r>
      <w:r>
        <w:rPr>
          <w:szCs w:val="24"/>
        </w:rPr>
        <w:t xml:space="preserve">2017 (dále jen „Smlouva"). </w:t>
      </w:r>
    </w:p>
    <w:p w:rsidR="00952B18" w:rsidRDefault="00034B31">
      <w:pPr>
        <w:framePr w:w="10406" w:h="3955" w:wrap="auto" w:hAnchor="margin" w:x="364" w:y="9719"/>
        <w:spacing w:line="489" w:lineRule="exact"/>
        <w:ind w:left="14"/>
        <w:rPr>
          <w:szCs w:val="24"/>
        </w:rPr>
      </w:pPr>
      <w:r>
        <w:rPr>
          <w:szCs w:val="24"/>
        </w:rPr>
        <w:t xml:space="preserve">V čl. 6 se mění odst. 1 a zní takto: </w:t>
      </w:r>
    </w:p>
    <w:p w:rsidR="00952B18" w:rsidRDefault="00034B31">
      <w:pPr>
        <w:framePr w:w="10406" w:h="3955" w:wrap="auto" w:hAnchor="margin" w:x="364" w:y="9719"/>
        <w:spacing w:line="494" w:lineRule="exact"/>
        <w:ind w:left="9" w:right="3038"/>
        <w:rPr>
          <w:szCs w:val="24"/>
        </w:rPr>
      </w:pPr>
      <w:r>
        <w:rPr>
          <w:szCs w:val="24"/>
        </w:rPr>
        <w:t xml:space="preserve">Smlouva se uzavírá na dobu určitou s účinností od </w:t>
      </w:r>
      <w:r>
        <w:rPr>
          <w:b/>
          <w:szCs w:val="24"/>
        </w:rPr>
        <w:t>1.1.2018 do 31.12.2019.</w:t>
      </w:r>
      <w:r>
        <w:rPr>
          <w:b/>
          <w:szCs w:val="24"/>
        </w:rPr>
        <w:t xml:space="preserve"> </w:t>
      </w:r>
      <w:r>
        <w:rPr>
          <w:szCs w:val="24"/>
        </w:rPr>
        <w:t xml:space="preserve">V příloze č. 1 smlouvy se mění následující: </w:t>
      </w:r>
    </w:p>
    <w:p w:rsidR="00952B18" w:rsidRDefault="00034B31">
      <w:pPr>
        <w:framePr w:w="10406" w:h="3955" w:wrap="auto" w:hAnchor="margin" w:x="364" w:y="9719"/>
        <w:spacing w:line="489" w:lineRule="exact"/>
        <w:ind w:left="14"/>
        <w:rPr>
          <w:szCs w:val="24"/>
        </w:rPr>
      </w:pPr>
      <w:r>
        <w:rPr>
          <w:szCs w:val="24"/>
        </w:rPr>
        <w:t xml:space="preserve">2. Cenová doložka čl. 2.2 </w:t>
      </w:r>
    </w:p>
    <w:p w:rsidR="00952B18" w:rsidRDefault="00034B31">
      <w:pPr>
        <w:framePr w:w="10406" w:h="3955" w:wrap="auto" w:hAnchor="margin" w:x="364" w:y="9719"/>
        <w:spacing w:before="244" w:line="235" w:lineRule="exact"/>
        <w:ind w:left="19" w:right="14"/>
        <w:rPr>
          <w:szCs w:val="24"/>
        </w:rPr>
      </w:pPr>
      <w:r>
        <w:rPr>
          <w:szCs w:val="24"/>
        </w:rPr>
        <w:t xml:space="preserve">Předběžná cena dodávky tepelné energie se stanovuje pro období od 01. 01. 2019 do 31. 12. 2019 na částku 555,- Kč vč. DPH za GJ. </w:t>
      </w:r>
    </w:p>
    <w:p w:rsidR="00952B18" w:rsidRDefault="00034B31">
      <w:pPr>
        <w:framePr w:w="10276" w:h="215" w:wrap="auto" w:hAnchor="margin" w:x="364" w:y="14178"/>
        <w:spacing w:line="211" w:lineRule="exact"/>
        <w:ind w:left="4651"/>
        <w:rPr>
          <w:sz w:val="18"/>
          <w:szCs w:val="24"/>
        </w:rPr>
      </w:pPr>
      <w:r>
        <w:rPr>
          <w:sz w:val="18"/>
          <w:szCs w:val="24"/>
        </w:rPr>
        <w:t xml:space="preserve">Stránka 1 </w:t>
      </w:r>
      <w:r>
        <w:rPr>
          <w:w w:val="75"/>
          <w:sz w:val="18"/>
          <w:szCs w:val="24"/>
        </w:rPr>
        <w:t xml:space="preserve">z </w:t>
      </w:r>
      <w:r>
        <w:rPr>
          <w:sz w:val="18"/>
          <w:szCs w:val="24"/>
        </w:rPr>
        <w:t xml:space="preserve">2 </w:t>
      </w:r>
    </w:p>
    <w:p w:rsidR="00952B18" w:rsidRDefault="00952B18">
      <w:pPr>
        <w:rPr>
          <w:sz w:val="18"/>
          <w:szCs w:val="24"/>
        </w:rPr>
        <w:sectPr w:rsidR="00952B18">
          <w:pgSz w:w="11900" w:h="16840"/>
          <w:pgMar w:top="1113" w:right="720" w:bottom="360" w:left="408" w:header="708" w:footer="708" w:gutter="0"/>
          <w:cols w:space="708"/>
        </w:sectPr>
      </w:pPr>
    </w:p>
    <w:p w:rsidR="00952B18" w:rsidRDefault="00952B18">
      <w:pPr>
        <w:rPr>
          <w:sz w:val="2"/>
          <w:szCs w:val="24"/>
        </w:rPr>
      </w:pPr>
    </w:p>
    <w:p w:rsidR="00952B18" w:rsidRDefault="00034B31">
      <w:pPr>
        <w:framePr w:w="10271" w:h="1007" w:wrap="auto" w:hAnchor="margin" w:x="359" w:y="359"/>
        <w:spacing w:line="230" w:lineRule="exact"/>
        <w:ind w:left="9"/>
        <w:rPr>
          <w:sz w:val="19"/>
          <w:szCs w:val="24"/>
        </w:rPr>
      </w:pPr>
      <w:r>
        <w:rPr>
          <w:sz w:val="19"/>
          <w:szCs w:val="24"/>
        </w:rPr>
        <w:t>3. Dohoda o zálohách čl</w:t>
      </w:r>
      <w:r>
        <w:rPr>
          <w:sz w:val="19"/>
          <w:szCs w:val="24"/>
        </w:rPr>
        <w:t xml:space="preserve">. 3.3 </w:t>
      </w:r>
    </w:p>
    <w:p w:rsidR="00952B18" w:rsidRDefault="00034B31">
      <w:pPr>
        <w:framePr w:w="10271" w:h="1007" w:wrap="auto" w:hAnchor="margin" w:x="359" w:y="359"/>
        <w:spacing w:before="278" w:line="235" w:lineRule="exact"/>
        <w:ind w:left="14" w:right="335"/>
        <w:rPr>
          <w:sz w:val="19"/>
          <w:szCs w:val="24"/>
        </w:rPr>
      </w:pPr>
      <w:r>
        <w:rPr>
          <w:sz w:val="19"/>
          <w:szCs w:val="24"/>
        </w:rPr>
        <w:t xml:space="preserve">Dohoda o zálohách pro období od 01. 01. 2019 do 31. 12. 2019 při předpokládaném odběru tepla ve výši 1 700 GJ za rok, se mění následovně: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3"/>
        <w:gridCol w:w="2577"/>
        <w:gridCol w:w="552"/>
        <w:gridCol w:w="2021"/>
        <w:gridCol w:w="2592"/>
      </w:tblGrid>
      <w:tr w:rsidR="00952B18">
        <w:trPr>
          <w:trHeight w:hRule="exact" w:val="62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sz w:val="19"/>
                <w:szCs w:val="24"/>
              </w:rPr>
            </w:pPr>
          </w:p>
        </w:tc>
        <w:tc>
          <w:tcPr>
            <w:tcW w:w="3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249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OM 1: 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</w:tr>
      <w:tr w:rsidR="00952B18">
        <w:trPr>
          <w:trHeight w:hRule="exact" w:val="25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Splatnost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left="28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Výše zálohy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left="825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Splatnost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643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Výše zálohy </w:t>
            </w:r>
          </w:p>
        </w:tc>
      </w:tr>
      <w:tr w:rsidR="00952B18">
        <w:trPr>
          <w:trHeight w:hRule="exact" w:val="25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15.1.2019 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547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0,- Kč vč. DPH 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695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15.7.2019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19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>0,- Kč vč</w:t>
            </w:r>
            <w:r>
              <w:rPr>
                <w:sz w:val="19"/>
                <w:szCs w:val="24"/>
              </w:rPr>
              <w:t xml:space="preserve">. DPH </w:t>
            </w:r>
          </w:p>
        </w:tc>
      </w:tr>
      <w:tr w:rsidR="00952B18">
        <w:trPr>
          <w:trHeight w:hRule="exact" w:val="25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15.2.2019 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547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0,- Kč vč. DPH 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695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15.8.2019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19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0,- Kč vč. DPH </w:t>
            </w:r>
          </w:p>
        </w:tc>
      </w:tr>
      <w:tr w:rsidR="00952B18">
        <w:trPr>
          <w:trHeight w:hRule="exact" w:val="25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15.3.2019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235 875,- Kč vč. DPH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15.9.2019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19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235 875,- Kč vč. DPH </w:t>
            </w:r>
          </w:p>
        </w:tc>
      </w:tr>
      <w:tr w:rsidR="00952B18">
        <w:trPr>
          <w:trHeight w:hRule="exact" w:val="25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15.4.2019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0,- Kč vč. DPH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left="825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15.10.2019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19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0,- Kč vč. DPH </w:t>
            </w:r>
          </w:p>
        </w:tc>
      </w:tr>
      <w:tr w:rsidR="00952B18">
        <w:trPr>
          <w:trHeight w:hRule="exact" w:val="249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15.5.2019 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0,- Kč vč. DPH 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left="825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15.11.2019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19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0,- Kč vč. DPH </w:t>
            </w:r>
          </w:p>
        </w:tc>
      </w:tr>
      <w:tr w:rsidR="00952B18">
        <w:trPr>
          <w:trHeight w:hRule="exact" w:val="26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748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15.6.2019 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547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235 875,- Kč vč. DPH </w:t>
            </w: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695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15.12.2019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19"/>
              <w:jc w:val="right"/>
              <w:rPr>
                <w:sz w:val="19"/>
                <w:szCs w:val="24"/>
              </w:rPr>
            </w:pPr>
            <w:r>
              <w:rPr>
                <w:sz w:val="19"/>
                <w:szCs w:val="24"/>
              </w:rPr>
              <w:t xml:space="preserve">235 875,- Kč vč. DPH </w:t>
            </w:r>
          </w:p>
        </w:tc>
      </w:tr>
      <w:tr w:rsidR="00952B18">
        <w:trPr>
          <w:trHeight w:hRule="exact" w:val="25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left="11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CELKEM 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177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943 500,- Kč vč. DPH </w:t>
            </w:r>
          </w:p>
        </w:tc>
      </w:tr>
      <w:tr w:rsidR="00952B18">
        <w:trPr>
          <w:trHeight w:hRule="exact" w:val="287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left="119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Variabilní symbol: </w:t>
            </w:r>
          </w:p>
        </w:tc>
        <w:tc>
          <w:tcPr>
            <w:tcW w:w="2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  <w:tc>
          <w:tcPr>
            <w:tcW w:w="2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952B18">
            <w:pPr>
              <w:framePr w:w="10305" w:h="2966" w:wrap="auto" w:hAnchor="margin" w:x="450" w:y="1626"/>
              <w:jc w:val="center"/>
              <w:rPr>
                <w:b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B18" w:rsidRDefault="00034B31">
            <w:pPr>
              <w:framePr w:w="10305" w:h="2966" w:wrap="auto" w:hAnchor="margin" w:x="450" w:y="1626"/>
              <w:ind w:right="643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1424001010 </w:t>
            </w:r>
          </w:p>
        </w:tc>
      </w:tr>
    </w:tbl>
    <w:p w:rsidR="00952B18" w:rsidRDefault="00034B31">
      <w:pPr>
        <w:framePr w:w="10271" w:h="2092" w:wrap="auto" w:hAnchor="margin" w:x="363" w:y="4789"/>
        <w:spacing w:line="230" w:lineRule="exact"/>
        <w:ind w:left="9"/>
        <w:rPr>
          <w:sz w:val="19"/>
          <w:szCs w:val="24"/>
        </w:rPr>
      </w:pPr>
      <w:r>
        <w:rPr>
          <w:sz w:val="19"/>
          <w:szCs w:val="24"/>
        </w:rPr>
        <w:t>Dodávka tepla pro vytápění a dodávka TUV je během úč</w:t>
      </w:r>
      <w:r>
        <w:rPr>
          <w:sz w:val="19"/>
          <w:szCs w:val="24"/>
        </w:rPr>
        <w:t xml:space="preserve">tovacího období hrazena formou záloh. </w:t>
      </w:r>
    </w:p>
    <w:p w:rsidR="00952B18" w:rsidRDefault="00034B31">
      <w:pPr>
        <w:framePr w:w="10271" w:h="2092" w:wrap="auto" w:hAnchor="margin" w:x="363" w:y="4789"/>
        <w:spacing w:before="19" w:line="254" w:lineRule="exact"/>
        <w:ind w:right="230"/>
        <w:rPr>
          <w:sz w:val="19"/>
          <w:szCs w:val="24"/>
        </w:rPr>
      </w:pPr>
      <w:r>
        <w:rPr>
          <w:sz w:val="19"/>
          <w:szCs w:val="24"/>
        </w:rPr>
        <w:t xml:space="preserve">Platební kalendář úhrady záloh na dodávku tepla pro sjednané smluvní období je součástí tohoto dodatku. Zúčtovacím obdobím pro dodávku tepla a TUV je sjednané smluvní období. </w:t>
      </w:r>
    </w:p>
    <w:p w:rsidR="00952B18" w:rsidRDefault="00034B31">
      <w:pPr>
        <w:framePr w:w="10271" w:h="2092" w:wrap="auto" w:hAnchor="margin" w:x="363" w:y="4789"/>
        <w:spacing w:before="311" w:line="239" w:lineRule="exact"/>
        <w:ind w:right="4"/>
        <w:rPr>
          <w:sz w:val="19"/>
          <w:szCs w:val="24"/>
        </w:rPr>
      </w:pPr>
      <w:r>
        <w:rPr>
          <w:sz w:val="19"/>
          <w:szCs w:val="24"/>
        </w:rPr>
        <w:t>Po ukončení smluvního období provede doda</w:t>
      </w:r>
      <w:r>
        <w:rPr>
          <w:sz w:val="19"/>
          <w:szCs w:val="24"/>
        </w:rPr>
        <w:t>vatel do 28. 2. následujícího roku vyrovnání předběžné ceny tepla na cenu kupní. Dodavatel stanoví kupní cenu tepla na základě již známých cen vstupů, vynásobí ji počtem GJ a vystaví konečnou fakturu, tj. vyúčtování, ve kterém zohlední zaplacené zálohy. Vš</w:t>
      </w:r>
      <w:r>
        <w:rPr>
          <w:sz w:val="19"/>
          <w:szCs w:val="24"/>
        </w:rPr>
        <w:t xml:space="preserve">e v souladu s pravidly cenové regulace. </w:t>
      </w:r>
    </w:p>
    <w:p w:rsidR="00952B18" w:rsidRDefault="00034B31">
      <w:pPr>
        <w:framePr w:w="10262" w:h="638" w:wrap="auto" w:hAnchor="margin" w:x="368" w:y="7199"/>
        <w:spacing w:line="225" w:lineRule="exact"/>
        <w:ind w:left="5241"/>
        <w:rPr>
          <w:sz w:val="19"/>
          <w:szCs w:val="24"/>
        </w:rPr>
      </w:pPr>
      <w:r>
        <w:rPr>
          <w:sz w:val="19"/>
          <w:szCs w:val="24"/>
        </w:rPr>
        <w:t xml:space="preserve">li. </w:t>
      </w:r>
    </w:p>
    <w:p w:rsidR="00952B18" w:rsidRDefault="00034B31">
      <w:pPr>
        <w:framePr w:w="10262" w:h="638" w:wrap="auto" w:hAnchor="margin" w:x="368" w:y="7199"/>
        <w:spacing w:line="403" w:lineRule="exact"/>
        <w:ind w:left="3580"/>
        <w:rPr>
          <w:b/>
          <w:szCs w:val="24"/>
        </w:rPr>
      </w:pPr>
      <w:r>
        <w:rPr>
          <w:b/>
          <w:szCs w:val="24"/>
        </w:rPr>
        <w:t xml:space="preserve">OSTANÍ A ZÁVĚREČNÁ UJEDNÁNÍ </w:t>
      </w:r>
    </w:p>
    <w:p w:rsidR="00952B18" w:rsidRDefault="00034B31">
      <w:pPr>
        <w:framePr w:w="10372" w:h="1886" w:wrap="auto" w:hAnchor="margin" w:x="363" w:y="8322"/>
        <w:numPr>
          <w:ilvl w:val="0"/>
          <w:numId w:val="1"/>
        </w:numPr>
        <w:spacing w:line="230" w:lineRule="exact"/>
        <w:ind w:left="359" w:hanging="340"/>
        <w:rPr>
          <w:sz w:val="19"/>
          <w:szCs w:val="24"/>
        </w:rPr>
      </w:pPr>
      <w:r>
        <w:rPr>
          <w:sz w:val="19"/>
          <w:szCs w:val="24"/>
        </w:rPr>
        <w:t xml:space="preserve">Ostatní ujednání Smlouvy se nemění. </w:t>
      </w:r>
    </w:p>
    <w:p w:rsidR="00952B18" w:rsidRDefault="00034B31">
      <w:pPr>
        <w:framePr w:w="10372" w:h="1886" w:wrap="auto" w:hAnchor="margin" w:x="363" w:y="8322"/>
        <w:numPr>
          <w:ilvl w:val="0"/>
          <w:numId w:val="1"/>
        </w:numPr>
        <w:spacing w:before="139" w:line="235" w:lineRule="exact"/>
        <w:ind w:left="359" w:right="9" w:hanging="345"/>
        <w:rPr>
          <w:sz w:val="19"/>
          <w:szCs w:val="24"/>
        </w:rPr>
      </w:pPr>
      <w:r>
        <w:rPr>
          <w:sz w:val="19"/>
          <w:szCs w:val="24"/>
        </w:rPr>
        <w:t xml:space="preserve">Dodatek nabývá platnosti dnem jeho podpisu oběma smluvními stranami a účinnosti dnem jeho zveřejnění v registru smluv. </w:t>
      </w:r>
    </w:p>
    <w:p w:rsidR="00952B18" w:rsidRDefault="00034B31">
      <w:pPr>
        <w:framePr w:w="10372" w:h="1886" w:wrap="auto" w:hAnchor="margin" w:x="363" w:y="8322"/>
        <w:numPr>
          <w:ilvl w:val="0"/>
          <w:numId w:val="1"/>
        </w:numPr>
        <w:spacing w:before="139" w:line="235" w:lineRule="exact"/>
        <w:ind w:left="359" w:right="9" w:hanging="345"/>
        <w:rPr>
          <w:sz w:val="19"/>
          <w:szCs w:val="24"/>
        </w:rPr>
      </w:pPr>
      <w:r>
        <w:rPr>
          <w:sz w:val="19"/>
          <w:szCs w:val="24"/>
        </w:rPr>
        <w:t xml:space="preserve">Obě smluvní strany </w:t>
      </w:r>
      <w:r>
        <w:rPr>
          <w:sz w:val="19"/>
          <w:szCs w:val="24"/>
        </w:rPr>
        <w:t xml:space="preserve">prohlašují, že tento dodatek uzavírají na základě jejich svobodné a pravé vůle, jeho obsah podrobně znají a souhlasí s ním. </w:t>
      </w:r>
    </w:p>
    <w:p w:rsidR="00952B18" w:rsidRDefault="00034B31">
      <w:pPr>
        <w:framePr w:w="10372" w:h="1886" w:wrap="auto" w:hAnchor="margin" w:x="363" w:y="8322"/>
        <w:numPr>
          <w:ilvl w:val="0"/>
          <w:numId w:val="1"/>
        </w:numPr>
        <w:spacing w:line="388" w:lineRule="exact"/>
        <w:ind w:left="355" w:hanging="350"/>
        <w:rPr>
          <w:sz w:val="19"/>
          <w:szCs w:val="24"/>
        </w:rPr>
      </w:pPr>
      <w:r>
        <w:rPr>
          <w:sz w:val="19"/>
          <w:szCs w:val="24"/>
        </w:rPr>
        <w:t xml:space="preserve">Tento dodatek je vyhotoven ve dvou vyhotoveních, po jednom pro každou smluvní stranu. </w:t>
      </w:r>
    </w:p>
    <w:p w:rsidR="00952B18" w:rsidRDefault="00034B31">
      <w:pPr>
        <w:framePr w:w="4713" w:h="292" w:wrap="auto" w:hAnchor="margin" w:x="373" w:y="11053"/>
        <w:tabs>
          <w:tab w:val="left" w:pos="3330"/>
        </w:tabs>
        <w:spacing w:line="235" w:lineRule="exact"/>
        <w:rPr>
          <w:rFonts w:ascii="Times New Roman" w:hAnsi="Times New Roman"/>
          <w:i/>
          <w:w w:val="84"/>
          <w:sz w:val="21"/>
          <w:szCs w:val="24"/>
        </w:rPr>
      </w:pPr>
      <w:r>
        <w:rPr>
          <w:sz w:val="19"/>
          <w:szCs w:val="24"/>
        </w:rPr>
        <w:t xml:space="preserve">V Novém Městě nad Metují dne </w:t>
      </w:r>
      <w:r>
        <w:rPr>
          <w:sz w:val="19"/>
          <w:szCs w:val="24"/>
        </w:rPr>
        <w:tab/>
      </w:r>
      <w:r>
        <w:rPr>
          <w:rFonts w:ascii="Times New Roman" w:hAnsi="Times New Roman"/>
          <w:i/>
          <w:w w:val="84"/>
          <w:sz w:val="21"/>
          <w:szCs w:val="24"/>
        </w:rPr>
        <w:t>4.12.2018</w:t>
      </w:r>
      <w:r>
        <w:rPr>
          <w:rFonts w:ascii="Times New Roman" w:hAnsi="Times New Roman"/>
          <w:i/>
          <w:w w:val="84"/>
          <w:sz w:val="21"/>
          <w:szCs w:val="24"/>
        </w:rPr>
        <w:t xml:space="preserve"> </w:t>
      </w:r>
    </w:p>
    <w:p w:rsidR="00952B18" w:rsidRDefault="00952B18">
      <w:pPr>
        <w:framePr w:w="7775" w:h="1151" w:wrap="auto" w:hAnchor="margin" w:x="1621" w:y="11787"/>
        <w:rPr>
          <w:sz w:val="19"/>
          <w:szCs w:val="24"/>
        </w:rPr>
      </w:pPr>
      <w:bookmarkStart w:id="0" w:name="_GoBack"/>
      <w:bookmarkEnd w:id="0"/>
    </w:p>
    <w:p w:rsidR="00952B18" w:rsidRDefault="00034B31" w:rsidP="00034B31">
      <w:pPr>
        <w:framePr w:w="3191" w:h="1425" w:wrap="auto" w:hAnchor="margin" w:x="901" w:y="13026"/>
        <w:spacing w:line="307" w:lineRule="exact"/>
        <w:ind w:left="527" w:right="76" w:hanging="527"/>
        <w:rPr>
          <w:rFonts w:ascii="Times New Roman" w:hAnsi="Times New Roman"/>
          <w:sz w:val="18"/>
          <w:szCs w:val="24"/>
        </w:rPr>
      </w:pPr>
      <w:r>
        <w:rPr>
          <w:sz w:val="19"/>
          <w:szCs w:val="24"/>
        </w:rPr>
        <w:t xml:space="preserve">Mgr. Jana Balcarová - ředitelka </w:t>
      </w:r>
    </w:p>
    <w:p w:rsidR="00952B18" w:rsidRPr="00034B31" w:rsidRDefault="00034B31" w:rsidP="00034B31">
      <w:pPr>
        <w:framePr w:w="2678" w:h="1276" w:wrap="auto" w:hAnchor="margin" w:x="7453" w:y="12997"/>
        <w:spacing w:line="283" w:lineRule="exact"/>
        <w:ind w:left="143"/>
        <w:rPr>
          <w:sz w:val="19"/>
          <w:szCs w:val="24"/>
        </w:rPr>
      </w:pPr>
      <w:r>
        <w:rPr>
          <w:sz w:val="19"/>
          <w:szCs w:val="24"/>
        </w:rPr>
        <w:t>M</w:t>
      </w:r>
      <w:r>
        <w:rPr>
          <w:sz w:val="19"/>
          <w:szCs w:val="24"/>
        </w:rPr>
        <w:t xml:space="preserve">ir/slav Kosek - jednatel </w:t>
      </w:r>
    </w:p>
    <w:p w:rsidR="00952B18" w:rsidRDefault="00034B31">
      <w:pPr>
        <w:framePr w:w="1108" w:h="211" w:wrap="auto" w:hAnchor="margin" w:x="4995" w:y="14154"/>
        <w:spacing w:line="206" w:lineRule="exact"/>
        <w:ind w:left="9"/>
        <w:rPr>
          <w:b/>
          <w:sz w:val="18"/>
          <w:szCs w:val="24"/>
        </w:rPr>
      </w:pPr>
      <w:r>
        <w:rPr>
          <w:rFonts w:ascii="Times New Roman" w:hAnsi="Times New Roman"/>
          <w:w w:val="86"/>
          <w:szCs w:val="24"/>
        </w:rPr>
        <w:t xml:space="preserve">Stránka </w:t>
      </w:r>
      <w:r>
        <w:rPr>
          <w:b/>
          <w:sz w:val="18"/>
          <w:szCs w:val="24"/>
        </w:rPr>
        <w:t xml:space="preserve">2 </w:t>
      </w:r>
      <w:r>
        <w:rPr>
          <w:rFonts w:ascii="Times New Roman" w:hAnsi="Times New Roman"/>
          <w:w w:val="86"/>
          <w:szCs w:val="24"/>
        </w:rPr>
        <w:t xml:space="preserve">z </w:t>
      </w:r>
      <w:r>
        <w:rPr>
          <w:b/>
          <w:sz w:val="18"/>
          <w:szCs w:val="24"/>
        </w:rPr>
        <w:t xml:space="preserve">2 </w:t>
      </w:r>
    </w:p>
    <w:sectPr w:rsidR="00952B18">
      <w:pgSz w:w="11900" w:h="16840"/>
      <w:pgMar w:top="1075" w:right="720" w:bottom="360" w:left="42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hyphenationZone w:val="425"/>
  <w:doNotShadeFormData/>
  <w:characterSpacingControl w:val="compressPunctuation"/>
  <w:savePreviewPicture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18"/>
    <w:rsid w:val="00034B31"/>
    <w:rsid w:val="007711F5"/>
    <w:rsid w:val="00952B18"/>
    <w:rsid w:val="00A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E962F"/>
  <w15:docId w15:val="{F26BA6A9-9288-4F34-845F-36F41073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99"/>
    <w:pPr>
      <w:widowControl w:val="0"/>
      <w:autoSpaceDE w:val="0"/>
      <w:autoSpaceDN w:val="0"/>
      <w:adjustRightInd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Readiris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Readiris</dc:title>
  <dc:creator>Uživatel systému Windows</dc:creator>
  <cp:keywords>CreatedByIRIS_Readiris_15.2.2</cp:keywords>
  <cp:lastModifiedBy>MSSS Oáza</cp:lastModifiedBy>
  <cp:revision>2</cp:revision>
  <dcterms:created xsi:type="dcterms:W3CDTF">2019-01-22T10:06:00Z</dcterms:created>
  <dcterms:modified xsi:type="dcterms:W3CDTF">2019-01-22T10:06:00Z</dcterms:modified>
</cp:coreProperties>
</file>