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1607" w:y="103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5mkJuva o poskytnutí náhradního plnění, vzor ISAB, 2019</w:t>
      </w:r>
    </w:p>
    <w:p>
      <w:pPr>
        <w:pStyle w:val="Style4"/>
        <w:framePr w:w="8707" w:h="1364" w:hRule="exact" w:wrap="none" w:vAnchor="page" w:hAnchor="page" w:x="1597" w:y="178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Smlouva o poskytnutí náhradního plnění č. 1452</w:t>
      </w:r>
      <w:bookmarkEnd w:id="0"/>
    </w:p>
    <w:p>
      <w:pPr>
        <w:pStyle w:val="Style6"/>
        <w:framePr w:w="8707" w:h="1364" w:hRule="exact" w:wrap="none" w:vAnchor="page" w:hAnchor="page" w:x="1597" w:y="1782"/>
        <w:widowControl w:val="0"/>
        <w:keepNext w:val="0"/>
        <w:keepLines w:val="0"/>
        <w:shd w:val="clear" w:color="auto" w:fill="auto"/>
        <w:bidi w:val="0"/>
        <w:spacing w:before="0" w:after="182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uzavřená jako smlouva nepojmenovaná dle ust. §1746 odst. 2 zákona č. 89/2012 Sb., občanský zákoník</w:t>
      </w:r>
    </w:p>
    <w:p>
      <w:pPr>
        <w:pStyle w:val="Style8"/>
        <w:framePr w:w="8707" w:h="1364" w:hRule="exact" w:wrap="none" w:vAnchor="page" w:hAnchor="page" w:x="1597" w:y="1782"/>
        <w:widowControl w:val="0"/>
        <w:keepNext w:val="0"/>
        <w:keepLines w:val="0"/>
        <w:shd w:val="clear" w:color="auto" w:fill="auto"/>
        <w:bidi w:val="0"/>
        <w:spacing w:before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„smlouva")</w:t>
      </w:r>
    </w:p>
    <w:p>
      <w:pPr>
        <w:pStyle w:val="Style8"/>
        <w:framePr w:w="8707" w:h="1364" w:hRule="exact" w:wrap="none" w:vAnchor="page" w:hAnchor="page" w:x="1597" w:y="178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mezi stranami:</w:t>
      </w:r>
    </w:p>
    <w:p>
      <w:pPr>
        <w:pStyle w:val="Style10"/>
        <w:framePr w:w="8707" w:h="3336" w:hRule="exact" w:wrap="none" w:vAnchor="page" w:hAnchor="page" w:x="1597" w:y="320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Europatron s.r.o.</w:t>
      </w:r>
    </w:p>
    <w:p>
      <w:pPr>
        <w:pStyle w:val="Style8"/>
        <w:framePr w:w="8707" w:h="3336" w:hRule="exact" w:wrap="none" w:vAnchor="page" w:hAnchor="page" w:x="1597" w:y="3209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40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 Poděbradská 186/56, 198 00 Praha 9 - Hloubětín jednající: Tomáš Kocner, jednatel společnosti</w:t>
      </w:r>
    </w:p>
    <w:p>
      <w:pPr>
        <w:pStyle w:val="Style8"/>
        <w:framePr w:w="8707" w:h="3336" w:hRule="exact" w:wrap="none" w:vAnchor="page" w:hAnchor="page" w:x="1597" w:y="3209"/>
        <w:tabs>
          <w:tab w:leader="none" w:pos="6601" w:val="right"/>
          <w:tab w:leader="none" w:pos="6727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 48290394</w:t>
        <w:tab/>
        <w:t>DIČ:</w:t>
        <w:tab/>
        <w:t>CZ48290394</w:t>
      </w:r>
    </w:p>
    <w:p>
      <w:pPr>
        <w:pStyle w:val="Style8"/>
        <w:framePr w:w="8707" w:h="3336" w:hRule="exact" w:wrap="none" w:vAnchor="page" w:hAnchor="page" w:x="1597" w:y="3209"/>
        <w:tabs>
          <w:tab w:leader="none" w:pos="2340" w:val="left"/>
          <w:tab w:leader="none" w:pos="5988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spojení: Komerční</w:t>
        <w:tab/>
        <w:t>banka, a.s.</w:t>
        <w:tab/>
        <w:t>číslo účtu: '</w:t>
      </w:r>
    </w:p>
    <w:p>
      <w:pPr>
        <w:pStyle w:val="Style8"/>
        <w:framePr w:w="8707" w:h="3336" w:hRule="exact" w:wrap="none" w:vAnchor="page" w:hAnchor="page" w:x="1597" w:y="3209"/>
        <w:widowControl w:val="0"/>
        <w:keepNext w:val="0"/>
        <w:keepLines w:val="0"/>
        <w:shd w:val="clear" w:color="auto" w:fill="auto"/>
        <w:bidi w:val="0"/>
        <w:jc w:val="left"/>
        <w:spacing w:before="0" w:after="221" w:line="216" w:lineRule="exact"/>
        <w:ind w:left="0" w:right="13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Zapsaná v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OR </w:t>
      </w:r>
      <w:r>
        <w:rPr>
          <w:lang w:val="cs-CZ" w:eastAsia="cs-CZ" w:bidi="cs-CZ"/>
          <w:w w:val="100"/>
          <w:spacing w:val="0"/>
          <w:color w:val="000000"/>
          <w:position w:val="0"/>
        </w:rPr>
        <w:t>u Městského soudu v Praze, oddíl C, vložka 41474, zápisem ze dne 28. 5. 1993 (dále jen „Europatron s.r.o." či „dodavatel")</w:t>
      </w:r>
    </w:p>
    <w:p>
      <w:pPr>
        <w:pStyle w:val="Style8"/>
        <w:framePr w:w="8707" w:h="3336" w:hRule="exact" w:wrap="none" w:vAnchor="page" w:hAnchor="page" w:x="1597" w:y="3209"/>
        <w:widowControl w:val="0"/>
        <w:keepNext w:val="0"/>
        <w:keepLines w:val="0"/>
        <w:shd w:val="clear" w:color="auto" w:fill="auto"/>
        <w:bidi w:val="0"/>
        <w:jc w:val="both"/>
        <w:spacing w:before="0" w:after="179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</w:p>
    <w:p>
      <w:pPr>
        <w:pStyle w:val="Style10"/>
        <w:framePr w:w="8707" w:h="3336" w:hRule="exact" w:wrap="none" w:vAnchor="page" w:hAnchor="page" w:x="1597" w:y="320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Základní škola a Mateřská škola Věry Čáslavské, Praha 6</w:t>
      </w:r>
    </w:p>
    <w:p>
      <w:pPr>
        <w:pStyle w:val="Style8"/>
        <w:framePr w:w="8707" w:h="3336" w:hRule="exact" w:wrap="none" w:vAnchor="page" w:hAnchor="page" w:x="1597" w:y="3209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41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 Šantrochova 1800/2, 162 00 Praha 6 - Břevnov jednající: Mgr. Milena Kořenová, ředitelka školy v. z.</w:t>
      </w:r>
    </w:p>
    <w:p>
      <w:pPr>
        <w:pStyle w:val="Style8"/>
        <w:framePr w:w="8707" w:h="3336" w:hRule="exact" w:wrap="none" w:vAnchor="page" w:hAnchor="page" w:x="1597" w:y="3209"/>
        <w:tabs>
          <w:tab w:leader="none" w:pos="6601" w:val="right"/>
          <w:tab w:leader="none" w:pos="6727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 48133779</w:t>
        <w:tab/>
        <w:t>DIČ:</w:t>
        <w:tab/>
        <w:t>CZ48133779</w:t>
      </w:r>
    </w:p>
    <w:p>
      <w:pPr>
        <w:pStyle w:val="Style8"/>
        <w:framePr w:w="8707" w:h="3336" w:hRule="exact" w:wrap="none" w:vAnchor="page" w:hAnchor="page" w:x="1597" w:y="3209"/>
        <w:tabs>
          <w:tab w:leader="none" w:pos="2340" w:val="left"/>
          <w:tab w:leader="none" w:pos="5988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spojení: Komerční</w:t>
        <w:tab/>
        <w:t>banka</w:t>
        <w:tab/>
        <w:t>číslo účtu:</w:t>
      </w:r>
    </w:p>
    <w:p>
      <w:pPr>
        <w:pStyle w:val="Style8"/>
        <w:framePr w:w="8707" w:h="3336" w:hRule="exact" w:wrap="none" w:vAnchor="page" w:hAnchor="page" w:x="1597" w:y="3209"/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„zákazník")</w:t>
      </w:r>
    </w:p>
    <w:p>
      <w:pPr>
        <w:pStyle w:val="Style12"/>
        <w:framePr w:w="8707" w:h="3327" w:hRule="exact" w:wrap="none" w:vAnchor="page" w:hAnchor="page" w:x="1597" w:y="669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I.</w:t>
      </w:r>
      <w:bookmarkEnd w:id="1"/>
    </w:p>
    <w:p>
      <w:pPr>
        <w:pStyle w:val="Style14"/>
        <w:framePr w:w="8707" w:h="3327" w:hRule="exact" w:wrap="none" w:vAnchor="page" w:hAnchor="page" w:x="1597" w:y="6698"/>
        <w:widowControl w:val="0"/>
        <w:keepNext w:val="0"/>
        <w:keepLines w:val="0"/>
        <w:shd w:val="clear" w:color="auto" w:fill="auto"/>
        <w:bidi w:val="0"/>
        <w:spacing w:before="0" w:after="187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Preambule</w:t>
      </w:r>
      <w:bookmarkEnd w:id="2"/>
    </w:p>
    <w:p>
      <w:pPr>
        <w:pStyle w:val="Style8"/>
        <w:framePr w:w="8707" w:h="3327" w:hRule="exact" w:wrap="none" w:vAnchor="page" w:hAnchor="page" w:x="1597" w:y="6698"/>
        <w:widowControl w:val="0"/>
        <w:keepNext w:val="0"/>
        <w:keepLines w:val="0"/>
        <w:shd w:val="clear" w:color="auto" w:fill="auto"/>
        <w:bidi w:val="0"/>
        <w:jc w:val="both"/>
        <w:spacing w:before="0" w:after="200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Europatron s.r.o. prohlašuje, že zaměstnává více než 50% osob se zdravotním postižením a splňuje tak podmínku § 81 odst. 2 písm. b zákona č. 435/2004 Sb., o zaměstnanosti v platném znění.</w:t>
      </w:r>
    </w:p>
    <w:p>
      <w:pPr>
        <w:pStyle w:val="Style8"/>
        <w:framePr w:w="8707" w:h="3327" w:hRule="exact" w:wrap="none" w:vAnchor="page" w:hAnchor="page" w:x="1597" w:y="6698"/>
        <w:widowControl w:val="0"/>
        <w:keepNext w:val="0"/>
        <w:keepLines w:val="0"/>
        <w:shd w:val="clear" w:color="auto" w:fill="auto"/>
        <w:bidi w:val="0"/>
        <w:jc w:val="both"/>
        <w:spacing w:before="0" w:after="196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Podle § 81 zákona jsou zaměstnavatelé s více než 25 zaměstnanci v pracovním poměru povinni zaměstnávat osoby se zdravotním postižením ve výši povinného podílu těchto osob na celkovém počtu zaměstnanců. Povinný podíl činí 4%. Tuto povinnost lze splnit i odebíráním výrobků nebo služeb od zaměstnavatelů zaměstnávajících více než 50% zaměstnanců, kteří jsou osobami se zdravotním postižením.</w:t>
      </w:r>
    </w:p>
    <w:p>
      <w:pPr>
        <w:pStyle w:val="Style8"/>
        <w:framePr w:w="8707" w:h="3327" w:hRule="exact" w:wrap="none" w:vAnchor="page" w:hAnchor="page" w:x="1597" w:y="6698"/>
        <w:widowControl w:val="0"/>
        <w:keepNext w:val="0"/>
        <w:keepLines w:val="0"/>
        <w:shd w:val="clear" w:color="auto" w:fill="auto"/>
        <w:bidi w:val="0"/>
        <w:jc w:val="both"/>
        <w:spacing w:before="0" w:after="225" w:line="22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Zákazník tak svou zákonnou povinnost může splnit odebráním výrobků a služeb od dodavatele (dále jen „náhradní plnění").</w:t>
      </w:r>
    </w:p>
    <w:p>
      <w:pPr>
        <w:pStyle w:val="Style8"/>
        <w:framePr w:w="8707" w:h="3327" w:hRule="exact" w:wrap="none" w:vAnchor="page" w:hAnchor="page" w:x="1597" w:y="669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Účastníci se proto dohodli na uzavření této smlouvy.</w:t>
      </w:r>
    </w:p>
    <w:p>
      <w:pPr>
        <w:pStyle w:val="Style16"/>
        <w:framePr w:w="8707" w:h="3066" w:hRule="exact" w:wrap="none" w:vAnchor="page" w:hAnchor="page" w:x="1597" w:y="1021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II.</w:t>
      </w:r>
    </w:p>
    <w:p>
      <w:pPr>
        <w:pStyle w:val="Style14"/>
        <w:framePr w:w="8707" w:h="3066" w:hRule="exact" w:wrap="none" w:vAnchor="page" w:hAnchor="page" w:x="1597" w:y="10219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Dohoda o poskytnutí a odběru náhradního plnění</w:t>
      </w:r>
      <w:bookmarkEnd w:id="3"/>
    </w:p>
    <w:p>
      <w:pPr>
        <w:pStyle w:val="Style8"/>
        <w:framePr w:w="8707" w:h="3066" w:hRule="exact" w:wrap="none" w:vAnchor="page" w:hAnchor="page" w:x="1597" w:y="10219"/>
        <w:widowControl w:val="0"/>
        <w:keepNext w:val="0"/>
        <w:keepLines w:val="0"/>
        <w:shd w:val="clear" w:color="auto" w:fill="auto"/>
        <w:bidi w:val="0"/>
        <w:jc w:val="both"/>
        <w:spacing w:before="0" w:after="208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sjednávají, že dodavatel poskytne a zákazník odebere od dodavatele náhradní plnění v objemu 300 000 Kč bez DPH.</w:t>
      </w:r>
    </w:p>
    <w:p>
      <w:pPr>
        <w:pStyle w:val="Style8"/>
        <w:framePr w:w="8707" w:h="3066" w:hRule="exact" w:wrap="none" w:vAnchor="page" w:hAnchor="page" w:x="1597" w:y="10219"/>
        <w:widowControl w:val="0"/>
        <w:keepNext w:val="0"/>
        <w:keepLines w:val="0"/>
        <w:shd w:val="clear" w:color="auto" w:fill="auto"/>
        <w:bidi w:val="0"/>
        <w:jc w:val="both"/>
        <w:spacing w:before="0" w:after="200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Zákazník se zavazuje odebrat náhradní plnění postupnými dílčími objednávkami tak, aby nejpozději do 30.11. 2019, bylo odebráno náhradní plnění v celém objemu. Odebráním se rozumí závazné objednání náhradního plnění, u něhož následně nedojde ke zrušení objednávky. Dodavatel se zavazuje minimálně v rozsahu jednou za kalendářní měsíc informovat zákazníka o aktuálním stavu odběru v režimu náhradního plnění na jeho e-mailovou adresy:</w:t>
      </w:r>
    </w:p>
    <w:p>
      <w:pPr>
        <w:pStyle w:val="Style8"/>
        <w:framePr w:w="8707" w:h="3066" w:hRule="exact" w:wrap="none" w:vAnchor="page" w:hAnchor="page" w:x="1597" w:y="10219"/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 je dle zákona č. 435/2004 Sb., o zaměstnanosti povinen do 30 dnů od úhrady faktury vložit doklad na portál MPSV. Notifikační e-maily z portálu MPSV budou zákazníkovi zasílány na e-mailovou adresu:</w:t>
      </w:r>
    </w:p>
    <w:p>
      <w:pPr>
        <w:pStyle w:val="Style8"/>
        <w:framePr w:w="8707" w:h="503" w:hRule="exact" w:wrap="none" w:vAnchor="page" w:hAnchor="page" w:x="1597" w:y="13655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Náhradní plnění bude dodáno za ceny uvedené v platném ceníku dodavatele, příp. za ceny individuálně sjednané mezi dodavatelem a zákazníkem.</w:t>
      </w:r>
    </w:p>
    <w:p>
      <w:pPr>
        <w:pStyle w:val="Style18"/>
        <w:framePr w:wrap="none" w:vAnchor="page" w:hAnchor="page" w:x="9181" w:y="1526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>strana 1/2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130.1pt;margin-top:416.5pt;width:119.05pt;height:0;z-index:-251658240;mso-position-horizontal-relative:page;mso-position-vertical-relative:page">
            <v:stroke weight="0.95pt"/>
          </v:shape>
        </w:pict>
      </w:r>
    </w:p>
    <w:p>
      <w:pPr>
        <w:pStyle w:val="Style2"/>
        <w:framePr w:wrap="none" w:vAnchor="page" w:hAnchor="page" w:x="1677" w:y="103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o poskytnutí náhradního plnění, vzor ISAB. 2019</w:t>
      </w:r>
    </w:p>
    <w:p>
      <w:pPr>
        <w:pStyle w:val="Style20"/>
        <w:framePr w:w="8549" w:h="1572" w:hRule="exact" w:wrap="none" w:vAnchor="page" w:hAnchor="page" w:x="1677" w:y="1810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bookmarkStart w:id="4" w:name="bookmark4"/>
      <w:r>
        <w:rPr>
          <w:w w:val="100"/>
          <w:spacing w:val="0"/>
          <w:color w:val="000000"/>
          <w:position w:val="0"/>
        </w:rPr>
        <w:t>III.</w:t>
      </w:r>
      <w:bookmarkEnd w:id="4"/>
    </w:p>
    <w:p>
      <w:pPr>
        <w:pStyle w:val="Style14"/>
        <w:framePr w:w="8549" w:h="1572" w:hRule="exact" w:wrap="none" w:vAnchor="page" w:hAnchor="page" w:x="1677" w:y="1810"/>
        <w:widowControl w:val="0"/>
        <w:keepNext w:val="0"/>
        <w:keepLines w:val="0"/>
        <w:shd w:val="clear" w:color="auto" w:fill="auto"/>
        <w:bidi w:val="0"/>
        <w:spacing w:before="0" w:after="207"/>
        <w:ind w:left="2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Smluvní pokuta</w:t>
      </w:r>
      <w:bookmarkEnd w:id="5"/>
    </w:p>
    <w:p>
      <w:pPr>
        <w:pStyle w:val="Style8"/>
        <w:framePr w:w="8549" w:h="1572" w:hRule="exact" w:wrap="none" w:vAnchor="page" w:hAnchor="page" w:x="1677" w:y="1810"/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sjednávají, že v případě nesplnění závazku zákazníka odebrat od dodavatele náhradní plnění dle čl. II. této smlouvy, je zákazník povinen uhradit dodavateli smluvní pokutu ve výši 8% ze zbývajícího objemu neodebraného náhradního plnění. Smluvní pokuta bude vyúčtována daňovým dokladem k datu 31.12.2019.</w:t>
      </w:r>
    </w:p>
    <w:p>
      <w:pPr>
        <w:pStyle w:val="Style14"/>
        <w:framePr w:w="8549" w:h="1997" w:hRule="exact" w:wrap="none" w:vAnchor="page" w:hAnchor="page" w:x="1677" w:y="3554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IV.</w:t>
      </w:r>
      <w:bookmarkEnd w:id="6"/>
    </w:p>
    <w:p>
      <w:pPr>
        <w:pStyle w:val="Style14"/>
        <w:framePr w:w="8549" w:h="1997" w:hRule="exact" w:wrap="none" w:vAnchor="page" w:hAnchor="page" w:x="1677" w:y="3554"/>
        <w:widowControl w:val="0"/>
        <w:keepNext w:val="0"/>
        <w:keepLines w:val="0"/>
        <w:shd w:val="clear" w:color="auto" w:fill="auto"/>
        <w:bidi w:val="0"/>
        <w:spacing w:before="0" w:after="203"/>
        <w:ind w:left="20" w:righ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Závěrečná ujednání</w:t>
      </w:r>
      <w:bookmarkEnd w:id="7"/>
    </w:p>
    <w:p>
      <w:pPr>
        <w:pStyle w:val="Style8"/>
        <w:framePr w:w="8549" w:h="1997" w:hRule="exact" w:wrap="none" w:vAnchor="page" w:hAnchor="page" w:x="1677" w:y="3554"/>
        <w:widowControl w:val="0"/>
        <w:keepNext w:val="0"/>
        <w:keepLines w:val="0"/>
        <w:shd w:val="clear" w:color="auto" w:fill="auto"/>
        <w:bidi w:val="0"/>
        <w:jc w:val="both"/>
        <w:spacing w:before="0" w:after="245" w:line="22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sjednávají, že podmínky objednání a dodání náhradního plnění se řídí rámcovou kupní smlouvou, která je mezi stranami uzavřena. Rámcová kupní smlouva zůstává touto smlouvou nedotčena.</w:t>
      </w:r>
    </w:p>
    <w:p>
      <w:pPr>
        <w:pStyle w:val="Style8"/>
        <w:framePr w:w="8549" w:h="1997" w:hRule="exact" w:wrap="none" w:vAnchor="page" w:hAnchor="page" w:x="1677" w:y="3554"/>
        <w:widowControl w:val="0"/>
        <w:keepNext w:val="0"/>
        <w:keepLines w:val="0"/>
        <w:shd w:val="clear" w:color="auto" w:fill="auto"/>
        <w:bidi w:val="0"/>
        <w:jc w:val="both"/>
        <w:spacing w:before="0" w:after="22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nabývá platnosti a účinnosti dnem podpisu oběma smluvními stranami.</w:t>
      </w:r>
    </w:p>
    <w:p>
      <w:pPr>
        <w:pStyle w:val="Style8"/>
        <w:framePr w:w="8549" w:h="1997" w:hRule="exact" w:wrap="none" w:vAnchor="page" w:hAnchor="page" w:x="1677" w:y="355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Smlouvu je možné měnit pouze písemnými dodatky podepsanými oběma smluvními stranami.</w:t>
      </w:r>
    </w:p>
    <w:p>
      <w:pPr>
        <w:pStyle w:val="Style14"/>
        <w:framePr w:w="8549" w:h="490" w:hRule="exact" w:wrap="none" w:vAnchor="page" w:hAnchor="page" w:x="1677" w:y="6315"/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20" w:righ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Smluvní strany prohlašují, že si smlouvu přečetly, seznámily se tak s jejím obsahem</w:t>
        <w:br/>
        <w:t>a plně mu porozuměly, na důkaz čehož ke smlouvě připojují svoje podpisy:</w:t>
      </w:r>
      <w:bookmarkEnd w:id="8"/>
    </w:p>
    <w:p>
      <w:pPr>
        <w:pStyle w:val="Style8"/>
        <w:framePr w:wrap="none" w:vAnchor="page" w:hAnchor="page" w:x="1677" w:y="73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</w:t>
      </w:r>
    </w:p>
    <w:p>
      <w:pPr>
        <w:pStyle w:val="Style22"/>
        <w:framePr w:w="2357" w:h="406" w:hRule="exact" w:wrap="none" w:vAnchor="page" w:hAnchor="page" w:x="6880" w:y="7169"/>
        <w:widowControl w:val="0"/>
        <w:keepNext w:val="0"/>
        <w:keepLines w:val="0"/>
        <w:shd w:val="clear" w:color="auto" w:fill="auto"/>
        <w:bidi w:val="0"/>
        <w:jc w:val="right"/>
        <w:spacing w:before="0" w:after="0" w:line="150" w:lineRule="exact"/>
        <w:ind w:left="0" w:right="0" w:firstLine="0"/>
      </w:pPr>
      <w:r>
        <w:rPr>
          <w:rStyle w:val="CharStyle24"/>
        </w:rPr>
        <w:t>V-</w:t>
      </w:r>
      <w:r>
        <w:rPr>
          <w:rStyle w:val="CharStyle25"/>
        </w:rPr>
        <w:t xml:space="preserve"> A- T-Olí</w:t>
      </w:r>
    </w:p>
    <w:p>
      <w:pPr>
        <w:pStyle w:val="Style22"/>
        <w:framePr w:w="2357" w:h="406" w:hRule="exact" w:wrap="none" w:vAnchor="page" w:hAnchor="page" w:x="6880" w:y="7169"/>
        <w:tabs>
          <w:tab w:leader="underscore" w:pos="23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0"/>
      </w:pPr>
      <w:r>
        <w:rPr>
          <w:rStyle w:val="CharStyle26"/>
        </w:rPr>
        <w:t xml:space="preserve">V </w:t>
      </w:r>
      <w:r>
        <w:rPr>
          <w:rStyle w:val="CharStyle27"/>
        </w:rPr>
        <w:t>jrsifí</w:t>
      </w:r>
      <w:r>
        <w:rPr>
          <w:rStyle w:val="CharStyle26"/>
        </w:rPr>
        <w:t xml:space="preserve"> dne _.</w:t>
        <w:tab/>
      </w:r>
    </w:p>
    <w:p>
      <w:pPr>
        <w:pStyle w:val="Style6"/>
        <w:framePr w:w="2462" w:h="446" w:hRule="exact" w:wrap="none" w:vAnchor="page" w:hAnchor="page" w:x="2560" w:y="835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dodavatele</w:t>
      </w:r>
    </w:p>
    <w:p>
      <w:pPr>
        <w:pStyle w:val="Style6"/>
        <w:framePr w:w="2462" w:h="446" w:hRule="exact" w:wrap="none" w:vAnchor="page" w:hAnchor="page" w:x="2560" w:y="83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Tomáš Kocner, jednatel společnosti</w:t>
      </w:r>
    </w:p>
    <w:p>
      <w:pPr>
        <w:pStyle w:val="Style6"/>
        <w:framePr w:w="8549" w:h="446" w:hRule="exact" w:wrap="none" w:vAnchor="page" w:hAnchor="page" w:x="1677" w:y="8356"/>
        <w:widowControl w:val="0"/>
        <w:keepNext w:val="0"/>
        <w:keepLines w:val="0"/>
        <w:pBdr>
          <w:top w:val="single" w:sz="4" w:space="1" w:color="auto"/>
        </w:pBdr>
        <w:shd w:val="clear" w:color="auto" w:fill="auto"/>
        <w:bidi w:val="0"/>
        <w:jc w:val="left"/>
        <w:spacing w:before="0" w:after="0"/>
        <w:ind w:left="4935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zákazníka</w:t>
      </w:r>
    </w:p>
    <w:p>
      <w:pPr>
        <w:pStyle w:val="Style6"/>
        <w:framePr w:w="8549" w:h="446" w:hRule="exact" w:wrap="none" w:vAnchor="page" w:hAnchor="page" w:x="1677" w:y="835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935" w:right="677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Mgr. Milena Kořenová, ředitelka školy v. z.</w:t>
      </w:r>
    </w:p>
    <w:p>
      <w:pPr>
        <w:pStyle w:val="Style18"/>
        <w:framePr w:wrap="none" w:vAnchor="page" w:hAnchor="page" w:x="9107" w:y="1523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color w:val="000000"/>
          <w:position w:val="0"/>
        </w:rPr>
        <w:t>strana 2/2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er or footer|1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character" w:customStyle="1" w:styleId="CharStyle5">
    <w:name w:val="Heading #2|1_"/>
    <w:basedOn w:val="DefaultParagraphFont"/>
    <w:link w:val="Style4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7">
    <w:name w:val="Body text|3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9">
    <w:name w:val="Body text|2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1">
    <w:name w:val="Body text|4_"/>
    <w:basedOn w:val="DefaultParagraphFont"/>
    <w:link w:val="Style10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3">
    <w:name w:val="Heading #1|1_"/>
    <w:basedOn w:val="DefaultParagraphFont"/>
    <w:link w:val="Style12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5">
    <w:name w:val="Heading #3|1_"/>
    <w:basedOn w:val="DefaultParagraphFont"/>
    <w:link w:val="Style14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7">
    <w:name w:val="Body text|5_"/>
    <w:basedOn w:val="DefaultParagraphFont"/>
    <w:link w:val="Style16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9">
    <w:name w:val="Header or footer|2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  <w:spacing w:val="10"/>
    </w:rPr>
  </w:style>
  <w:style w:type="character" w:customStyle="1" w:styleId="CharStyle21">
    <w:name w:val="Heading #3|2_"/>
    <w:basedOn w:val="DefaultParagraphFont"/>
    <w:link w:val="Style20"/>
    <w:rPr>
      <w:lang w:val="en-US" w:eastAsia="en-US" w:bidi="en-US"/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23">
    <w:name w:val="Other|1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24">
    <w:name w:val="Other|1 + Arial,5 pt,Italic"/>
    <w:basedOn w:val="CharStyle23"/>
    <w:rPr>
      <w:lang w:val="cs-CZ" w:eastAsia="cs-CZ" w:bidi="cs-CZ"/>
      <w:i/>
      <w:iCs/>
      <w:sz w:val="10"/>
      <w:szCs w:val="10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5">
    <w:name w:val="Other|1 + Arial,7.5 pt"/>
    <w:basedOn w:val="CharStyle23"/>
    <w:rPr>
      <w:lang w:val="cs-CZ" w:eastAsia="cs-CZ" w:bidi="cs-CZ"/>
      <w:sz w:val="15"/>
      <w:szCs w:val="15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6">
    <w:name w:val="Other|1 + Arial,8.5 pt"/>
    <w:basedOn w:val="CharStyle23"/>
    <w:rPr>
      <w:lang w:val="cs-CZ" w:eastAsia="cs-CZ" w:bidi="cs-CZ"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7">
    <w:name w:val="Other|1 + Arial,11.5 pt,Bold,Italic"/>
    <w:basedOn w:val="CharStyle23"/>
    <w:rPr>
      <w:lang w:val="cs-CZ" w:eastAsia="cs-CZ" w:bidi="cs-CZ"/>
      <w:b/>
      <w:bCs/>
      <w:i/>
      <w:iCs/>
      <w:u w:val="single"/>
      <w:sz w:val="23"/>
      <w:szCs w:val="23"/>
      <w:rFonts w:ascii="Arial" w:eastAsia="Arial" w:hAnsi="Arial" w:cs="Arial"/>
      <w:w w:val="100"/>
      <w:spacing w:val="0"/>
      <w:color w:val="000000"/>
      <w:position w:val="0"/>
    </w:rPr>
  </w:style>
  <w:style w:type="paragraph" w:customStyle="1" w:styleId="Style2">
    <w:name w:val="Header or footer|1"/>
    <w:basedOn w:val="Normal"/>
    <w:link w:val="CharStyle3"/>
    <w:pPr>
      <w:widowControl w:val="0"/>
      <w:shd w:val="clear" w:color="auto" w:fill="FFFFFF"/>
      <w:spacing w:line="9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paragraph" w:customStyle="1" w:styleId="Style4">
    <w:name w:val="Heading #2|1"/>
    <w:basedOn w:val="Normal"/>
    <w:link w:val="CharStyle5"/>
    <w:pPr>
      <w:widowControl w:val="0"/>
      <w:shd w:val="clear" w:color="auto" w:fill="FFFFFF"/>
      <w:jc w:val="center"/>
      <w:outlineLvl w:val="1"/>
      <w:spacing w:line="22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6">
    <w:name w:val="Body text|3"/>
    <w:basedOn w:val="Normal"/>
    <w:link w:val="CharStyle7"/>
    <w:pPr>
      <w:widowControl w:val="0"/>
      <w:shd w:val="clear" w:color="auto" w:fill="FFFFFF"/>
      <w:jc w:val="center"/>
      <w:spacing w:after="200" w:line="168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8">
    <w:name w:val="Body text|2"/>
    <w:basedOn w:val="Normal"/>
    <w:link w:val="CharStyle9"/>
    <w:pPr>
      <w:widowControl w:val="0"/>
      <w:shd w:val="clear" w:color="auto" w:fill="FFFFFF"/>
      <w:jc w:val="center"/>
      <w:spacing w:before="200" w:after="300" w:line="19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10">
    <w:name w:val="Body text|4"/>
    <w:basedOn w:val="Normal"/>
    <w:link w:val="CharStyle11"/>
    <w:pPr>
      <w:widowControl w:val="0"/>
      <w:shd w:val="clear" w:color="auto" w:fill="FFFFFF"/>
      <w:jc w:val="both"/>
      <w:spacing w:before="200" w:line="216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2">
    <w:name w:val="Heading #1|1"/>
    <w:basedOn w:val="Normal"/>
    <w:link w:val="CharStyle13"/>
    <w:pPr>
      <w:widowControl w:val="0"/>
      <w:shd w:val="clear" w:color="auto" w:fill="FFFFFF"/>
      <w:jc w:val="center"/>
      <w:outlineLvl w:val="0"/>
      <w:spacing w:before="200" w:line="22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4">
    <w:name w:val="Heading #3|1"/>
    <w:basedOn w:val="Normal"/>
    <w:link w:val="CharStyle15"/>
    <w:pPr>
      <w:widowControl w:val="0"/>
      <w:shd w:val="clear" w:color="auto" w:fill="FFFFFF"/>
      <w:jc w:val="center"/>
      <w:outlineLvl w:val="2"/>
      <w:spacing w:after="200" w:line="20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6">
    <w:name w:val="Body text|5"/>
    <w:basedOn w:val="Normal"/>
    <w:link w:val="CharStyle17"/>
    <w:pPr>
      <w:widowControl w:val="0"/>
      <w:shd w:val="clear" w:color="auto" w:fill="FFFFFF"/>
      <w:jc w:val="center"/>
      <w:spacing w:before="200" w:line="178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8">
    <w:name w:val="Header or footer|2"/>
    <w:basedOn w:val="Normal"/>
    <w:link w:val="CharStyle19"/>
    <w:pPr>
      <w:widowControl w:val="0"/>
      <w:shd w:val="clear" w:color="auto" w:fill="FFFFFF"/>
      <w:spacing w:line="168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  <w:spacing w:val="10"/>
    </w:rPr>
  </w:style>
  <w:style w:type="paragraph" w:customStyle="1" w:styleId="Style20">
    <w:name w:val="Heading #3|2"/>
    <w:basedOn w:val="Normal"/>
    <w:link w:val="CharStyle21"/>
    <w:pPr>
      <w:widowControl w:val="0"/>
      <w:shd w:val="clear" w:color="auto" w:fill="FFFFFF"/>
      <w:jc w:val="center"/>
      <w:outlineLvl w:val="2"/>
      <w:spacing w:line="19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22">
    <w:name w:val="Other|1"/>
    <w:basedOn w:val="Normal"/>
    <w:link w:val="CharStyle23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