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316" w:line="22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95pt;margin-top:-26.15pt;width:66.25pt;height:62.9pt;z-index:-125829376;mso-wrap-distance-left:5.pt;mso-wrap-distance-right:5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16"/>
          <w:b/>
          <w:bCs/>
        </w:rPr>
        <w:t>ŘEDITELSTVÍ SILNIC A DÁLNIC ČR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80" w:line="220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- SMLOUVA O DÍLO NA ZHOTOVENÍ STAVEBNÍCH PRACÍ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0" w:right="3820" w:firstLine="0"/>
        <w:sectPr>
          <w:footerReference w:type="default" r:id="rId7"/>
          <w:footerReference w:type="first" r:id="rId8"/>
          <w:titlePg/>
          <w:footnotePr>
            <w:pos w:val="pageBottom"/>
            <w:numFmt w:val="decimal"/>
            <w:numRestart w:val="continuous"/>
          </w:footnotePr>
          <w:pgSz w:w="11900" w:h="16840"/>
          <w:pgMar w:top="675" w:left="1309" w:right="1549" w:bottom="3699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202" style="position:absolute;margin-left:0.95pt;margin-top:81.9pt;width:214.8pt;height:324.15pt;z-index:-125829375;mso-wrap-distance-left:5.pt;mso-wrap-distance-right:236.4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4" w:line="22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OBJEDNATEL:</w:t>
                  </w:r>
                </w:p>
                <w:p>
                  <w:pPr>
                    <w:pStyle w:val="Style5"/>
                    <w:tabs>
                      <w:tab w:leader="none" w:pos="262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00" w:lineRule="exact"/>
                    <w:ind w:left="0" w:right="0" w:firstLine="0"/>
                  </w:pP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v</w:t>
                    <w:tab/>
                    <w:t>v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0" w:line="557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Ředitelství silnic a dálnic CR se sídlem Na Pankráci 56,140 00 Praha 4 IČO: 659 93 390 DIČ: CZ65993390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4" w:line="557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zastoupený ve věcech: smluvních: I</w:t>
                  </w:r>
                  <w:r>
                    <w:rPr>
                      <w:rStyle w:val="CharStyle7"/>
                      <w:b/>
                      <w:bCs/>
                    </w:rPr>
                    <w:t>...............</w:t>
                  </w:r>
                  <w:r>
                    <w:rPr>
                      <w:rStyle w:val="CharStyle8"/>
                      <w:b/>
                      <w:bCs/>
                    </w:rPr>
                    <w:t>....</w:t>
                  </w:r>
                  <w:r>
                    <w:rPr>
                      <w:rStyle w:val="CharStyle7"/>
                      <w:b/>
                      <w:bCs/>
                    </w:rPr>
                    <w:t>​</w:t>
                  </w:r>
                  <w:r>
                    <w:rPr>
                      <w:rStyle w:val="CharStyle9"/>
                      <w:b/>
                      <w:bCs/>
                    </w:rPr>
                    <w:t>...</w:t>
                  </w:r>
                  <w:r>
                    <w:rPr>
                      <w:rStyle w:val="CharStyle10"/>
                      <w:b/>
                      <w:bCs/>
                    </w:rPr>
                    <w:t>........</w:t>
                  </w:r>
                  <w:r>
                    <w:rPr>
                      <w:rStyle w:val="CharStyle4"/>
                      <w:b/>
                      <w:bCs/>
                    </w:rPr>
                    <w:t>a technických: I</w:t>
                  </w:r>
                  <w:r>
                    <w:rPr>
                      <w:rStyle w:val="CharStyle9"/>
                      <w:b/>
                      <w:bCs/>
                    </w:rPr>
                    <w:t>.........</w:t>
                  </w:r>
                  <w:r>
                    <w:rPr>
                      <w:rStyle w:val="CharStyle10"/>
                      <w:b/>
                      <w:bCs/>
                    </w:rPr>
                    <w:t>........</w:t>
                  </w:r>
                  <w:r>
                    <w:rPr>
                      <w:rStyle w:val="CharStyle7"/>
                      <w:b/>
                      <w:bCs/>
                    </w:rPr>
                    <w:t>​</w:t>
                  </w:r>
                  <w:r>
                    <w:rPr>
                      <w:rStyle w:val="CharStyle9"/>
                      <w:b/>
                      <w:bCs/>
                    </w:rPr>
                    <w:t>.</w:t>
                  </w:r>
                  <w:r>
                    <w:rPr>
                      <w:rStyle w:val="CharStyle10"/>
                      <w:b/>
                      <w:bCs/>
                    </w:rPr>
                    <w:t>...............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52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 xml:space="preserve">Bankovní spojení: </w:t>
                  </w:r>
                  <w:r>
                    <w:rPr>
                      <w:rStyle w:val="CharStyle7"/>
                      <w:b/>
                      <w:bCs/>
                    </w:rPr>
                    <w:t>............</w:t>
                  </w:r>
                  <w:r>
                    <w:rPr>
                      <w:rStyle w:val="CharStyle8"/>
                      <w:b/>
                      <w:bCs/>
                    </w:rPr>
                    <w:t>......</w:t>
                  </w:r>
                  <w:r>
                    <w:rPr>
                      <w:rStyle w:val="CharStyle7"/>
                      <w:b/>
                      <w:bCs/>
                    </w:rPr>
                    <w:t>​</w:t>
                  </w:r>
                  <w:r>
                    <w:rPr>
                      <w:rStyle w:val="CharStyle9"/>
                      <w:b/>
                      <w:bCs/>
                    </w:rPr>
                    <w:t>..</w:t>
                  </w:r>
                  <w:r>
                    <w:rPr>
                      <w:rStyle w:val="CharStyle10"/>
                      <w:b/>
                      <w:bCs/>
                    </w:rPr>
                    <w:t>..........</w:t>
                  </w:r>
                  <w:r>
                    <w:rPr>
                      <w:rStyle w:val="CharStyle7"/>
                      <w:b/>
                      <w:bCs/>
                    </w:rPr>
                    <w:t>​</w:t>
                  </w:r>
                  <w:r>
                    <w:rPr>
                      <w:rStyle w:val="CharStyle11"/>
                      <w:b/>
                      <w:bCs/>
                    </w:rPr>
                    <w:t>.....</w:t>
                  </w:r>
                  <w:r>
                    <w:rPr>
                      <w:rStyle w:val="CharStyle12"/>
                      <w:b/>
                      <w:bCs/>
                    </w:rPr>
                    <w:t>.</w:t>
                  </w:r>
                  <w:r>
                    <w:rPr>
                      <w:rStyle w:val="CharStyle4"/>
                      <w:b/>
                      <w:bCs/>
                    </w:rPr>
                    <w:t xml:space="preserve">Číslo účtu: </w:t>
                  </w:r>
                  <w:r>
                    <w:rPr>
                      <w:rStyle w:val="CharStyle10"/>
                      <w:b/>
                      <w:bCs/>
                    </w:rPr>
                    <w:t>..</w:t>
                  </w:r>
                  <w:r>
                    <w:rPr>
                      <w:rStyle w:val="CharStyle13"/>
                      <w:b/>
                      <w:bCs/>
                    </w:rPr>
                    <w:t>...</w:t>
                  </w:r>
                  <w:r>
                    <w:rPr>
                      <w:rStyle w:val="CharStyle7"/>
                      <w:b/>
                      <w:bCs/>
                    </w:rPr>
                    <w:t>​.......................</w:t>
                  </w:r>
                  <w:r>
                    <w:rPr>
                      <w:rStyle w:val="CharStyle8"/>
                      <w:b/>
                      <w:bCs/>
                    </w:rPr>
                    <w:t>......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231.85pt;margin-top:68.7pt;width:220.3pt;height:337.4pt;z-index:-125829374;mso-wrap-distance-left:231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57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ZHOTOVITEL: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57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Název: KAPPA-P spol.s r.o.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57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se sídlem: Sibiřská 143,403 31 Ústí n./Lab.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57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IČO: 61325333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0" w:line="557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DIČ: CZ61325333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57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zastoupený ve věcech: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57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 xml:space="preserve">smluvních: </w:t>
                  </w:r>
                  <w:r>
                    <w:rPr>
                      <w:rStyle w:val="CharStyle7"/>
                      <w:b/>
                      <w:bCs/>
                    </w:rPr>
                    <w:t>........</w:t>
                  </w:r>
                  <w:r>
                    <w:rPr>
                      <w:rStyle w:val="CharStyle8"/>
                      <w:b/>
                      <w:bCs/>
                    </w:rPr>
                    <w:t>....</w:t>
                  </w:r>
                  <w:r>
                    <w:rPr>
                      <w:rStyle w:val="CharStyle7"/>
                      <w:b/>
                      <w:bCs/>
                    </w:rPr>
                    <w:t>​</w:t>
                  </w:r>
                  <w:r>
                    <w:rPr>
                      <w:rStyle w:val="CharStyle10"/>
                      <w:b/>
                      <w:bCs/>
                    </w:rPr>
                    <w:t>..........</w:t>
                  </w:r>
                  <w:r>
                    <w:rPr>
                      <w:rStyle w:val="CharStyle13"/>
                      <w:b/>
                      <w:bCs/>
                    </w:rPr>
                    <w:t>....</w:t>
                  </w:r>
                  <w:r>
                    <w:rPr>
                      <w:rStyle w:val="CharStyle4"/>
                      <w:b/>
                      <w:bCs/>
                    </w:rPr>
                    <w:t>,jednatel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0" w:line="557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technických: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57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 xml:space="preserve">Bankovní spojení: </w:t>
                  </w:r>
                  <w:r>
                    <w:rPr>
                      <w:rStyle w:val="CharStyle8"/>
                      <w:b/>
                      <w:bCs/>
                    </w:rPr>
                    <w:t>...................</w:t>
                  </w:r>
                  <w:r>
                    <w:rPr>
                      <w:rStyle w:val="CharStyle9"/>
                      <w:b/>
                      <w:bCs/>
                    </w:rPr>
                    <w:t>.........</w:t>
                  </w:r>
                  <w:r>
                    <w:rPr>
                      <w:rStyle w:val="CharStyle4"/>
                      <w:b/>
                      <w:bCs/>
                    </w:rPr>
                    <w:t xml:space="preserve"> Číslo účtu: </w:t>
                  </w:r>
                  <w:r>
                    <w:rPr>
                      <w:rStyle w:val="CharStyle7"/>
                      <w:b/>
                      <w:bCs/>
                    </w:rPr>
                    <w:t>.......................</w:t>
                  </w:r>
                  <w:r>
                    <w:rPr>
                      <w:rStyle w:val="CharStyle8"/>
                      <w:b/>
                      <w:bCs/>
                    </w:rPr>
                    <w:t>......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č. objednatele: 22ZA-001590 č. zhotovitele:</w:t>
      </w: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675" w:left="0" w:right="0" w:bottom="675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114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(Objednatel a Zhotovitel dále společně jako </w:t>
      </w:r>
      <w:r>
        <w:rPr>
          <w:rStyle w:val="CharStyle23"/>
        </w:rPr>
        <w:t>„Smluvnístrany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860" w:firstLine="0"/>
        <w:sectPr>
          <w:type w:val="continuous"/>
          <w:pgSz w:w="11900" w:h="16840"/>
          <w:pgMar w:top="675" w:left="1309" w:right="1549" w:bottom="675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Dle naší dohody u Vás objednáváme zhotovení níže uvedeného díla za následujících podmínek:</w:t>
      </w:r>
    </w:p>
    <w:p>
      <w:pPr>
        <w:pStyle w:val="Style3"/>
        <w:numPr>
          <w:ilvl w:val="0"/>
          <w:numId w:val="1"/>
        </w:numPr>
        <w:tabs>
          <w:tab w:leader="none" w:pos="36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1" w:line="220" w:lineRule="exact"/>
        <w:ind w:left="3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Akceptace objednávky</w:t>
      </w:r>
    </w:p>
    <w:p>
      <w:pPr>
        <w:pStyle w:val="Style21"/>
        <w:numPr>
          <w:ilvl w:val="0"/>
          <w:numId w:val="3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17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akceptace objednávky Objednatele Zhotovitel objednávku podepíše a zašle písemně 4x potvrzené vyhotovení objednávky zpět na adresu Objednatele. Následně obdrží 2 vyhotovení podepsaná oběma Smluvními stranami Objednatel a 2 vyhotovení podepsaná oběma Smluvními stranami Zhotovitel.</w:t>
      </w:r>
    </w:p>
    <w:p>
      <w:pPr>
        <w:pStyle w:val="Style21"/>
        <w:numPr>
          <w:ilvl w:val="0"/>
          <w:numId w:val="3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17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vylučuje možnost přijetí objednávky dle ust. § 1740 odst. 3, věta první, zákona č. 89/2012 Sb., občanský zákoník (dále jako „</w:t>
      </w:r>
      <w:r>
        <w:rPr>
          <w:rStyle w:val="CharStyle23"/>
        </w:rPr>
        <w:t>Občanský zákoník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“). Přijetí objednávky sjakýmikoli, byť i nepodstatnými dodatky nebo odchylkami nebude považováno za její přijetí, ale za nový návrh textu smlouvy k jednání.</w:t>
      </w:r>
    </w:p>
    <w:p>
      <w:pPr>
        <w:pStyle w:val="Style21"/>
        <w:numPr>
          <w:ilvl w:val="0"/>
          <w:numId w:val="3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78" w:line="317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Tato objednávka Objednatele zavazuje po jejím potvrzení Zhotovitelem obě Smluvní strany ke splnění stanovených závazků a nahrazuje smlouvu (dále jako </w:t>
      </w:r>
      <w:r>
        <w:rPr>
          <w:rStyle w:val="CharStyle23"/>
        </w:rPr>
        <w:t>Smlouva"</w:t>
      </w:r>
      <w:r>
        <w:rPr>
          <w:rStyle w:val="CharStyle23"/>
          <w:vertAlign w:val="superscript"/>
        </w:rPr>
        <w:t>-</w:t>
      </w:r>
      <w:r>
        <w:rPr>
          <w:rStyle w:val="CharStyle23"/>
        </w:rPr>
        <w:t>).</w:t>
      </w:r>
    </w:p>
    <w:p>
      <w:pPr>
        <w:pStyle w:val="Style3"/>
        <w:numPr>
          <w:ilvl w:val="0"/>
          <w:numId w:val="1"/>
        </w:numPr>
        <w:tabs>
          <w:tab w:leader="none" w:pos="39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1" w:line="220" w:lineRule="exact"/>
        <w:ind w:left="36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plnění:</w:t>
      </w:r>
    </w:p>
    <w:p>
      <w:pPr>
        <w:pStyle w:val="Style21"/>
        <w:numPr>
          <w:ilvl w:val="0"/>
          <w:numId w:val="5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Zhotovitel se zavazuje provést na svůj náklad a nebezpečí pro Objednatele následující dílo: </w:t>
      </w:r>
      <w:r>
        <w:rPr>
          <w:rStyle w:val="CharStyle24"/>
        </w:rPr>
        <w:t xml:space="preserve">D8 SA bezpečnostní prvky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- </w:t>
      </w:r>
      <w:r>
        <w:rPr>
          <w:rStyle w:val="CharStyle24"/>
        </w:rPr>
        <w:t>Oprava pr.svodidla a zábradlí na mostě km 24,350.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146" w:line="317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(dále jako </w:t>
      </w:r>
      <w:r>
        <w:rPr>
          <w:rStyle w:val="CharStyle23"/>
        </w:rPr>
        <w:t>,J)il</w:t>
      </w:r>
      <w:r>
        <w:rPr>
          <w:lang w:val="cs-CZ" w:eastAsia="cs-CZ" w:bidi="cs-CZ"/>
          <w:w w:val="100"/>
          <w:spacing w:val="0"/>
          <w:color w:val="000000"/>
          <w:position w:val="0"/>
        </w:rPr>
        <w:t>o“). Podrobná specifikace a rozsah Díla jsou uvedeny v příloze č. 1 této Smlouvy.</w:t>
      </w:r>
    </w:p>
    <w:p>
      <w:pPr>
        <w:pStyle w:val="Style21"/>
        <w:numPr>
          <w:ilvl w:val="0"/>
          <w:numId w:val="5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" w:line="210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předmětu plnění je rozepsána v příloze této objednávky.</w:t>
      </w:r>
    </w:p>
    <w:p>
      <w:pPr>
        <w:pStyle w:val="Style21"/>
        <w:numPr>
          <w:ilvl w:val="0"/>
          <w:numId w:val="5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" w:line="210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Místem provádění Díla - stavebních prací je D8.</w:t>
      </w:r>
    </w:p>
    <w:p>
      <w:pPr>
        <w:pStyle w:val="Style21"/>
        <w:numPr>
          <w:ilvl w:val="0"/>
          <w:numId w:val="5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317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 provést Dílo dle této Smlouvy s maximální hospodárností, účelností, efektivností a optimalizací navrhovaných konstrukcí tak, aby dosáhl hospodárných nákladů na provedení Díla.</w:t>
      </w:r>
    </w:p>
    <w:p>
      <w:pPr>
        <w:pStyle w:val="Style21"/>
        <w:numPr>
          <w:ilvl w:val="0"/>
          <w:numId w:val="5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22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předat spolu s Dílem Objednateli také veškerou dokumentaci vztahující se k Dílu, která je obvykle s Dílem Objednateli předávána.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64" w:line="322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 zaplatit za Dílo provedené v souladu s touto Smlouvou cenu Díla uvedenou ve čl. IV. této Smlouvy.</w:t>
      </w:r>
    </w:p>
    <w:p>
      <w:pPr>
        <w:pStyle w:val="Style21"/>
        <w:numPr>
          <w:ilvl w:val="0"/>
          <w:numId w:val="5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17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stavební práce budou prováděny při komplexním zabezpečení bezpečnosti silničního provozu, náklady tohoto zabezpečení hradí Zhotovitel.</w:t>
      </w:r>
    </w:p>
    <w:p>
      <w:pPr>
        <w:pStyle w:val="Style21"/>
        <w:numPr>
          <w:ilvl w:val="0"/>
          <w:numId w:val="5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0" w:line="317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materiály, stavební díly, technologická zařízení a pracovní postupy na Dílu musí odpovídat Technickým kvalitativním podmínkám staveb pozemních komunikací (TKP), pokynům správce stavby a Zvláštním technickým kvalitativním podmínkám stavby (ZTKP), pokud jsou vypracovány, jsou podrobovány zkouškám uvedeným v TKP a ZTKP nebo požadovaným správcem stavby a to buď v místě výroby, přípravy na staveništi nebo na jakýchkoli místech stanovených k tomuto účelu. Za bezpečnost práce a požární ochranu odpovídá Zhotovitel.</w:t>
      </w:r>
    </w:p>
    <w:p>
      <w:pPr>
        <w:pStyle w:val="Style21"/>
        <w:numPr>
          <w:ilvl w:val="0"/>
          <w:numId w:val="5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Obchodní podmínky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107" w:line="278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Objednatel vystaví plnou moc pro jednání s příslušnou pojišťovnou . Z povinného ručení viníka poškození neproplacená část amortizace bude proplacena objednatelem na základě porovnání přiložených dokladů ( faktura resp. nabídka a plnění pojišťovny </w:t>
      </w:r>
      <w:r>
        <w:rPr>
          <w:rStyle w:val="CharStyle23"/>
        </w:rPr>
        <w:t>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20" w:firstLine="0"/>
        <w:sectPr>
          <w:pgSz w:w="11900" w:h="16840"/>
          <w:pgMar w:top="1148" w:left="1347" w:right="1380" w:bottom="114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1344" w:line="250" w:lineRule="exact"/>
        <w:ind w:left="900" w:right="4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Vybouraný materiál po dohodě, poskytne zhotovitel objednateli slevu ( ve výši ceny obvyklé za kg železného šrotu v místě x množství v kg ). Specifikace váhy železného šrotu je součástí nabídky (ve formě jednoduché exelovské tabulky).</w:t>
      </w:r>
    </w:p>
    <w:p>
      <w:pPr>
        <w:pStyle w:val="Style3"/>
        <w:numPr>
          <w:ilvl w:val="0"/>
          <w:numId w:val="1"/>
        </w:numPr>
        <w:tabs>
          <w:tab w:leader="none" w:pos="44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1" w:line="220" w:lineRule="exact"/>
        <w:ind w:left="3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plnění</w:t>
      </w:r>
    </w:p>
    <w:p>
      <w:pPr>
        <w:pStyle w:val="Style21"/>
        <w:numPr>
          <w:ilvl w:val="0"/>
          <w:numId w:val="7"/>
        </w:numPr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6" w:line="278" w:lineRule="exact"/>
        <w:ind w:left="90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zahájit provádění Díla do 3 kalendářních dní ode dne uzavření této Smlouvy.</w:t>
      </w:r>
    </w:p>
    <w:p>
      <w:pPr>
        <w:pStyle w:val="Style21"/>
        <w:numPr>
          <w:ilvl w:val="0"/>
          <w:numId w:val="9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71" w:line="283" w:lineRule="exact"/>
        <w:ind w:left="90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provést Dílo (tj. dokončit a předat) Objednateli do 10 dnů ode dne uzavření této Smlouvy.</w:t>
      </w:r>
    </w:p>
    <w:p>
      <w:pPr>
        <w:pStyle w:val="Style3"/>
        <w:numPr>
          <w:ilvl w:val="0"/>
          <w:numId w:val="1"/>
        </w:numPr>
        <w:tabs>
          <w:tab w:leader="none" w:pos="47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3" w:line="220" w:lineRule="exact"/>
        <w:ind w:left="4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</w:t>
      </w:r>
    </w:p>
    <w:p>
      <w:pPr>
        <w:pStyle w:val="Style21"/>
        <w:numPr>
          <w:ilvl w:val="0"/>
          <w:numId w:val="11"/>
        </w:numPr>
        <w:tabs>
          <w:tab w:leader="none" w:pos="8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" w:line="283" w:lineRule="exact"/>
        <w:ind w:left="90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Objednatel se zavazuje uhradit Zhotoviteli za řádné a včasné provedení Díla následující cenu (dále jako </w:t>
      </w:r>
      <w:r>
        <w:rPr>
          <w:rStyle w:val="CharStyle24"/>
        </w:rPr>
        <w:t>„Cena Díla"):</w:t>
      </w:r>
    </w:p>
    <w:p>
      <w:pPr>
        <w:pStyle w:val="Style3"/>
        <w:tabs>
          <w:tab w:leader="none" w:pos="33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9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Díla bez DPH:</w:t>
        <w:tab/>
        <w:t>44 038,90 Kč</w:t>
      </w:r>
    </w:p>
    <w:p>
      <w:pPr>
        <w:pStyle w:val="Style3"/>
        <w:tabs>
          <w:tab w:leader="none" w:pos="33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9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DPH:</w:t>
        <w:tab/>
        <w:t>9 248,17 Kč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9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Díla včetně DPH: 53 287,07 Kč</w:t>
      </w:r>
    </w:p>
    <w:p>
      <w:pPr>
        <w:pStyle w:val="Style21"/>
        <w:numPr>
          <w:ilvl w:val="0"/>
          <w:numId w:val="11"/>
        </w:numPr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5" w:line="278" w:lineRule="exact"/>
        <w:ind w:left="780" w:right="80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Díla je stanovena jako maximální a nepřekročitelná (s výjimkou změny zákonné sazby DPH).</w:t>
      </w:r>
    </w:p>
    <w:p>
      <w:pPr>
        <w:pStyle w:val="Style21"/>
        <w:numPr>
          <w:ilvl w:val="0"/>
          <w:numId w:val="11"/>
        </w:numPr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0" w:line="210" w:lineRule="exact"/>
        <w:ind w:left="78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 Ceny Díla (výkaz výměr) je uveden v příloze č. 2 této Smlouvy,</w:t>
      </w:r>
    </w:p>
    <w:p>
      <w:pPr>
        <w:pStyle w:val="Style3"/>
        <w:numPr>
          <w:ilvl w:val="0"/>
          <w:numId w:val="1"/>
        </w:numPr>
        <w:tabs>
          <w:tab w:leader="none" w:pos="3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9" w:line="220" w:lineRule="exact"/>
        <w:ind w:left="3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Platební podmínky</w:t>
      </w:r>
    </w:p>
    <w:p>
      <w:pPr>
        <w:pStyle w:val="Style21"/>
        <w:numPr>
          <w:ilvl w:val="0"/>
          <w:numId w:val="13"/>
        </w:numPr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2" w:line="288" w:lineRule="exact"/>
        <w:ind w:left="780" w:right="40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 uhradit Cenu Díla jednorázovým bankovním převodem na účet Zhotovitele uvedený v této Smlouvě, a to na základě daňového dokladu - faktury vystavené Zhotovitelem s termínem splatnosti 30 dnů ode dne odeslání (předání) faktury Objednateli. Fakturu lze předložit Objednateli nejdříve po protokolárním převzetí Díla Objednatelem bez vad, resp. po odstranění všech vad provedeného Díla.</w:t>
      </w:r>
    </w:p>
    <w:p>
      <w:pPr>
        <w:pStyle w:val="Style21"/>
        <w:numPr>
          <w:ilvl w:val="0"/>
          <w:numId w:val="13"/>
        </w:numPr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0" w:line="210" w:lineRule="exact"/>
        <w:ind w:left="78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Fakturovaná Cena Díla musí odpovídat Ceně Díla uvedené ve Cl. IV. této Smlouvy.</w:t>
      </w:r>
    </w:p>
    <w:p>
      <w:pPr>
        <w:pStyle w:val="Style21"/>
        <w:numPr>
          <w:ilvl w:val="0"/>
          <w:numId w:val="13"/>
        </w:numPr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1" w:line="283" w:lineRule="exact"/>
        <w:ind w:left="780" w:right="40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 musí obsahovat veškeré náležitosti stanovené právním řádem, zejména ust. § 28 a § 29 zákona č. 235/2004 Sb. a ust, § 435 Občanského zákoníku.</w:t>
      </w:r>
    </w:p>
    <w:p>
      <w:pPr>
        <w:pStyle w:val="Style21"/>
        <w:numPr>
          <w:ilvl w:val="0"/>
          <w:numId w:val="13"/>
        </w:numPr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780" w:right="0" w:hanging="340"/>
        <w:sectPr>
          <w:pgSz w:w="11900" w:h="16840"/>
          <w:pgMar w:top="1882" w:left="1353" w:right="1374" w:bottom="2304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neposkytuje žádné zálohy na Cenu Díla, ani dílčí platby Ceny Díla.</w:t>
      </w:r>
    </w:p>
    <w:p>
      <w:pPr>
        <w:pStyle w:val="Style21"/>
        <w:numPr>
          <w:ilvl w:val="0"/>
          <w:numId w:val="13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4" w:line="288" w:lineRule="exact"/>
        <w:ind w:left="900" w:right="42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u poskytnutých stavebních nebo montážních prací uvedených v číselníku Klasifikace produkce CZ-CPA kód 41 až 43 není plátce DPH, tedy se na něj nevztahuje režim přenesené daňové povinnosti. Faktury musí být vystaveny včetně DPH.</w:t>
      </w:r>
    </w:p>
    <w:p>
      <w:pPr>
        <w:pStyle w:val="Style3"/>
        <w:numPr>
          <w:ilvl w:val="0"/>
          <w:numId w:val="1"/>
        </w:numPr>
        <w:tabs>
          <w:tab w:leader="none" w:pos="2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4" w:line="220" w:lineRule="exact"/>
        <w:ind w:left="2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Záruka za jakost, odpovědnost za vady, pojištění</w:t>
      </w:r>
    </w:p>
    <w:p>
      <w:pPr>
        <w:pStyle w:val="Style21"/>
        <w:numPr>
          <w:ilvl w:val="0"/>
          <w:numId w:val="15"/>
        </w:numPr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88" w:lineRule="exact"/>
        <w:ind w:left="900" w:right="42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poskytuje Objednateli záruku za jakost Díla ve smyslu ust. §2113 a § 2619 Občanského zákoníku na dobu 60 měsíců ode dne převzetí Díla Objednatelem.</w:t>
      </w:r>
    </w:p>
    <w:p>
      <w:pPr>
        <w:pStyle w:val="Style21"/>
        <w:numPr>
          <w:ilvl w:val="0"/>
          <w:numId w:val="15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88" w:lineRule="exact"/>
        <w:ind w:left="900" w:right="42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odpovídá za vady Díla dle Občanského zákoníku, Objednateli vznikají v případě vad Díla nároky dle ust. § 2615 a násl. Občanského zákoníku.</w:t>
      </w:r>
    </w:p>
    <w:p>
      <w:pPr>
        <w:pStyle w:val="Style21"/>
        <w:numPr>
          <w:ilvl w:val="0"/>
          <w:numId w:val="15"/>
        </w:numPr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4" w:line="288" w:lineRule="exact"/>
        <w:ind w:left="800" w:right="4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provedením Díla s vadami porušena tato Smlouva podstatným způsobem, má Objednatel nároky z vad Díla podle ust. § 2106 Občanského zákoníku. Smluvní strany sjednávají, že za porušení Smlouvy podstatným způsobem je nutné považovat zejména následující případy provedení Díla s vadami:</w:t>
      </w:r>
    </w:p>
    <w:p>
      <w:pPr>
        <w:pStyle w:val="Style3"/>
        <w:numPr>
          <w:ilvl w:val="0"/>
          <w:numId w:val="1"/>
        </w:numPr>
        <w:tabs>
          <w:tab w:leader="none" w:pos="4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4" w:line="220" w:lineRule="exact"/>
        <w:ind w:left="3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sankce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300" w:line="288" w:lineRule="exact"/>
        <w:ind w:left="600" w:right="4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V případě prodlení Zhotovitele s provedením Díla má Objednatel vůči Zhotoviteli nárok na uhrazení smluvní pokuty ve výši 0,1% z Ceny Díla bez DPH za každý den i započatý den prodlení s předáním řádně dokončeného Díla.</w:t>
      </w:r>
    </w:p>
    <w:p>
      <w:pPr>
        <w:pStyle w:val="Style21"/>
        <w:numPr>
          <w:ilvl w:val="0"/>
          <w:numId w:val="7"/>
        </w:numPr>
        <w:tabs>
          <w:tab w:leader="none" w:pos="12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100" w:right="0" w:hanging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Uplatněním smluvní pokuty není dotčena povinnost Zhotovitele k náhradě škody Objednateli, která vznikne v souvislosti s nesplněním jeho závazků vyplývajících ze Smlouvy. Uplatněním smluvní pokuty není dotčena povinnost Zhotovitele k řádnému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348" w:line="210" w:lineRule="exact"/>
        <w:ind w:left="3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dodání Díla Objednateli.</w:t>
      </w:r>
    </w:p>
    <w:p>
      <w:pPr>
        <w:pStyle w:val="Style3"/>
        <w:numPr>
          <w:ilvl w:val="0"/>
          <w:numId w:val="7"/>
        </w:numPr>
        <w:tabs>
          <w:tab w:leader="none" w:pos="39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8" w:line="220" w:lineRule="exact"/>
        <w:ind w:left="3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VIII. Řešení sporů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351" w:line="283" w:lineRule="exact"/>
        <w:ind w:left="800" w:right="4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Smluvní strany se zavazují řešit veškeré spory vyplývající z této Smlouvy a vzniklé v souvislosti s touto Smlouvou nejprve dohodou. V případě, že se spor nepodaří Smluvním stranám vyřešit dohodou, jsou příslušné k řešení sporů soudy České republiky.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254" w:line="220" w:lineRule="exact"/>
        <w:ind w:left="0" w:right="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IX. Závěrečná ustanovení</w:t>
      </w:r>
    </w:p>
    <w:p>
      <w:pPr>
        <w:pStyle w:val="Style21"/>
        <w:numPr>
          <w:ilvl w:val="0"/>
          <w:numId w:val="17"/>
        </w:numPr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88" w:lineRule="exact"/>
        <w:ind w:left="800" w:right="4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a ujednání obsažené v této Smlouvě je možné měnit pouze prostřednictvím vzestupně číslovaných dodatků uzavřených v písemné formě.</w:t>
      </w:r>
    </w:p>
    <w:p>
      <w:pPr>
        <w:pStyle w:val="Style21"/>
        <w:numPr>
          <w:ilvl w:val="0"/>
          <w:numId w:val="17"/>
        </w:numPr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88" w:lineRule="exact"/>
        <w:ind w:left="800" w:right="4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není ve Smlouvě a jejich přílohách stanoveno jinak, řídí se právní vztah založený touto Smlouvou Občanským zákoníkem.</w:t>
      </w:r>
    </w:p>
    <w:p>
      <w:pPr>
        <w:pStyle w:val="Style21"/>
        <w:numPr>
          <w:ilvl w:val="0"/>
          <w:numId w:val="17"/>
        </w:numPr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2" w:line="288" w:lineRule="exact"/>
        <w:ind w:left="800" w:right="42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vyloučení pochybností Smluvní strany vylučují aplikaci ust. § 2909 Občanského zákoníku.</w:t>
      </w:r>
    </w:p>
    <w:p>
      <w:pPr>
        <w:pStyle w:val="Style21"/>
        <w:numPr>
          <w:ilvl w:val="0"/>
          <w:numId w:val="17"/>
        </w:numPr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800" w:right="0" w:hanging="320"/>
        <w:sectPr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itlePg/>
          <w:pgSz w:w="11900" w:h="16840"/>
          <w:pgMar w:top="1882" w:left="1353" w:right="1374" w:bottom="2304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této Smlouvy jsou následující přílohy: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Nové Vsi dne 24.10.2016 Za Objednatele: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0" w:right="1240" w:firstLine="0"/>
        <w:sectPr>
          <w:pgSz w:w="11900" w:h="16840"/>
          <w:pgMar w:top="2381" w:left="1903" w:right="3196" w:bottom="11036" w:header="0" w:footer="3" w:gutter="0"/>
          <w:rtlGutter w:val="0"/>
          <w:cols w:num="2" w:space="1531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V Ústí n. L. dne Za Zhotovitele: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2" w:after="2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381" w:left="0" w:right="0" w:bottom="238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 oprávněné osol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  <w:sectPr>
          <w:type w:val="continuous"/>
          <w:pgSz w:w="11900" w:h="16840"/>
          <w:pgMar w:top="2381" w:left="1874" w:right="3662" w:bottom="2381" w:header="0" w:footer="3" w:gutter="0"/>
          <w:rtlGutter w:val="0"/>
          <w:cols w:num="2" w:space="2006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 oprávněné osoby</w:t>
      </w:r>
    </w:p>
    <w:p>
      <w:pPr>
        <w:pStyle w:val="Style27"/>
        <w:framePr w:h="639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29"/>
        </w:rPr>
        <w:t>*</w:t>
      </w:r>
    </w:p>
    <w:p>
      <w:pPr>
        <w:framePr w:h="639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6" type="#_x0000_t75" style="width:542pt;height:320pt;">
            <v:imagedata r:id="rId14" r:href="rId15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0" w:h="16840"/>
      <w:pgMar w:top="5435" w:left="483" w:right="579" w:bottom="4379" w:header="0" w:footer="3" w:gutter="0"/>
      <w:rtlGutter w:val="0"/>
      <w:cols w:space="720"/>
      <w:pgNumType w:start="7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pt;margin-top:739.25pt;width:4.55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9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92.25pt;margin-top:766.95pt;width:4.1pt;height:7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9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95.55pt;margin-top:735.4pt;width:4.55pt;height:7.2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95.55pt;margin-top:735.4pt;width:4.55pt;height:7.2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94.pt;margin-top:739.25pt;width:4.55pt;height:7.7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9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114.1pt;margin-top:92.45pt;width:278.9pt;height:10.8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Příloha č. 1 Položkový rozpis Ceny Díla (výkaz výměr) ze dne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114.1pt;margin-top:92.45pt;width:278.9pt;height:10.8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Příloha č. 1 Položkový rozpis Ceny Díla (výkaz výměr) ze dne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/>
        <w:iCs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"/>
      <w:numFmt w:val="decimal"/>
      <w:lvlText w:val="%1,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4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Základní text (5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0"/>
      <w:szCs w:val="10"/>
      <w:rFonts w:ascii="Calibri" w:eastAsia="Calibri" w:hAnsi="Calibri" w:cs="Calibri"/>
      <w:w w:val="150"/>
    </w:rPr>
  </w:style>
  <w:style w:type="character" w:customStyle="1" w:styleId="CharStyle7">
    <w:name w:val="Základní text (4) Exact"/>
    <w:basedOn w:val="CharStyle20"/>
    <w:rPr>
      <w:shd w:val="clear" w:color="auto" w:fill="000000"/>
    </w:rPr>
  </w:style>
  <w:style w:type="character" w:customStyle="1" w:styleId="CharStyle8">
    <w:name w:val="Základní text (4) + Řádkování 0 pt Exact"/>
    <w:basedOn w:val="CharStyle20"/>
    <w:rPr>
      <w:spacing w:val="1"/>
      <w:shd w:val="clear" w:color="auto" w:fill="000000"/>
    </w:rPr>
  </w:style>
  <w:style w:type="character" w:customStyle="1" w:styleId="CharStyle9">
    <w:name w:val="Základní text (4) + Řádkování 0 pt Exact"/>
    <w:basedOn w:val="CharStyle20"/>
    <w:rPr>
      <w:spacing w:val="2"/>
      <w:shd w:val="clear" w:color="auto" w:fill="000000"/>
    </w:rPr>
  </w:style>
  <w:style w:type="character" w:customStyle="1" w:styleId="CharStyle10">
    <w:name w:val="Základní text (4) + Řádkování 0 pt Exact"/>
    <w:basedOn w:val="CharStyle20"/>
    <w:rPr>
      <w:spacing w:val="3"/>
      <w:shd w:val="clear" w:color="auto" w:fill="000000"/>
    </w:rPr>
  </w:style>
  <w:style w:type="character" w:customStyle="1" w:styleId="CharStyle11">
    <w:name w:val="Základní text (4) + Řádkování 0 pt Exact"/>
    <w:basedOn w:val="CharStyle20"/>
    <w:rPr>
      <w:spacing w:val="5"/>
      <w:shd w:val="clear" w:color="auto" w:fill="000000"/>
    </w:rPr>
  </w:style>
  <w:style w:type="character" w:customStyle="1" w:styleId="CharStyle12">
    <w:name w:val="Základní text (4) + Řádkování 0 pt Exact"/>
    <w:basedOn w:val="CharStyle20"/>
    <w:rPr>
      <w:spacing w:val="6"/>
      <w:shd w:val="clear" w:color="auto" w:fill="000000"/>
    </w:rPr>
  </w:style>
  <w:style w:type="character" w:customStyle="1" w:styleId="CharStyle13">
    <w:name w:val="Základní text (4) + Řádkování 0 pt Exact"/>
    <w:basedOn w:val="CharStyle20"/>
    <w:rPr>
      <w:spacing w:val="4"/>
      <w:shd w:val="clear" w:color="auto" w:fill="000000"/>
    </w:rPr>
  </w:style>
  <w:style w:type="character" w:customStyle="1" w:styleId="CharStyle15">
    <w:name w:val="Základní text (3)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6">
    <w:name w:val="Základní text (3)"/>
    <w:basedOn w:val="CharStyle1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8">
    <w:name w:val="Záhlaví nebo Zápatí_"/>
    <w:basedOn w:val="DefaultParagraphFont"/>
    <w:link w:val="Style1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Záhlaví nebo Zápatí"/>
    <w:basedOn w:val="CharStyle1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0">
    <w:name w:val="Základní text (4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Základní text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3">
    <w:name w:val="Základní text (2) + 11,5 pt,Tučné,Kurzíva"/>
    <w:basedOn w:val="CharStyle22"/>
    <w:rPr>
      <w:lang w:val="cs-CZ" w:eastAsia="cs-CZ" w:bidi="cs-CZ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4">
    <w:name w:val="Základní text (2) + 11 pt,Tučné"/>
    <w:basedOn w:val="CharStyle22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6">
    <w:name w:val="Základní text (6)_"/>
    <w:basedOn w:val="DefaultParagraphFont"/>
    <w:link w:val="Style2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Titulek obrázku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9">
    <w:name w:val="Titulek obrázku"/>
    <w:basedOn w:val="CharStyle28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Základní text (4)"/>
    <w:basedOn w:val="Normal"/>
    <w:link w:val="CharStyle20"/>
    <w:pPr>
      <w:widowControl w:val="0"/>
      <w:shd w:val="clear" w:color="auto" w:fill="FFFFFF"/>
      <w:spacing w:before="1320" w:after="6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Základní text (5)"/>
    <w:basedOn w:val="Normal"/>
    <w:link w:val="CharStyle6"/>
    <w:pPr>
      <w:widowControl w:val="0"/>
      <w:shd w:val="clear" w:color="auto" w:fill="FFFFFF"/>
      <w:jc w:val="both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Calibri" w:eastAsia="Calibri" w:hAnsi="Calibri" w:cs="Calibri"/>
      <w:w w:val="150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FFFFFF"/>
      <w:spacing w:after="13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7">
    <w:name w:val="Záhlaví nebo Zápatí"/>
    <w:basedOn w:val="Normal"/>
    <w:link w:val="CharStyle1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1">
    <w:name w:val="Základní text (2)"/>
    <w:basedOn w:val="Normal"/>
    <w:link w:val="CharStyle22"/>
    <w:pPr>
      <w:widowControl w:val="0"/>
      <w:shd w:val="clear" w:color="auto" w:fill="FFFFFF"/>
      <w:spacing w:after="240" w:line="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5">
    <w:name w:val="Základní text (6)"/>
    <w:basedOn w:val="Normal"/>
    <w:link w:val="CharStyle26"/>
    <w:pPr>
      <w:widowControl w:val="0"/>
      <w:shd w:val="clear" w:color="auto" w:fill="FFFFFF"/>
      <w:jc w:val="center"/>
      <w:spacing w:before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Titulek obrázku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2.jpeg"/><Relationship Id="rId15" Type="http://schemas.openxmlformats.org/officeDocument/2006/relationships/image" Target="media/image2.jpeg" TargetMode="External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footer" Target="footer6.xml"/><Relationship Id="rId19" Type="http://schemas.openxmlformats.org/officeDocument/2006/relationships/footer" Target="footer7.xml"/><Relationship Id="rId20" Type="http://schemas.openxmlformats.org/officeDocument/2006/relationships/footer" Target="footer8.xml"/></Relationships>
</file>