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850" w:hanging="0"/>
        <w:jc w:val="center"/>
        <w:rPr>
          <w:sz w:val="24"/>
          <w:sz w:val="24"/>
          <w:szCs w:val="24"/>
          <w:rFonts w:ascii="Times New Roman" w:hAnsi="Times New Roman" w:eastAsia="Times New Roman" w:cs="Times New Roman"/>
          <w:color w:val="00000A"/>
          <w:lang w:val="cs-CZ" w:eastAsia="cs-CZ" w:bidi="ar-SA"/>
        </w:rPr>
      </w:pPr>
      <w:r>
        <w:rPr/>
      </w:r>
      <w:r/>
    </w:p>
    <w:p>
      <w:pPr>
        <w:pStyle w:val="Nzev"/>
        <w:pBdr>
          <w:bottom w:val="single" w:sz="2" w:space="1" w:color="00000A"/>
        </w:pBdr>
        <w:ind w:left="0" w:right="850" w:hanging="0"/>
        <w:rPr>
          <w:sz w:val="22"/>
          <w:i/>
          <w:sz w:val="22"/>
          <w:i/>
          <w:szCs w:val="22"/>
          <w:iCs/>
        </w:rPr>
      </w:pPr>
      <w:r>
        <w:rPr>
          <w:i/>
          <w:iCs/>
          <w:sz w:val="22"/>
          <w:szCs w:val="22"/>
        </w:rPr>
        <w:t xml:space="preserve">SMLOUVA O NÁJMU NEBYTOVÝCH PROSTOR </w:t>
      </w:r>
      <w:r/>
    </w:p>
    <w:p>
      <w:pPr>
        <w:pStyle w:val="Tlotextu"/>
        <w:spacing w:lineRule="auto" w:line="240"/>
        <w:ind w:left="0" w:right="850" w:hanging="0"/>
        <w:rPr>
          <w:sz w:val="22"/>
          <w:i/>
          <w:sz w:val="22"/>
          <w:i/>
          <w:iCs/>
        </w:rPr>
      </w:pPr>
      <w:r>
        <w:rPr>
          <w:i/>
          <w:iCs/>
          <w:sz w:val="22"/>
        </w:rPr>
        <w:t>uzavřená v souladu s ustanovením § 2201 a násl. zákona č. 89/2012 Sb.</w:t>
      </w:r>
      <w:r/>
    </w:p>
    <w:p>
      <w:pPr>
        <w:pStyle w:val="Tlotextu"/>
        <w:spacing w:lineRule="auto" w:line="240"/>
        <w:ind w:left="0" w:right="850" w:hanging="0"/>
        <w:rPr>
          <w:sz w:val="22"/>
          <w:i/>
          <w:sz w:val="22"/>
          <w:i/>
          <w:iCs/>
        </w:rPr>
      </w:pPr>
      <w:r>
        <w:rPr>
          <w:i/>
          <w:iCs/>
          <w:sz w:val="22"/>
        </w:rPr>
        <w:t xml:space="preserve"> </w:t>
      </w:r>
      <w:r>
        <w:rPr>
          <w:i/>
          <w:iCs/>
          <w:sz w:val="22"/>
        </w:rPr>
        <w:t>v platném znění (dále též „Smlouva“)</w:t>
      </w:r>
      <w:r/>
    </w:p>
    <w:p>
      <w:pPr>
        <w:pStyle w:val="Tlotextu"/>
        <w:spacing w:lineRule="auto" w:line="240"/>
        <w:ind w:left="0" w:right="850" w:hanging="0"/>
      </w:pPr>
      <w:r>
        <w:rPr>
          <w:i/>
          <w:iCs/>
          <w:sz w:val="22"/>
        </w:rPr>
        <w:t xml:space="preserve">č.j. </w:t>
      </w:r>
      <w:r>
        <w:rPr>
          <w:i/>
          <w:iCs/>
          <w:sz w:val="22"/>
        </w:rPr>
        <w:t>1231/2014-84</w:t>
      </w:r>
      <w:r/>
    </w:p>
    <w:p>
      <w:pPr>
        <w:pStyle w:val="Odsazentlatextu"/>
        <w:ind w:left="0" w:right="850" w:hanging="0"/>
        <w:rPr>
          <w:sz w:val="22"/>
          <w:sz w:val="22"/>
          <w:szCs w:val="22"/>
        </w:rPr>
      </w:pPr>
      <w:r>
        <w:rPr>
          <w:sz w:val="22"/>
          <w:szCs w:val="22"/>
        </w:rPr>
        <w:t>Smluvní strany:</w:t>
      </w:r>
      <w:r/>
    </w:p>
    <w:p>
      <w:pPr>
        <w:pStyle w:val="Normal"/>
        <w:ind w:left="0" w:right="850" w:hanging="0"/>
        <w:rPr>
          <w:sz w:val="22"/>
          <w:b/>
          <w:sz w:val="22"/>
          <w:b/>
          <w:szCs w:val="22"/>
        </w:rPr>
      </w:pPr>
      <w:r>
        <w:rPr>
          <w:b/>
          <w:sz w:val="22"/>
          <w:szCs w:val="22"/>
        </w:rPr>
        <w:t>Městská část Praha-Vinoř</w:t>
      </w:r>
      <w:r/>
    </w:p>
    <w:p>
      <w:pPr>
        <w:pStyle w:val="Normal"/>
        <w:ind w:left="0" w:right="850" w:hanging="0"/>
        <w:rPr>
          <w:sz w:val="22"/>
          <w:sz w:val="22"/>
          <w:szCs w:val="22"/>
        </w:rPr>
      </w:pPr>
      <w:r>
        <w:rPr>
          <w:sz w:val="22"/>
          <w:szCs w:val="22"/>
        </w:rPr>
        <w:t>Bohdanečská 97, Praha 9, 190 17</w:t>
      </w:r>
      <w:r/>
    </w:p>
    <w:p>
      <w:pPr>
        <w:pStyle w:val="Normal"/>
        <w:ind w:left="0" w:right="850" w:hanging="0"/>
        <w:rPr>
          <w:sz w:val="22"/>
          <w:sz w:val="22"/>
          <w:szCs w:val="22"/>
        </w:rPr>
      </w:pPr>
      <w:r>
        <w:rPr>
          <w:sz w:val="22"/>
          <w:szCs w:val="22"/>
        </w:rPr>
        <w:t>IČ 00240982</w:t>
        <w:tab/>
        <w:t>DIČ CZ00240982</w:t>
      </w:r>
      <w:r/>
    </w:p>
    <w:p>
      <w:pPr>
        <w:pStyle w:val="Normal"/>
        <w:ind w:left="0" w:right="850" w:hanging="0"/>
        <w:rPr>
          <w:sz w:val="22"/>
          <w:sz w:val="22"/>
          <w:szCs w:val="22"/>
        </w:rPr>
      </w:pPr>
      <w:r>
        <w:rPr>
          <w:sz w:val="22"/>
          <w:szCs w:val="22"/>
        </w:rPr>
        <w:t>zastoupená Františkem Švarcem, starostou</w:t>
      </w:r>
      <w:r/>
    </w:p>
    <w:p>
      <w:pPr>
        <w:pStyle w:val="Normal"/>
        <w:ind w:left="0" w:right="850" w:hanging="0"/>
        <w:rPr>
          <w:sz w:val="22"/>
          <w:sz w:val="22"/>
          <w:szCs w:val="22"/>
        </w:rPr>
      </w:pPr>
      <w:r>
        <w:rPr>
          <w:sz w:val="22"/>
          <w:szCs w:val="22"/>
        </w:rPr>
        <w:t>dále též „</w:t>
      </w:r>
      <w:r>
        <w:rPr>
          <w:b/>
          <w:sz w:val="22"/>
          <w:szCs w:val="22"/>
        </w:rPr>
        <w:t>Pronajímatel</w:t>
      </w:r>
      <w:r>
        <w:rPr>
          <w:sz w:val="22"/>
          <w:szCs w:val="22"/>
        </w:rPr>
        <w:t>“ na straně jedné</w:t>
      </w:r>
      <w:r/>
    </w:p>
    <w:p>
      <w:pPr>
        <w:pStyle w:val="Normal"/>
        <w:ind w:left="0" w:right="850" w:hanging="0"/>
        <w:rPr>
          <w:sz w:val="22"/>
          <w:sz w:val="22"/>
          <w:szCs w:val="22"/>
          <w:rFonts w:ascii="Times New Roman" w:hAnsi="Times New Roman" w:eastAsia="Times New Roman" w:cs="Times New Roman"/>
          <w:color w:val="00000A"/>
          <w:lang w:val="cs-CZ" w:eastAsia="cs-CZ" w:bidi="ar-SA"/>
        </w:rPr>
      </w:pPr>
      <w:r>
        <w:rPr>
          <w:sz w:val="22"/>
          <w:szCs w:val="22"/>
        </w:rPr>
      </w:r>
      <w:r/>
    </w:p>
    <w:p>
      <w:pPr>
        <w:pStyle w:val="Normal"/>
        <w:ind w:left="0" w:right="850" w:hanging="0"/>
        <w:rPr>
          <w:sz w:val="22"/>
          <w:sz w:val="22"/>
          <w:szCs w:val="22"/>
        </w:rPr>
      </w:pPr>
      <w:r>
        <w:rPr>
          <w:sz w:val="22"/>
          <w:szCs w:val="22"/>
        </w:rPr>
        <w:t xml:space="preserve">a </w:t>
      </w:r>
      <w:r/>
    </w:p>
    <w:p>
      <w:pPr>
        <w:pStyle w:val="Normal"/>
        <w:ind w:left="0" w:right="850" w:hanging="0"/>
        <w:rPr>
          <w:sz w:val="22"/>
          <w:sz w:val="22"/>
          <w:szCs w:val="22"/>
          <w:rFonts w:ascii="Times New Roman" w:hAnsi="Times New Roman" w:eastAsia="Times New Roman" w:cs="Times New Roman"/>
          <w:color w:val="00000A"/>
          <w:lang w:val="cs-CZ" w:eastAsia="cs-CZ" w:bidi="ar-SA"/>
        </w:rPr>
      </w:pPr>
      <w:r>
        <w:rPr>
          <w:sz w:val="22"/>
          <w:szCs w:val="22"/>
        </w:rPr>
      </w:r>
      <w:r/>
    </w:p>
    <w:p>
      <w:pPr>
        <w:pStyle w:val="Normal"/>
        <w:ind w:left="0" w:right="850" w:hanging="0"/>
        <w:jc w:val="both"/>
      </w:pPr>
      <w:r>
        <w:rPr>
          <w:b/>
          <w:sz w:val="22"/>
          <w:szCs w:val="22"/>
        </w:rPr>
        <w:t>Jana Marešová</w:t>
      </w:r>
      <w:r/>
    </w:p>
    <w:p>
      <w:pPr>
        <w:pStyle w:val="Normal"/>
        <w:ind w:left="0" w:right="850" w:hanging="0"/>
        <w:jc w:val="both"/>
      </w:pPr>
      <w:r>
        <w:rPr>
          <w:sz w:val="22"/>
          <w:szCs w:val="22"/>
        </w:rPr>
        <w:t>Chaltická 162, Praha 9-Vinoř</w:t>
      </w:r>
      <w:r/>
    </w:p>
    <w:p>
      <w:pPr>
        <w:pStyle w:val="Normal"/>
        <w:ind w:left="0" w:right="850" w:hanging="0"/>
        <w:jc w:val="both"/>
      </w:pPr>
      <w:r>
        <w:rPr>
          <w:sz w:val="22"/>
          <w:szCs w:val="22"/>
        </w:rPr>
        <w:t xml:space="preserve">IČ: </w:t>
      </w:r>
      <w:r>
        <w:rPr>
          <w:sz w:val="22"/>
          <w:szCs w:val="22"/>
        </w:rPr>
        <w:t>71633553</w:t>
      </w:r>
      <w:r>
        <w:rPr>
          <w:sz w:val="22"/>
          <w:szCs w:val="22"/>
        </w:rPr>
        <w:t xml:space="preserve">  DIČ: CZ</w:t>
      </w:r>
      <w:r>
        <w:rPr>
          <w:sz w:val="22"/>
          <w:szCs w:val="22"/>
        </w:rPr>
        <w:t>6457261822</w:t>
      </w:r>
      <w:r/>
    </w:p>
    <w:p>
      <w:pPr>
        <w:pStyle w:val="Normal"/>
        <w:ind w:left="0" w:right="850" w:hanging="0"/>
        <w:jc w:val="both"/>
        <w:rPr>
          <w:sz w:val="22"/>
          <w:sz w:val="22"/>
          <w:szCs w:val="22"/>
        </w:rPr>
      </w:pPr>
      <w:r>
        <w:rPr>
          <w:sz w:val="22"/>
          <w:szCs w:val="22"/>
        </w:rPr>
        <w:t>(dále jen „Nájemce“ na straně druhé)</w:t>
      </w:r>
      <w:r/>
    </w:p>
    <w:p>
      <w:pPr>
        <w:pStyle w:val="Odsazentlatextu"/>
        <w:ind w:left="0" w:right="850" w:hanging="0"/>
        <w:rPr>
          <w:sz w:val="22"/>
          <w:sz w:val="22"/>
          <w:szCs w:val="22"/>
          <w:rFonts w:ascii="Times New Roman" w:hAnsi="Times New Roman" w:eastAsia="Times New Roman" w:cs="Times New Roman"/>
          <w:color w:val="00000A"/>
          <w:lang w:val="cs-CZ" w:eastAsia="cs-CZ" w:bidi="ar-SA"/>
        </w:rPr>
      </w:pPr>
      <w:r>
        <w:rPr>
          <w:sz w:val="22"/>
          <w:szCs w:val="22"/>
        </w:rPr>
      </w:r>
      <w:r/>
    </w:p>
    <w:p>
      <w:pPr>
        <w:pStyle w:val="Odsazentlatextu"/>
        <w:ind w:left="0" w:right="850" w:hanging="0"/>
        <w:rPr>
          <w:sz w:val="22"/>
          <w:sz w:val="22"/>
          <w:szCs w:val="22"/>
          <w:rFonts w:ascii="Times New Roman" w:hAnsi="Times New Roman" w:eastAsia="Times New Roman" w:cs="Times New Roman"/>
          <w:color w:val="00000A"/>
          <w:lang w:val="cs-CZ" w:eastAsia="cs-CZ" w:bidi="ar-SA"/>
        </w:rPr>
      </w:pPr>
      <w:r>
        <w:rPr>
          <w:sz w:val="22"/>
          <w:szCs w:val="22"/>
        </w:rPr>
      </w:r>
      <w:r/>
    </w:p>
    <w:p>
      <w:pPr>
        <w:pStyle w:val="Normal"/>
        <w:ind w:left="0" w:right="850" w:hanging="0"/>
        <w:jc w:val="both"/>
        <w:rPr>
          <w:sz w:val="22"/>
          <w:i/>
          <w:sz w:val="22"/>
          <w:i/>
          <w:szCs w:val="22"/>
          <w:iCs/>
          <w:rFonts w:ascii="Times New Roman" w:hAnsi="Times New Roman" w:eastAsia="Times New Roman" w:cs="Times New Roman"/>
          <w:color w:val="00000A"/>
          <w:lang w:val="cs-CZ" w:eastAsia="cs-CZ" w:bidi="ar-SA"/>
        </w:rPr>
      </w:pPr>
      <w:r>
        <w:rPr>
          <w:i/>
          <w:iCs/>
          <w:sz w:val="22"/>
          <w:szCs w:val="22"/>
        </w:rPr>
      </w:r>
      <w:r/>
    </w:p>
    <w:p>
      <w:pPr>
        <w:pStyle w:val="Normal"/>
        <w:ind w:left="0" w:right="850" w:hanging="705"/>
        <w:jc w:val="both"/>
        <w:rPr>
          <w:sz w:val="22"/>
          <w:i w:val="false"/>
          <w:b/>
          <w:sz w:val="22"/>
          <w:i w:val="false"/>
          <w:b/>
          <w:szCs w:val="22"/>
          <w:iCs w:val="false"/>
        </w:rPr>
      </w:pPr>
      <w:r>
        <w:rPr>
          <w:b/>
          <w:i w:val="false"/>
          <w:iCs w:val="false"/>
          <w:sz w:val="22"/>
          <w:szCs w:val="22"/>
        </w:rPr>
        <w:tab/>
        <w:t>1.   PROSTORY</w:t>
      </w:r>
      <w:r/>
    </w:p>
    <w:p>
      <w:pPr>
        <w:pStyle w:val="Normal"/>
        <w:ind w:left="0" w:right="850" w:hanging="0"/>
        <w:jc w:val="both"/>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Odsazentlatextu"/>
        <w:ind w:left="0" w:right="850" w:hanging="705"/>
        <w:rPr>
          <w:sz w:val="22"/>
          <w:i w:val="false"/>
          <w:sz w:val="22"/>
          <w:i w:val="false"/>
          <w:szCs w:val="22"/>
          <w:iCs w:val="false"/>
        </w:rPr>
      </w:pPr>
      <w:r>
        <w:rPr>
          <w:i w:val="false"/>
          <w:iCs w:val="false"/>
          <w:sz w:val="22"/>
          <w:szCs w:val="22"/>
        </w:rPr>
        <w:t xml:space="preserve">1.1. </w:t>
        <w:tab/>
        <w:t>Pronajímatel má právo hospodařit s níže uvedeným majetkem Hlavního města Prahy se sídlem Mariánské nám. 2/2, Praha, Staré Město, 110 01</w:t>
      </w:r>
      <w:r/>
    </w:p>
    <w:p>
      <w:pPr>
        <w:pStyle w:val="Odsazentlatextu"/>
        <w:numPr>
          <w:ilvl w:val="0"/>
          <w:numId w:val="1"/>
        </w:numPr>
        <w:ind w:left="0" w:right="850" w:hanging="360"/>
        <w:rPr>
          <w:sz w:val="22"/>
          <w:i w:val="false"/>
          <w:sz w:val="22"/>
          <w:i w:val="false"/>
          <w:szCs w:val="22"/>
          <w:iCs w:val="false"/>
        </w:rPr>
      </w:pPr>
      <w:r>
        <w:rPr>
          <w:i w:val="false"/>
          <w:iCs w:val="false"/>
          <w:sz w:val="22"/>
          <w:szCs w:val="22"/>
        </w:rPr>
        <w:t>budovou č.p. 162, v ulici Mladoboleslavská (dále též "Budova") nacházející se na pozemku parc. č. 1137 zapsanou na listu vlastnictví číslo 788 v katastrálním území Vinoř, obci Praha, u Katastrální úřad pro hlavní město Prahu, Katastrální pracoviště Praha</w:t>
      </w:r>
      <w:r/>
    </w:p>
    <w:p>
      <w:pPr>
        <w:pStyle w:val="Odsazentlatextu"/>
        <w:numPr>
          <w:ilvl w:val="0"/>
          <w:numId w:val="1"/>
        </w:numPr>
        <w:ind w:left="0" w:right="850" w:hanging="360"/>
        <w:rPr>
          <w:sz w:val="22"/>
          <w:i w:val="false"/>
          <w:sz w:val="22"/>
          <w:i w:val="false"/>
          <w:szCs w:val="22"/>
          <w:iCs w:val="false"/>
        </w:rPr>
      </w:pPr>
      <w:r>
        <w:rPr>
          <w:i w:val="false"/>
          <w:iCs w:val="false"/>
          <w:sz w:val="22"/>
          <w:szCs w:val="22"/>
        </w:rPr>
        <w:t>pozemkem parc. č. 1137 zapsaným na listu vlastnictví číslo 788 v katastrálním území Vinoř, obci Praha, u Katastrální úřad pro hlavní město Prahu, Katastrální pracoviště Praha (dále též „Pozemek“)</w:t>
      </w:r>
      <w:r/>
    </w:p>
    <w:p>
      <w:pPr>
        <w:pStyle w:val="Odsazentlatextu"/>
        <w:ind w:left="0" w:right="850" w:hanging="705"/>
      </w:pPr>
      <w:r>
        <w:rPr>
          <w:i w:val="false"/>
          <w:iCs w:val="false"/>
          <w:sz w:val="22"/>
          <w:szCs w:val="22"/>
        </w:rPr>
        <w:t xml:space="preserve">1.2. </w:t>
        <w:tab/>
        <w:t xml:space="preserve">Pronajímatel prohlašuje, že v souladu s ustanovením § 36  odst. 1 zákona č. 131/2000 Sb., o Hlavním městě Praze, zveřejnil svůj záměr pronajmout nebytový prostor uvedený v Čl. 1.3. této Smlouvy po dobu od </w:t>
      </w:r>
      <w:r>
        <w:rPr>
          <w:i w:val="false"/>
          <w:iCs w:val="false"/>
          <w:sz w:val="22"/>
          <w:szCs w:val="22"/>
        </w:rPr>
        <w:t>3.9.2014</w:t>
      </w:r>
      <w:r>
        <w:rPr>
          <w:i w:val="false"/>
          <w:iCs w:val="false"/>
          <w:sz w:val="22"/>
          <w:szCs w:val="22"/>
        </w:rPr>
        <w:t xml:space="preserve"> do </w:t>
      </w:r>
      <w:r>
        <w:rPr>
          <w:i w:val="false"/>
          <w:iCs w:val="false"/>
          <w:sz w:val="22"/>
          <w:szCs w:val="22"/>
        </w:rPr>
        <w:t>19.9.2014</w:t>
      </w:r>
      <w:r>
        <w:rPr>
          <w:i w:val="false"/>
          <w:iCs w:val="false"/>
          <w:sz w:val="22"/>
          <w:szCs w:val="22"/>
        </w:rPr>
        <w:t xml:space="preserve"> vyvěšením na úřední desce Úřadu MČ Prahy-Vinoř. Pronajímatel prohlašuje, že uzavření této Smlouvy schválilo Zastupitelstvo Městské části Praha–Vinoř na svém 3. zasedání dne </w:t>
      </w:r>
      <w:r>
        <w:rPr>
          <w:i w:val="false"/>
          <w:iCs w:val="false"/>
          <w:sz w:val="22"/>
          <w:szCs w:val="22"/>
        </w:rPr>
        <w:t>25.11.2014</w:t>
      </w:r>
      <w:r>
        <w:rPr>
          <w:i w:val="false"/>
          <w:iCs w:val="false"/>
          <w:sz w:val="22"/>
          <w:szCs w:val="22"/>
        </w:rPr>
        <w:t xml:space="preserve"> pod č. usnesení </w:t>
      </w:r>
      <w:r>
        <w:rPr>
          <w:i w:val="false"/>
          <w:iCs w:val="false"/>
          <w:sz w:val="22"/>
          <w:szCs w:val="22"/>
        </w:rPr>
        <w:t>Z12/11/14</w:t>
      </w:r>
      <w:r>
        <w:rPr>
          <w:i w:val="false"/>
          <w:iCs w:val="false"/>
          <w:sz w:val="22"/>
          <w:szCs w:val="22"/>
        </w:rPr>
        <w:t>.</w:t>
      </w:r>
      <w:r/>
    </w:p>
    <w:p>
      <w:pPr>
        <w:pStyle w:val="Odsazentlatextu"/>
        <w:ind w:left="0" w:right="850" w:hanging="705"/>
      </w:pPr>
      <w:r>
        <w:rPr>
          <w:i w:val="false"/>
          <w:iCs w:val="false"/>
          <w:sz w:val="22"/>
          <w:szCs w:val="22"/>
        </w:rPr>
        <w:t xml:space="preserve">1.3. </w:t>
        <w:tab/>
        <w:t xml:space="preserve">Za podmínek v této Smlouvě dále uvedených pronajímá Pronajímatel Nájemci v Budově nebytové prostory nacházející se v přízemí Budovy o celkové rozloze </w:t>
      </w:r>
      <w:r>
        <w:rPr>
          <w:i w:val="false"/>
          <w:iCs w:val="false"/>
          <w:sz w:val="22"/>
          <w:szCs w:val="22"/>
        </w:rPr>
        <w:t>30</w:t>
      </w:r>
      <w:r>
        <w:rPr>
          <w:i w:val="false"/>
          <w:iCs w:val="false"/>
          <w:sz w:val="22"/>
          <w:szCs w:val="22"/>
        </w:rPr>
        <w:t xml:space="preserve"> m2, </w:t>
      </w:r>
      <w:r>
        <w:rPr>
          <w:i w:val="false"/>
          <w:iCs w:val="false"/>
          <w:sz w:val="22"/>
          <w:szCs w:val="22"/>
        </w:rPr>
        <w:t>vpravo od prodejny pekařství.</w:t>
      </w:r>
      <w:r/>
    </w:p>
    <w:p>
      <w:pPr>
        <w:pStyle w:val="Odsazentlatextu"/>
        <w:ind w:left="0" w:right="850" w:hanging="705"/>
        <w:rPr>
          <w:sz w:val="24"/>
          <w:sz w:val="24"/>
          <w:szCs w:val="20"/>
          <w:rFonts w:ascii="Times New Roman" w:hAnsi="Times New Roman" w:eastAsia="Times New Roman" w:cs="Times New Roman"/>
          <w:color w:val="00000A"/>
          <w:lang w:val="cs-CZ" w:eastAsia="cs-CZ" w:bidi="ar-SA"/>
        </w:rPr>
      </w:pPr>
      <w:r>
        <w:rPr/>
      </w:r>
      <w:r/>
    </w:p>
    <w:p>
      <w:pPr>
        <w:pStyle w:val="Normal"/>
        <w:ind w:left="0" w:right="850" w:hanging="0"/>
        <w:jc w:val="both"/>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Normal"/>
        <w:ind w:left="0" w:right="850" w:hanging="705"/>
        <w:jc w:val="both"/>
        <w:rPr>
          <w:sz w:val="22"/>
          <w:i w:val="false"/>
          <w:b/>
          <w:sz w:val="22"/>
          <w:i w:val="false"/>
          <w:b/>
          <w:szCs w:val="22"/>
          <w:iCs w:val="false"/>
        </w:rPr>
      </w:pPr>
      <w:r>
        <w:rPr>
          <w:b/>
          <w:i w:val="false"/>
          <w:iCs w:val="false"/>
          <w:sz w:val="22"/>
          <w:szCs w:val="22"/>
        </w:rPr>
        <w:tab/>
        <w:t>2. ÚČEL NÁJMU</w:t>
      </w:r>
      <w:r/>
    </w:p>
    <w:p>
      <w:pPr>
        <w:pStyle w:val="Normal"/>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705"/>
      </w:pPr>
      <w:r>
        <w:rPr>
          <w:i w:val="false"/>
          <w:iCs w:val="false"/>
          <w:sz w:val="22"/>
          <w:szCs w:val="22"/>
        </w:rPr>
        <w:t xml:space="preserve">2.1. </w:t>
        <w:tab/>
        <w:t xml:space="preserve">Účelem nájmu je užívání Prostor pro účely Nájemce -  pro </w:t>
      </w:r>
      <w:r>
        <w:rPr>
          <w:i w:val="false"/>
          <w:iCs w:val="false"/>
          <w:sz w:val="22"/>
          <w:szCs w:val="22"/>
        </w:rPr>
        <w:t xml:space="preserve">provozování kadeřnictví </w:t>
      </w:r>
      <w:r>
        <w:rPr>
          <w:i w:val="false"/>
          <w:iCs w:val="false"/>
          <w:sz w:val="22"/>
          <w:szCs w:val="22"/>
        </w:rPr>
        <w:t>(dále jen „Povolené užívání“). Změnu užívání je možno realizovat jen po předchozím písemném souhlasu Pronajímatele.</w:t>
      </w:r>
      <w:r/>
    </w:p>
    <w:p>
      <w:pPr>
        <w:pStyle w:val="Odsazentlatextu"/>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Nadpis2"/>
        <w:tabs>
          <w:tab w:val="left" w:pos="567" w:leader="none"/>
        </w:tabs>
        <w:ind w:left="0" w:right="850" w:hanging="705"/>
        <w:jc w:val="both"/>
        <w:rPr>
          <w:sz w:val="22"/>
          <w:i w:val="false"/>
          <w:sz w:val="22"/>
          <w:i w:val="false"/>
          <w:szCs w:val="22"/>
          <w:iCs w:val="false"/>
        </w:rPr>
      </w:pPr>
      <w:r>
        <w:rPr>
          <w:i w:val="false"/>
          <w:iCs w:val="false"/>
          <w:sz w:val="22"/>
          <w:szCs w:val="22"/>
        </w:rPr>
        <w:tab/>
        <w:t>3. ZÁKLADNÍ USTANOVENÍ</w:t>
      </w:r>
      <w:r/>
    </w:p>
    <w:p>
      <w:pPr>
        <w:pStyle w:val="ListParagraph"/>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sz w:val="22"/>
          <w:i w:val="false"/>
          <w:sz w:val="22"/>
          <w:i w:val="false"/>
          <w:szCs w:val="22"/>
          <w:iCs w:val="false"/>
        </w:rPr>
      </w:pPr>
      <w:r>
        <w:rPr>
          <w:i w:val="false"/>
          <w:iCs w:val="false"/>
          <w:sz w:val="22"/>
          <w:szCs w:val="22"/>
        </w:rPr>
        <w:t>3.1.</w:t>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r/>
    </w:p>
    <w:p>
      <w:pPr>
        <w:pStyle w:val="Tlotextu"/>
        <w:spacing w:lineRule="auto" w:line="240"/>
        <w:ind w:left="0" w:right="850" w:hanging="0"/>
        <w:jc w:val="both"/>
        <w:rPr>
          <w:sz w:val="22"/>
          <w:i w:val="false"/>
          <w:sz w:val="22"/>
          <w:i w:val="false"/>
          <w:iCs w:val="false"/>
        </w:rPr>
      </w:pPr>
      <w:r>
        <w:rPr>
          <w:i w:val="false"/>
          <w:iCs w:val="false"/>
          <w:sz w:val="22"/>
        </w:rPr>
        <w:t>3.2.</w:t>
        <w:tab/>
        <w:t xml:space="preserve">Nájemce je oprávněn spolu s Prostory užívat společné prostory Budovy, které mu slouží jako přímý přístup k Prostorům. Nájemce není oprávněn užívat ostatní prostory v Budově. </w:t>
      </w:r>
      <w:r/>
    </w:p>
    <w:p>
      <w:pPr>
        <w:pStyle w:val="Tlotextu"/>
        <w:spacing w:lineRule="auto" w:line="240"/>
        <w:ind w:left="0" w:right="850" w:hanging="0"/>
        <w:jc w:val="both"/>
        <w:rPr>
          <w:sz w:val="22"/>
          <w:i w:val="false"/>
          <w:sz w:val="22"/>
          <w:i w:val="false"/>
          <w:iCs w:val="false"/>
        </w:rPr>
      </w:pPr>
      <w:r>
        <w:rPr>
          <w:i w:val="false"/>
          <w:iCs w:val="false"/>
          <w:sz w:val="22"/>
        </w:rPr>
        <w:t xml:space="preserve">3.3. </w:t>
        <w:tab/>
        <w:t xml:space="preserve">Nájemce prohlašuje, že byl Pronajímatelem seznámen se stavem Prostor, že si je s odbornou péčí prohlédl a že ke stavu Prostor nemá připomínky a potvrzuje, že stav Prostor odpovídá dohodnutému stavu a dohodnutému účelu užívání. </w:t>
      </w:r>
      <w:r/>
    </w:p>
    <w:p>
      <w:pPr>
        <w:pStyle w:val="Level2"/>
        <w:tabs>
          <w:tab w:val="left" w:pos="571" w:leader="none"/>
        </w:tabs>
        <w:spacing w:lineRule="auto" w:line="240" w:before="0" w:after="0"/>
        <w:ind w:left="0" w:right="850" w:hanging="0"/>
        <w:rPr>
          <w:i w:val="false"/>
          <w:i w:val="false"/>
          <w:iCs w:val="false"/>
          <w:rFonts w:ascii="Times New Roman" w:hAnsi="Times New Roman" w:eastAsia="Times New Roman" w:cs="Times New Roman"/>
          <w:lang w:eastAsia="cs-CZ"/>
        </w:rPr>
      </w:pPr>
      <w:r>
        <w:rPr>
          <w:rFonts w:eastAsia="Times New Roman" w:cs="Times New Roman" w:ascii="Times New Roman" w:hAnsi="Times New Roman"/>
          <w:i w:val="false"/>
          <w:iCs w:val="false"/>
          <w:lang w:eastAsia="cs-CZ"/>
        </w:rPr>
        <w:t xml:space="preserve">3.4   Nájemce je povinen získat na své náklady veškerá povolení a souhlasy potřebné pro užívání Prostor v rámci Povoleného užívání a zajistit, aby po celou Dobu nájmu zůstaly platné a účinné </w:t>
        <w:tab/>
        <w:t>a v souladu s podmínkami pro jejich vydání.</w:t>
      </w:r>
      <w:r/>
    </w:p>
    <w:p>
      <w:pPr>
        <w:pStyle w:val="Tlotextu"/>
        <w:spacing w:lineRule="auto" w:line="240"/>
        <w:ind w:left="0" w:right="850" w:hanging="0"/>
        <w:jc w:val="both"/>
        <w:rPr>
          <w:sz w:val="22"/>
          <w:i w:val="false"/>
          <w:b/>
          <w:sz w:val="22"/>
          <w:i w:val="false"/>
          <w:b/>
          <w:szCs w:val="22"/>
          <w:iCs w:val="false"/>
          <w:rFonts w:ascii="Times New Roman" w:hAnsi="Times New Roman" w:eastAsia="Times New Roman" w:cs="Calibri"/>
          <w:color w:val="00000A"/>
          <w:lang w:val="cs-CZ" w:eastAsia="cs-CZ" w:bidi="ar-SA"/>
        </w:rPr>
      </w:pPr>
      <w:r>
        <w:rPr>
          <w:rFonts w:eastAsia="Times New Roman"/>
          <w:b/>
          <w:i w:val="false"/>
          <w:iCs w:val="false"/>
          <w:sz w:val="22"/>
          <w:lang w:eastAsia="cs-CZ"/>
        </w:rPr>
      </w:r>
      <w:r/>
    </w:p>
    <w:p>
      <w:pPr>
        <w:pStyle w:val="Odsazentlatextu"/>
        <w:tabs>
          <w:tab w:val="left" w:pos="567" w:leader="none"/>
        </w:tabs>
        <w:ind w:left="0" w:right="850" w:hanging="705"/>
        <w:rPr>
          <w:sz w:val="22"/>
          <w:i w:val="false"/>
          <w:b/>
          <w:sz w:val="22"/>
          <w:i w:val="false"/>
          <w:b/>
          <w:szCs w:val="22"/>
          <w:iCs w:val="false"/>
        </w:rPr>
      </w:pPr>
      <w:r>
        <w:rPr>
          <w:b/>
          <w:i w:val="false"/>
          <w:iCs w:val="false"/>
          <w:sz w:val="22"/>
          <w:szCs w:val="22"/>
        </w:rPr>
        <w:tab/>
        <w:t>4. DOBA NÁJMU</w:t>
      </w:r>
      <w:r/>
    </w:p>
    <w:p>
      <w:pPr>
        <w:pStyle w:val="Odsazentlatextu"/>
        <w:ind w:left="0" w:right="850" w:hanging="0"/>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Odsazentlatextu"/>
        <w:ind w:left="0" w:right="850" w:hanging="0"/>
      </w:pPr>
      <w:r>
        <w:rPr>
          <w:i w:val="false"/>
          <w:iCs w:val="false"/>
          <w:sz w:val="22"/>
          <w:szCs w:val="22"/>
        </w:rPr>
        <w:t>4.1</w:t>
        <w:tab/>
        <w:t>Tato Smlouva se uzavírá na dobu určitou, a to do 31.</w:t>
      </w:r>
      <w:r>
        <w:rPr>
          <w:i w:val="false"/>
          <w:iCs w:val="false"/>
          <w:sz w:val="22"/>
          <w:szCs w:val="22"/>
        </w:rPr>
        <w:t>12</w:t>
      </w:r>
      <w:r>
        <w:rPr>
          <w:i w:val="false"/>
          <w:iCs w:val="false"/>
          <w:sz w:val="22"/>
          <w:szCs w:val="22"/>
        </w:rPr>
        <w:t>.2018.</w:t>
      </w:r>
      <w:r/>
    </w:p>
    <w:p>
      <w:pPr>
        <w:pStyle w:val="Odsazentlatextu"/>
        <w:ind w:left="0" w:right="850" w:hanging="0"/>
      </w:pPr>
      <w:r>
        <w:rPr>
          <w:i w:val="false"/>
          <w:iCs w:val="false"/>
          <w:sz w:val="22"/>
          <w:szCs w:val="22"/>
        </w:rPr>
        <w:t>4.2</w:t>
        <w:tab/>
        <w:t>Nájemce se zavazuje převzít od Pronajímatele a Pronajímatel je povinen předat nájemci Prostory k 1.</w:t>
      </w:r>
      <w:r>
        <w:rPr>
          <w:i w:val="false"/>
          <w:iCs w:val="false"/>
          <w:sz w:val="22"/>
          <w:szCs w:val="22"/>
        </w:rPr>
        <w:t>1</w:t>
      </w:r>
      <w:r>
        <w:rPr>
          <w:i w:val="false"/>
          <w:iCs w:val="false"/>
          <w:sz w:val="22"/>
          <w:szCs w:val="22"/>
        </w:rPr>
        <w:t>.201</w:t>
      </w:r>
      <w:r>
        <w:rPr>
          <w:i w:val="false"/>
          <w:iCs w:val="false"/>
          <w:sz w:val="22"/>
          <w:szCs w:val="22"/>
        </w:rPr>
        <w:t>5</w:t>
      </w:r>
      <w:r>
        <w:rPr>
          <w:i w:val="false"/>
          <w:iCs w:val="false"/>
          <w:sz w:val="22"/>
          <w:szCs w:val="22"/>
        </w:rPr>
        <w:t>. Tento den je dnem zahájení nájmu.</w:t>
      </w:r>
      <w:r/>
    </w:p>
    <w:p>
      <w:pPr>
        <w:pStyle w:val="Odsazentlatextu"/>
        <w:ind w:left="0" w:right="850" w:hanging="0"/>
        <w:rPr>
          <w:sz w:val="24"/>
          <w:i w:val="false"/>
          <w:sz w:val="24"/>
          <w:i w:val="false"/>
          <w:szCs w:val="20"/>
          <w:iCs w:val="false"/>
          <w:rFonts w:ascii="Times New Roman" w:hAnsi="Times New Roman" w:eastAsia="Times New Roman" w:cs="Times New Roman"/>
          <w:color w:val="00000A"/>
          <w:lang w:val="cs-CZ" w:eastAsia="cs-CZ" w:bidi="ar-SA"/>
        </w:rPr>
      </w:pPr>
      <w:r>
        <w:rPr>
          <w:i w:val="false"/>
          <w:iCs w:val="false"/>
        </w:rPr>
      </w:r>
      <w:r/>
    </w:p>
    <w:p>
      <w:pPr>
        <w:pStyle w:val="Odsazentlatextu"/>
        <w:ind w:left="0" w:right="850" w:hanging="0"/>
        <w:rPr>
          <w:sz w:val="22"/>
          <w:i w:val="false"/>
          <w:b/>
          <w:sz w:val="22"/>
          <w:i w:val="false"/>
          <w:b/>
          <w:szCs w:val="22"/>
          <w:iCs w:val="false"/>
        </w:rPr>
      </w:pPr>
      <w:r>
        <w:rPr>
          <w:b/>
          <w:i w:val="false"/>
          <w:iCs w:val="false"/>
          <w:sz w:val="22"/>
          <w:szCs w:val="22"/>
        </w:rPr>
        <w:t>5.</w:t>
        <w:tab/>
        <w:t>NÁJEMNÉ</w:t>
      </w:r>
      <w:r/>
    </w:p>
    <w:p>
      <w:pPr>
        <w:pStyle w:val="Odsazentlatextu"/>
        <w:ind w:left="0" w:right="850" w:hanging="0"/>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Odsazentlatextu"/>
        <w:ind w:left="0" w:right="850" w:hanging="0"/>
      </w:pPr>
      <w:r>
        <w:rPr>
          <w:bCs/>
          <w:i w:val="false"/>
          <w:iCs w:val="false"/>
          <w:sz w:val="22"/>
          <w:szCs w:val="22"/>
        </w:rPr>
        <w:t>5.1</w:t>
        <w:tab/>
        <w:t xml:space="preserve">Výše nájemného za Předmět nájmu byla, v souladu s Usnesením č. </w:t>
      </w:r>
      <w:r>
        <w:rPr>
          <w:bCs/>
          <w:i w:val="false"/>
          <w:iCs w:val="false"/>
          <w:sz w:val="22"/>
          <w:szCs w:val="22"/>
        </w:rPr>
        <w:t>Z12/11/14</w:t>
      </w:r>
      <w:r>
        <w:rPr>
          <w:bCs/>
          <w:i w:val="false"/>
          <w:iCs w:val="false"/>
          <w:sz w:val="22"/>
          <w:szCs w:val="22"/>
        </w:rPr>
        <w:t xml:space="preserve"> schváleném zastupiteli MČ Prahy-Vinoř na 3. zasedání Zastupitelstva MČ Prahy-Vinoř konaného dne </w:t>
      </w:r>
      <w:r>
        <w:rPr>
          <w:bCs/>
          <w:i w:val="false"/>
          <w:iCs w:val="false"/>
          <w:sz w:val="22"/>
          <w:szCs w:val="22"/>
        </w:rPr>
        <w:t>25.11.2014</w:t>
      </w:r>
      <w:r>
        <w:rPr>
          <w:bCs/>
          <w:i w:val="false"/>
          <w:iCs w:val="false"/>
          <w:sz w:val="22"/>
          <w:szCs w:val="22"/>
        </w:rPr>
        <w:t xml:space="preserve">, stanovena ve výši </w:t>
      </w:r>
      <w:r>
        <w:rPr>
          <w:bCs/>
          <w:i w:val="false"/>
          <w:iCs w:val="false"/>
          <w:sz w:val="22"/>
          <w:szCs w:val="22"/>
        </w:rPr>
        <w:t>1.000</w:t>
      </w:r>
      <w:r>
        <w:rPr>
          <w:bCs/>
          <w:i w:val="false"/>
          <w:iCs w:val="false"/>
          <w:sz w:val="22"/>
          <w:szCs w:val="22"/>
        </w:rPr>
        <w:t xml:space="preserve"> Kč za 1m</w:t>
      </w:r>
      <w:r>
        <w:rPr>
          <w:bCs/>
          <w:i w:val="false"/>
          <w:iCs w:val="false"/>
          <w:sz w:val="22"/>
          <w:szCs w:val="22"/>
          <w:vertAlign w:val="superscript"/>
        </w:rPr>
        <w:t xml:space="preserve">2 </w:t>
      </w:r>
      <w:r>
        <w:rPr>
          <w:bCs/>
          <w:i w:val="false"/>
          <w:iCs w:val="false"/>
          <w:sz w:val="22"/>
          <w:szCs w:val="22"/>
        </w:rPr>
        <w:t>a rok pro období od 1.</w:t>
      </w:r>
      <w:r>
        <w:rPr>
          <w:bCs/>
          <w:i w:val="false"/>
          <w:iCs w:val="false"/>
          <w:sz w:val="22"/>
          <w:szCs w:val="22"/>
        </w:rPr>
        <w:t>1</w:t>
      </w:r>
      <w:r>
        <w:rPr>
          <w:bCs/>
          <w:i w:val="false"/>
          <w:iCs w:val="false"/>
          <w:sz w:val="22"/>
          <w:szCs w:val="22"/>
        </w:rPr>
        <w:t>.20</w:t>
      </w:r>
      <w:r>
        <w:rPr>
          <w:bCs/>
          <w:i w:val="false"/>
          <w:iCs w:val="false"/>
          <w:sz w:val="22"/>
          <w:szCs w:val="22"/>
        </w:rPr>
        <w:t>15</w:t>
      </w:r>
      <w:r>
        <w:rPr>
          <w:bCs/>
          <w:i w:val="false"/>
          <w:iCs w:val="false"/>
          <w:sz w:val="22"/>
          <w:szCs w:val="22"/>
        </w:rPr>
        <w:t>. Nájemné osvobozeno od DPH.</w:t>
      </w:r>
      <w:r/>
    </w:p>
    <w:p>
      <w:pPr>
        <w:pStyle w:val="Odsazentlatextu"/>
        <w:ind w:left="0" w:right="850" w:hanging="0"/>
      </w:pPr>
      <w:r>
        <w:rPr>
          <w:i w:val="false"/>
          <w:iCs w:val="false"/>
          <w:sz w:val="22"/>
          <w:szCs w:val="22"/>
        </w:rPr>
        <w:t>5.2</w:t>
        <w:tab/>
        <w:t xml:space="preserve">Celková výše ročního nájemného za Prostory činí </w:t>
      </w:r>
      <w:r>
        <w:rPr>
          <w:i w:val="false"/>
          <w:iCs w:val="false"/>
          <w:sz w:val="22"/>
          <w:szCs w:val="22"/>
        </w:rPr>
        <w:t>30.000</w:t>
      </w:r>
      <w:r>
        <w:rPr>
          <w:i w:val="false"/>
          <w:iCs w:val="false"/>
          <w:sz w:val="22"/>
          <w:szCs w:val="22"/>
        </w:rPr>
        <w:t>,- Kč.</w:t>
      </w:r>
      <w:r/>
    </w:p>
    <w:p>
      <w:pPr>
        <w:pStyle w:val="Odsazentlatextu"/>
        <w:ind w:left="0" w:right="850" w:hanging="0"/>
        <w:rPr>
          <w:sz w:val="22"/>
          <w:i w:val="false"/>
          <w:sz w:val="22"/>
          <w:i w:val="false"/>
          <w:szCs w:val="22"/>
          <w:iCs w:val="false"/>
        </w:rPr>
      </w:pPr>
      <w:r>
        <w:rPr>
          <w:i w:val="false"/>
          <w:iCs w:val="false"/>
          <w:sz w:val="22"/>
          <w:szCs w:val="22"/>
        </w:rPr>
        <w:t>5.3</w:t>
        <w:tab/>
        <w:t>Nájemní poměr lze prodloužit na další dobu určitou písemnou dohodou uzavřenou mezi Pronajimatelem a Nájemcem nejpozději dva měsíce před skončením této Smlouvy.</w:t>
      </w:r>
      <w:r/>
    </w:p>
    <w:p>
      <w:pPr>
        <w:pStyle w:val="Odsazentlatextu"/>
        <w:ind w:left="0" w:right="850" w:hanging="0"/>
      </w:pPr>
      <w:r>
        <w:rPr>
          <w:i w:val="false"/>
          <w:iCs w:val="false"/>
          <w:sz w:val="22"/>
          <w:szCs w:val="22"/>
        </w:rPr>
        <w:t>5.4</w:t>
        <w:tab/>
        <w:t xml:space="preserve">V případě prodloužení Smlouvy na dobu od </w:t>
      </w:r>
      <w:r>
        <w:rPr>
          <w:i w:val="false"/>
          <w:iCs w:val="false"/>
          <w:sz w:val="22"/>
          <w:szCs w:val="22"/>
        </w:rPr>
        <w:t>ledna</w:t>
      </w:r>
      <w:r>
        <w:rPr>
          <w:i w:val="false"/>
          <w:iCs w:val="false"/>
          <w:sz w:val="22"/>
          <w:szCs w:val="22"/>
        </w:rPr>
        <w:t xml:space="preserve"> 201</w:t>
      </w:r>
      <w:r>
        <w:rPr>
          <w:i w:val="false"/>
          <w:iCs w:val="false"/>
          <w:sz w:val="22"/>
          <w:szCs w:val="22"/>
        </w:rPr>
        <w:t>9</w:t>
      </w:r>
      <w:r>
        <w:rPr>
          <w:i w:val="false"/>
          <w:iCs w:val="false"/>
          <w:sz w:val="22"/>
          <w:szCs w:val="22"/>
        </w:rPr>
        <w:t xml:space="preserve"> bude výše nájemného stanovena na základě ceny nájemného v místě obvyklé v roce 2018.</w:t>
      </w:r>
      <w:r/>
    </w:p>
    <w:p>
      <w:pPr>
        <w:pStyle w:val="Odsazentlatextu"/>
        <w:ind w:left="0" w:right="850" w:hanging="0"/>
      </w:pPr>
      <w:r>
        <w:rPr>
          <w:i w:val="false"/>
          <w:iCs w:val="false"/>
          <w:sz w:val="22"/>
          <w:szCs w:val="22"/>
        </w:rPr>
        <w:t>5.5</w:t>
        <w:tab/>
        <w:t xml:space="preserve">Nájemné je splatné čtvrtletně, vždy do patnáctého dne </w:t>
      </w:r>
      <w:r>
        <w:rPr>
          <w:i w:val="false"/>
          <w:iCs w:val="false"/>
          <w:sz w:val="22"/>
          <w:szCs w:val="22"/>
        </w:rPr>
        <w:t>prvého</w:t>
      </w:r>
      <w:r>
        <w:rPr>
          <w:i w:val="false"/>
          <w:iCs w:val="false"/>
          <w:sz w:val="22"/>
          <w:szCs w:val="22"/>
        </w:rPr>
        <w:t xml:space="preserve"> měsíce čtvrtletí, za které se nájemné platí, ve prospěch bankovního účtu Pronajímatele vedeného u České spořitelny, a.s., číslo účtu 9021-2000710319/0800, </w:t>
      </w:r>
      <w:r>
        <w:rPr>
          <w:i w:val="false"/>
          <w:iCs w:val="false"/>
          <w:sz w:val="22"/>
          <w:szCs w:val="22"/>
        </w:rPr>
        <w:t xml:space="preserve">variabilní symbol: 311021621. Den uskutečnění zdanitelného plnění je při úhradě čtvrtletních splátek stanoven na 15. den prvního měsíce čtvrtletí nebo den připsání úhrady na účet pronajímatele, a to ten den, který, nastane dříve. </w:t>
      </w:r>
      <w:r/>
    </w:p>
    <w:p>
      <w:pPr>
        <w:pStyle w:val="Odsazentlatextu"/>
        <w:ind w:left="0" w:right="850" w:hanging="0"/>
        <w:rPr>
          <w:sz w:val="22"/>
          <w:i w:val="false"/>
          <w:sz w:val="22"/>
          <w:i w:val="false"/>
          <w:szCs w:val="22"/>
          <w:iCs w:val="false"/>
        </w:rPr>
      </w:pPr>
      <w:r>
        <w:rPr>
          <w:i w:val="false"/>
          <w:iCs w:val="false"/>
          <w:sz w:val="22"/>
          <w:szCs w:val="22"/>
        </w:rPr>
        <w:t>5.6.</w:t>
        <w:tab/>
        <w:t>V případě, že nájem nezačíná prvého dne kalendářního měsíce, vypočítá se nájemné za první měsíc poměrně, a to dle počtu dní, ve kterých bude Nájemce užívat Prostory k celkovému počtu dní v daném kalendářním měsíci.</w:t>
      </w:r>
      <w:r/>
    </w:p>
    <w:p>
      <w:pPr>
        <w:pStyle w:val="Normal"/>
        <w:tabs>
          <w:tab w:val="left" w:pos="720" w:leader="none"/>
        </w:tabs>
        <w:ind w:left="0" w:right="850" w:hanging="0"/>
        <w:jc w:val="both"/>
        <w:rPr>
          <w:sz w:val="22"/>
          <w:i w:val="false"/>
          <w:sz w:val="22"/>
          <w:i w:val="false"/>
          <w:szCs w:val="22"/>
          <w:iCs w:val="false"/>
        </w:rPr>
      </w:pPr>
      <w:r>
        <w:rPr>
          <w:i w:val="false"/>
          <w:iCs w:val="false"/>
          <w:sz w:val="22"/>
          <w:szCs w:val="22"/>
        </w:rPr>
        <w:t>5.7</w:t>
        <w:tab/>
        <w:t>Pronajímatel je oprávněn upravit nájemné o procentuální nárůst vykazované míry ročního růstu indexu spotřebitelských cen v ČR vyhlášeného Českým statistickým úřadem za předcházející kalendářní rok v případě, že procentuální nárůst vykazované míry ročního růstu indexu spotřebitelských cen v ČR vyhlášený Českým statistickým úřadem přesáhne 2%. Toto ustanovení lze prvně použít s účinností od 1.4.2015.</w:t>
      </w:r>
      <w:r/>
    </w:p>
    <w:p>
      <w:pPr>
        <w:pStyle w:val="Odsazentlatextu"/>
        <w:ind w:left="0" w:right="850" w:hanging="0"/>
        <w:rPr>
          <w:sz w:val="22"/>
          <w:i w:val="false"/>
          <w:sz w:val="22"/>
          <w:i w:val="false"/>
          <w:szCs w:val="22"/>
          <w:iCs w:val="false"/>
        </w:rPr>
      </w:pPr>
      <w:r>
        <w:rPr>
          <w:i w:val="false"/>
          <w:iCs w:val="false"/>
          <w:sz w:val="22"/>
          <w:szCs w:val="22"/>
        </w:rPr>
        <w:t>5.8</w:t>
        <w:tab/>
        <w:t>Pokud bude Nájemce v prodlení s úhradou Nájemného, Poplatku za služby či jiné částky, kterou je povinen uhradit dle této Nájemní smlouvy, je Nájemce povinen zaplatit Pronajímateli  úroky z prodlení v zákonné výši.</w:t>
      </w:r>
      <w:r/>
    </w:p>
    <w:p>
      <w:pPr>
        <w:pStyle w:val="Odsazentlatextu"/>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caps/>
          <w:sz w:val="22"/>
          <w:i w:val="false"/>
          <w:b/>
          <w:sz w:val="22"/>
          <w:i w:val="false"/>
          <w:b/>
          <w:szCs w:val="22"/>
          <w:iCs w:val="false"/>
          <w:bCs/>
        </w:rPr>
      </w:pPr>
      <w:r>
        <w:rPr>
          <w:b/>
          <w:bCs/>
          <w:i w:val="false"/>
          <w:iCs w:val="false"/>
          <w:sz w:val="22"/>
          <w:szCs w:val="22"/>
        </w:rPr>
        <w:t>6.</w:t>
        <w:tab/>
        <w:t xml:space="preserve">SLUŽBY </w:t>
      </w:r>
      <w:r>
        <w:rPr>
          <w:b/>
          <w:bCs/>
          <w:i w:val="false"/>
          <w:iCs w:val="false"/>
          <w:caps/>
          <w:sz w:val="22"/>
          <w:szCs w:val="22"/>
        </w:rPr>
        <w:t>poskytované s nájmem</w:t>
      </w:r>
      <w:r/>
    </w:p>
    <w:p>
      <w:pPr>
        <w:pStyle w:val="Odsazentlatextu"/>
        <w:ind w:left="0" w:right="850" w:hanging="0"/>
        <w:rPr>
          <w:caps/>
          <w:sz w:val="22"/>
          <w:i w:val="false"/>
          <w:b/>
          <w:sz w:val="22"/>
          <w:i w:val="false"/>
          <w:b/>
          <w:szCs w:val="22"/>
          <w:iCs w:val="false"/>
          <w:bCs/>
          <w:rFonts w:ascii="Times New Roman" w:hAnsi="Times New Roman" w:eastAsia="Times New Roman" w:cs="Times New Roman"/>
          <w:color w:val="00000A"/>
          <w:lang w:val="cs-CZ" w:eastAsia="cs-CZ" w:bidi="ar-SA"/>
        </w:rPr>
      </w:pPr>
      <w:r>
        <w:rPr>
          <w:b/>
          <w:bCs/>
          <w:i w:val="false"/>
          <w:iCs w:val="false"/>
          <w:caps/>
          <w:sz w:val="22"/>
          <w:szCs w:val="22"/>
        </w:rPr>
      </w:r>
      <w:r/>
    </w:p>
    <w:p>
      <w:pPr>
        <w:pStyle w:val="Normal"/>
        <w:ind w:left="0" w:right="850" w:hanging="0"/>
        <w:jc w:val="both"/>
        <w:rPr>
          <w:sz w:val="22"/>
          <w:i w:val="false"/>
          <w:sz w:val="22"/>
          <w:i w:val="false"/>
          <w:szCs w:val="22"/>
          <w:iCs w:val="false"/>
        </w:rPr>
      </w:pPr>
      <w:r>
        <w:rPr>
          <w:i w:val="false"/>
          <w:iCs w:val="false"/>
          <w:sz w:val="22"/>
          <w:szCs w:val="22"/>
        </w:rPr>
        <w:t xml:space="preserve">6.1 </w:t>
        <w:tab/>
        <w:t>Pronajímatel se zavazuje zajistit Nájemci v souvislosti s užíváním Prostor následující služby: ústřední (dálkové) vytápění, dodávku studené vody a odvádění odpadních vod kanalizacemi.</w:t>
      </w:r>
      <w:r/>
    </w:p>
    <w:p>
      <w:pPr>
        <w:pStyle w:val="Tlotextu"/>
        <w:spacing w:lineRule="auto" w:line="240"/>
        <w:ind w:left="0" w:right="850" w:hanging="0"/>
        <w:jc w:val="both"/>
        <w:rPr>
          <w:sz w:val="22"/>
          <w:i w:val="false"/>
          <w:sz w:val="22"/>
          <w:i w:val="false"/>
          <w:iCs w:val="false"/>
        </w:rPr>
      </w:pPr>
      <w:r>
        <w:rPr>
          <w:i w:val="false"/>
          <w:iCs w:val="false"/>
          <w:sz w:val="22"/>
        </w:rPr>
        <w:t xml:space="preserve">6.2 </w:t>
        <w:tab/>
        <w:t xml:space="preserve">Nájemce se zavazuje hradit Pronajímateli úplatu za poskytování těch služeb, které mu nejsou poskytovány přímo jejich poskytovateli (dále jen „Poplatek za služby“). </w:t>
      </w:r>
      <w:r/>
    </w:p>
    <w:p>
      <w:pPr>
        <w:pStyle w:val="Tlotextu"/>
        <w:spacing w:lineRule="auto" w:line="240"/>
        <w:ind w:left="0" w:right="850" w:hanging="0"/>
        <w:jc w:val="both"/>
        <w:rPr>
          <w:sz w:val="22"/>
          <w:i w:val="false"/>
          <w:sz w:val="22"/>
          <w:i w:val="false"/>
          <w:iCs w:val="false"/>
        </w:rPr>
      </w:pPr>
      <w:r>
        <w:rPr>
          <w:i w:val="false"/>
          <w:iCs w:val="false"/>
          <w:sz w:val="22"/>
        </w:rPr>
        <w:t>6.3</w:t>
        <w:tab/>
        <w:t xml:space="preserve">Smluvní strany před podpisem této Smlouvy ujednali, že vyúčtování služeb, které bude Pronajímatel poskytovat Nájemci, se bude řídit podle zákona č. 67/2013 Sb. s tím, že vyúčtování bude provedeno takto: </w:t>
      </w:r>
      <w:r/>
    </w:p>
    <w:p>
      <w:pPr>
        <w:pStyle w:val="Tlotextu"/>
        <w:numPr>
          <w:ilvl w:val="0"/>
          <w:numId w:val="2"/>
        </w:numPr>
        <w:spacing w:lineRule="auto" w:line="240"/>
        <w:ind w:left="0" w:right="850" w:hanging="360"/>
        <w:jc w:val="both"/>
        <w:rPr>
          <w:sz w:val="22"/>
          <w:i w:val="false"/>
          <w:sz w:val="22"/>
          <w:i w:val="false"/>
          <w:iCs w:val="false"/>
        </w:rPr>
      </w:pPr>
      <w:r>
        <w:rPr>
          <w:i w:val="false"/>
          <w:iCs w:val="false"/>
          <w:sz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r/>
    </w:p>
    <w:p>
      <w:pPr>
        <w:pStyle w:val="Tlotextu"/>
        <w:numPr>
          <w:ilvl w:val="0"/>
          <w:numId w:val="2"/>
        </w:numPr>
        <w:spacing w:lineRule="auto" w:line="240"/>
        <w:ind w:left="0" w:right="850" w:hanging="360"/>
        <w:jc w:val="both"/>
      </w:pPr>
      <w:r>
        <w:rPr>
          <w:i w:val="false"/>
          <w:iCs w:val="false"/>
          <w:sz w:val="22"/>
        </w:rPr>
        <w:t>vyúčtování dodávky tepla a teplé užitkové vody se provede podle vyhlášky č. 372/2001 Sb. a velikosti pronajatých m</w:t>
      </w:r>
      <w:r>
        <w:rPr>
          <w:i w:val="false"/>
          <w:iCs w:val="false"/>
          <w:sz w:val="22"/>
          <w:vertAlign w:val="superscript"/>
        </w:rPr>
        <w:t>2</w:t>
      </w:r>
      <w:r>
        <w:rPr>
          <w:i w:val="false"/>
          <w:iCs w:val="false"/>
          <w:sz w:val="22"/>
        </w:rPr>
        <w:t xml:space="preserve"> Prostor (tj. </w:t>
      </w:r>
      <w:r>
        <w:rPr>
          <w:i w:val="false"/>
          <w:iCs w:val="false"/>
          <w:sz w:val="22"/>
        </w:rPr>
        <w:t>30</w:t>
      </w:r>
      <w:r>
        <w:rPr>
          <w:i w:val="false"/>
          <w:iCs w:val="false"/>
          <w:sz w:val="22"/>
        </w:rPr>
        <w:t xml:space="preserve"> m2),</w:t>
      </w:r>
      <w:r/>
    </w:p>
    <w:p>
      <w:pPr>
        <w:pStyle w:val="Tlotextu"/>
        <w:spacing w:lineRule="auto" w:line="240"/>
        <w:ind w:left="0" w:right="850" w:hanging="0"/>
        <w:jc w:val="both"/>
        <w:rPr>
          <w:sz w:val="22"/>
          <w:i w:val="false"/>
          <w:sz w:val="22"/>
          <w:i w:val="false"/>
          <w:iCs w:val="false"/>
        </w:rPr>
      </w:pPr>
      <w:r>
        <w:rPr>
          <w:i w:val="false"/>
          <w:iCs w:val="false"/>
          <w:sz w:val="22"/>
        </w:rPr>
        <w:t>Dojde-li během platnosti této Smlouvy ke zrušení předpisů uvedených v odst. 3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r/>
    </w:p>
    <w:p>
      <w:pPr>
        <w:pStyle w:val="Tlotextu"/>
        <w:spacing w:lineRule="auto" w:line="240"/>
        <w:ind w:left="0" w:right="850" w:hanging="0"/>
        <w:jc w:val="both"/>
      </w:pPr>
      <w:r>
        <w:rPr>
          <w:i w:val="false"/>
          <w:iCs w:val="false"/>
          <w:sz w:val="22"/>
        </w:rPr>
        <w:t xml:space="preserve">6.4 </w:t>
        <w:tab/>
        <w:t xml:space="preserve">Nájemce se zavazuje platit Pronajímateli zálohu na úplatu za služby uvedené v tomto Článku v měsíční výši </w:t>
      </w:r>
      <w:r>
        <w:rPr>
          <w:i w:val="false"/>
          <w:iCs w:val="false"/>
          <w:sz w:val="22"/>
        </w:rPr>
        <w:t>1.900</w:t>
      </w:r>
      <w:r>
        <w:rPr>
          <w:i w:val="false"/>
          <w:iCs w:val="false"/>
          <w:sz w:val="22"/>
        </w:rPr>
        <w:t>,- Kč. Záloha je splatná čtvrtletně společně s nájemným bezhotovostně na účet Pronajímatele uvedený v Článku 5.5 této Smlouvy.</w:t>
      </w:r>
      <w:r/>
    </w:p>
    <w:p>
      <w:pPr>
        <w:pStyle w:val="Tlotextu"/>
        <w:spacing w:lineRule="auto" w:line="240"/>
        <w:ind w:left="0" w:right="850" w:hanging="0"/>
        <w:jc w:val="both"/>
        <w:rPr>
          <w:sz w:val="22"/>
          <w:i w:val="false"/>
          <w:sz w:val="22"/>
          <w:i w:val="false"/>
          <w:iCs w:val="false"/>
        </w:rPr>
      </w:pPr>
      <w:r>
        <w:rPr>
          <w:i w:val="false"/>
          <w:iCs w:val="false"/>
          <w:sz w:val="22"/>
        </w:rPr>
        <w:t>6.5</w:t>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r/>
    </w:p>
    <w:p>
      <w:pPr>
        <w:pStyle w:val="Tlotextu"/>
        <w:spacing w:lineRule="auto" w:line="240"/>
        <w:ind w:left="0" w:right="850" w:hanging="0"/>
        <w:jc w:val="both"/>
        <w:rPr>
          <w:sz w:val="22"/>
          <w:i w:val="false"/>
          <w:sz w:val="22"/>
          <w:i w:val="false"/>
          <w:iCs w:val="false"/>
        </w:rPr>
      </w:pPr>
      <w:r>
        <w:rPr>
          <w:i w:val="false"/>
          <w:iCs w:val="false"/>
          <w:sz w:val="22"/>
        </w:rPr>
        <w:t>6.6</w:t>
        <w:tab/>
        <w:t xml:space="preserve">Případný nedoplatek či přeplatek záloh na poskytnuté služby jsou splatné do 7 (sedmi) měsíců od skončení zúčtovacího období.  </w:t>
      </w:r>
      <w:r/>
    </w:p>
    <w:p>
      <w:pPr>
        <w:pStyle w:val="Tlotextu"/>
        <w:spacing w:lineRule="auto" w:line="240"/>
        <w:ind w:left="0" w:right="850" w:hanging="0"/>
        <w:jc w:val="both"/>
        <w:rPr>
          <w:sz w:val="22"/>
          <w:i w:val="false"/>
          <w:sz w:val="22"/>
          <w:i w:val="false"/>
          <w:iCs w:val="false"/>
        </w:rPr>
      </w:pPr>
      <w:r>
        <w:rPr>
          <w:i w:val="false"/>
          <w:iCs w:val="false"/>
          <w:sz w:val="22"/>
        </w:rPr>
        <w:t>6.7</w:t>
        <w:tab/>
        <w:t xml:space="preserve">Provede-li v souladu s ustanovením § 2250 zákona č. 89/2012 Sb. Pronajímatel v budoucnosti stavební úpravy, které trvale zlepší užitou hodnotu Prostor či celkové podmínky bydlení v Budově, a/nebo budou mít za následek trvalé úspory energie nebo vody, bude se moci s Nájemcem dohodnout o zvýšení nájemného, nejvýše však o 10 % z účelně vynaložených nákladů ročně. Pokud s takovým návrhem na zvýšení nájemného budou souhlasit alespoň Nájemci dvou třetin Bytů a Prostor v Budově, bude platit zvýšené nájemné automaticky i pro ostatní nájemce. Pokud k dohodě výše zmíněné nedojde, může Pronajímatel navrhnout zvýšení Nájemného z těchto důvodů ročně o 3,5 % z vynaložených nákladů; bude se mít za to, že náklady byly vynaloženy účelně. </w:t>
      </w:r>
      <w:r/>
    </w:p>
    <w:p>
      <w:pPr>
        <w:pStyle w:val="Tlotextu"/>
        <w:spacing w:lineRule="auto" w:line="240"/>
        <w:ind w:left="0" w:right="850" w:hanging="0"/>
        <w:jc w:val="both"/>
        <w:rPr>
          <w:sz w:val="22"/>
          <w:i w:val="false"/>
          <w:sz w:val="22"/>
          <w:i w:val="false"/>
          <w:szCs w:val="22"/>
          <w:iCs w:val="false"/>
          <w:rFonts w:ascii="Times New Roman" w:hAnsi="Times New Roman" w:eastAsia="Times New Roman" w:cs="Calibri"/>
          <w:color w:val="00000A"/>
          <w:lang w:val="cs-CZ" w:eastAsia="en-US" w:bidi="ar-SA"/>
        </w:rPr>
      </w:pPr>
      <w:r>
        <w:rPr>
          <w:i w:val="false"/>
          <w:iCs w:val="false"/>
          <w:sz w:val="22"/>
        </w:rPr>
      </w:r>
      <w:r/>
    </w:p>
    <w:p>
      <w:pPr>
        <w:pStyle w:val="Odsazentlatextu"/>
        <w:ind w:left="0" w:right="850" w:hanging="0"/>
        <w:rPr>
          <w:sz w:val="22"/>
          <w:i w:val="false"/>
          <w:b/>
          <w:sz w:val="22"/>
          <w:i w:val="false"/>
          <w:b/>
          <w:szCs w:val="22"/>
          <w:iCs w:val="false"/>
        </w:rPr>
      </w:pPr>
      <w:r>
        <w:rPr>
          <w:b/>
          <w:i w:val="false"/>
          <w:iCs w:val="false"/>
          <w:sz w:val="22"/>
          <w:szCs w:val="22"/>
        </w:rPr>
        <w:t>7.</w:t>
        <w:tab/>
        <w:t>SKONČENÍ NÁJMU</w:t>
      </w:r>
      <w:r/>
    </w:p>
    <w:p>
      <w:pPr>
        <w:pStyle w:val="Tlotextu"/>
        <w:spacing w:lineRule="auto" w:line="240"/>
        <w:ind w:left="0" w:right="850" w:hanging="0"/>
        <w:jc w:val="both"/>
        <w:rPr>
          <w:sz w:val="22"/>
          <w:i w:val="false"/>
          <w:sz w:val="22"/>
          <w:i w:val="false"/>
          <w:iCs w:val="false"/>
        </w:rPr>
      </w:pPr>
      <w:bookmarkStart w:id="0" w:name="_Ref81142184"/>
      <w:bookmarkEnd w:id="0"/>
      <w:r>
        <w:rPr>
          <w:i w:val="false"/>
          <w:iCs w:val="false"/>
          <w:sz w:val="22"/>
        </w:rPr>
        <w:t>7.1</w:t>
        <w:tab/>
        <w:t>Následující skutečnosti se pro účely tohoto článku považují za porušení této Nájemní smlouvy ze strany Nájemce:</w:t>
      </w:r>
      <w:r/>
    </w:p>
    <w:p>
      <w:pPr>
        <w:pStyle w:val="Tlotextu"/>
        <w:numPr>
          <w:ilvl w:val="0"/>
          <w:numId w:val="3"/>
        </w:numPr>
        <w:spacing w:lineRule="auto" w:line="240"/>
        <w:ind w:left="0" w:right="850" w:hanging="360"/>
        <w:jc w:val="both"/>
        <w:rPr>
          <w:sz w:val="22"/>
          <w:i w:val="false"/>
          <w:sz w:val="22"/>
          <w:i w:val="false"/>
          <w:iCs w:val="false"/>
        </w:rPr>
      </w:pPr>
      <w:r>
        <w:rPr>
          <w:i w:val="false"/>
          <w:iCs w:val="false"/>
          <w:sz w:val="22"/>
        </w:rPr>
        <w:t>pokud je Nájemce v prodlení s úhradou Nájemného nebo jeho části, Poplatku za služby, a/nebo kterékoli jiné částky, kterou je povinen uhradit dle této Smlouvy, a to po dobu delší než 40 pracovních dní;</w:t>
      </w:r>
      <w:r/>
    </w:p>
    <w:p>
      <w:pPr>
        <w:pStyle w:val="Tlotextu"/>
        <w:numPr>
          <w:ilvl w:val="0"/>
          <w:numId w:val="3"/>
        </w:numPr>
        <w:spacing w:lineRule="auto" w:line="240"/>
        <w:ind w:left="0" w:right="850" w:hanging="360"/>
        <w:jc w:val="both"/>
        <w:rPr>
          <w:sz w:val="22"/>
          <w:i w:val="false"/>
          <w:sz w:val="22"/>
          <w:i w:val="false"/>
          <w:iCs w:val="false"/>
        </w:rPr>
      </w:pPr>
      <w:r>
        <w:rPr>
          <w:i w:val="false"/>
          <w:iCs w:val="false"/>
          <w:sz w:val="22"/>
        </w:rPr>
        <w:t>pokud Nájemce užívá Prostory v rozporu s touto Smlouvou;</w:t>
      </w:r>
      <w:r/>
    </w:p>
    <w:p>
      <w:pPr>
        <w:pStyle w:val="Tlotextu"/>
        <w:numPr>
          <w:ilvl w:val="0"/>
          <w:numId w:val="3"/>
        </w:numPr>
        <w:spacing w:lineRule="auto" w:line="240"/>
        <w:ind w:left="0" w:right="850" w:hanging="360"/>
        <w:jc w:val="both"/>
        <w:rPr>
          <w:sz w:val="22"/>
          <w:i w:val="false"/>
          <w:sz w:val="22"/>
          <w:i w:val="false"/>
          <w:iCs w:val="false"/>
        </w:rPr>
      </w:pPr>
      <w:r>
        <w:rPr>
          <w:i w:val="false"/>
          <w:iCs w:val="false"/>
          <w:sz w:val="22"/>
        </w:rPr>
        <w:t>pokud příslušný soud vydal rozhodnutí o úpadku týkající se Nájemce a/nebo je Nájemce v úpadku;</w:t>
      </w:r>
      <w:r/>
    </w:p>
    <w:p>
      <w:pPr>
        <w:pStyle w:val="Tlotextu"/>
        <w:numPr>
          <w:ilvl w:val="0"/>
          <w:numId w:val="3"/>
        </w:numPr>
        <w:spacing w:lineRule="auto" w:line="240"/>
        <w:ind w:left="0" w:right="850" w:hanging="360"/>
        <w:jc w:val="both"/>
        <w:rPr>
          <w:sz w:val="22"/>
          <w:i w:val="false"/>
          <w:sz w:val="22"/>
          <w:i w:val="false"/>
          <w:iCs w:val="false"/>
        </w:rPr>
      </w:pPr>
      <w:r>
        <w:rPr>
          <w:i w:val="false"/>
          <w:iCs w:val="false"/>
          <w:sz w:val="22"/>
        </w:rPr>
        <w:t>pokud bude jakékoli kolaudační nebo jiné správní rozhodnutí nebo povolení nezbytné k tomu, aby mohl Nájemce užívat Prostory dle této Smlouvy, zrušeno nebo se stane neplatným či neúčinným a Nájemce ani v dodatečné devadesátidenní lhůtě, nesjedná nápravu;</w:t>
      </w:r>
      <w:r/>
    </w:p>
    <w:p>
      <w:pPr>
        <w:pStyle w:val="Tlotextu"/>
        <w:numPr>
          <w:ilvl w:val="0"/>
          <w:numId w:val="3"/>
        </w:numPr>
        <w:spacing w:lineRule="auto" w:line="240"/>
        <w:ind w:left="0" w:right="850" w:hanging="360"/>
        <w:jc w:val="both"/>
        <w:rPr>
          <w:sz w:val="22"/>
          <w:i w:val="false"/>
          <w:sz w:val="22"/>
          <w:i w:val="false"/>
          <w:iCs w:val="false"/>
        </w:rPr>
      </w:pPr>
      <w:r>
        <w:rPr>
          <w:i w:val="false"/>
          <w:iCs w:val="false"/>
          <w:sz w:val="22"/>
        </w:rPr>
        <w:t>pokud Nájemce porušuje kterýkoli ze svých závazků vyjma povinnosti k úhradě Nájemného nebo jeho části, Poplatku za služby, a/nebo kterékoli jiné částky, kterou je povinen uhradit dle této Nájemní smlouvy, vyplývající z této Nájemní smlouvy, a toto porušení neodstraní do 30 dnů po doručení příslušného písemného upozornění Pronajímatele;</w:t>
      </w:r>
      <w:r/>
    </w:p>
    <w:p>
      <w:pPr>
        <w:pStyle w:val="Tlotextu"/>
        <w:numPr>
          <w:ilvl w:val="0"/>
          <w:numId w:val="3"/>
        </w:numPr>
        <w:spacing w:lineRule="auto" w:line="240"/>
        <w:ind w:left="0" w:right="850" w:hanging="360"/>
        <w:jc w:val="both"/>
        <w:rPr>
          <w:sz w:val="22"/>
          <w:i w:val="false"/>
          <w:sz w:val="22"/>
          <w:i w:val="false"/>
          <w:iCs w:val="false"/>
        </w:rPr>
      </w:pPr>
      <w:r>
        <w:rPr>
          <w:i w:val="false"/>
          <w:iCs w:val="false"/>
          <w:sz w:val="22"/>
        </w:rP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r/>
    </w:p>
    <w:p>
      <w:pPr>
        <w:pStyle w:val="Tlotextu"/>
        <w:numPr>
          <w:ilvl w:val="0"/>
          <w:numId w:val="3"/>
        </w:numPr>
        <w:spacing w:lineRule="auto" w:line="240"/>
        <w:ind w:left="0" w:right="850" w:hanging="360"/>
        <w:jc w:val="both"/>
        <w:rPr>
          <w:sz w:val="22"/>
          <w:i w:val="false"/>
          <w:sz w:val="22"/>
          <w:i w:val="false"/>
          <w:iCs w:val="false"/>
        </w:rPr>
      </w:pPr>
      <w:r>
        <w:rPr>
          <w:i w:val="false"/>
          <w:iCs w:val="false"/>
          <w:sz w:val="22"/>
        </w:rPr>
        <w:t>v případě uvedeném v článku 4.2 výše.</w:t>
      </w:r>
      <w:r/>
    </w:p>
    <w:p>
      <w:pPr>
        <w:pStyle w:val="Tlotextu"/>
        <w:numPr>
          <w:ilvl w:val="1"/>
          <w:numId w:val="4"/>
        </w:numPr>
        <w:spacing w:lineRule="auto" w:line="240"/>
        <w:ind w:left="0" w:right="850" w:hanging="360"/>
        <w:jc w:val="both"/>
        <w:rPr>
          <w:sz w:val="22"/>
          <w:i w:val="false"/>
          <w:sz w:val="22"/>
          <w:i w:val="false"/>
          <w:iCs w:val="false"/>
        </w:rPr>
      </w:pPr>
      <w:bookmarkStart w:id="1" w:name="_Ref81142197"/>
      <w:r>
        <w:rPr>
          <w:i w:val="false"/>
          <w:iCs w:val="false"/>
          <w:sz w:val="22"/>
        </w:rPr>
        <w:t xml:space="preserve">V případě, že nastane jakékoli porušení této Nájemní smlouvy uvedené v článku 7.1 výše,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této Nájemní smlouvy, je Pronajímatel oprávněn </w:t>
      </w:r>
      <w:bookmarkEnd w:id="1"/>
      <w:r>
        <w:rPr>
          <w:i w:val="false"/>
          <w:iCs w:val="false"/>
          <w:sz w:val="22"/>
        </w:rPr>
        <w:t xml:space="preserve">vypovědět tuto Nájemní smlouvu s tím, že výpovědní lhůta činí v takovém případě 30 dní, jež začne běžet den následující po dni, kdy byla doručena výpověď Nájemci. </w:t>
      </w:r>
      <w:r/>
    </w:p>
    <w:p>
      <w:pPr>
        <w:pStyle w:val="Tlotextu"/>
        <w:numPr>
          <w:ilvl w:val="1"/>
          <w:numId w:val="4"/>
        </w:numPr>
        <w:spacing w:lineRule="auto" w:line="240"/>
        <w:ind w:left="0" w:right="850" w:hanging="360"/>
        <w:jc w:val="both"/>
        <w:rPr>
          <w:sz w:val="22"/>
          <w:i w:val="false"/>
          <w:sz w:val="22"/>
          <w:i w:val="false"/>
          <w:iCs w:val="false"/>
        </w:rPr>
      </w:pPr>
      <w:r>
        <w:rPr>
          <w:i w:val="false"/>
          <w:iCs w:val="false"/>
          <w:sz w:val="22"/>
        </w:rPr>
        <w:t>Pro účely tohoto článku se za podstatné porušení Nájemní smlouvy považuje:</w:t>
      </w:r>
      <w:r/>
    </w:p>
    <w:p>
      <w:pPr>
        <w:pStyle w:val="Tlotextu"/>
        <w:numPr>
          <w:ilvl w:val="0"/>
          <w:numId w:val="5"/>
        </w:numPr>
        <w:spacing w:lineRule="auto" w:line="240"/>
        <w:ind w:left="0" w:right="850" w:hanging="360"/>
        <w:jc w:val="both"/>
        <w:rPr>
          <w:sz w:val="22"/>
          <w:i w:val="false"/>
          <w:sz w:val="22"/>
          <w:i w:val="false"/>
          <w:iCs w:val="false"/>
        </w:rPr>
      </w:pPr>
      <w:r>
        <w:rPr>
          <w:i w:val="false"/>
          <w:iCs w:val="false"/>
          <w:sz w:val="22"/>
        </w:rPr>
        <w:t>jestliže Nájemce bude v prodlení se zaplacením jakékoli částky podle této Nájemní smlouvy po dobu delší dvou měsíců;</w:t>
      </w:r>
      <w:r/>
    </w:p>
    <w:p>
      <w:pPr>
        <w:pStyle w:val="Tlotextu"/>
        <w:numPr>
          <w:ilvl w:val="0"/>
          <w:numId w:val="5"/>
        </w:numPr>
        <w:spacing w:lineRule="auto" w:line="240"/>
        <w:ind w:left="0" w:right="850" w:hanging="360"/>
        <w:jc w:val="both"/>
        <w:rPr>
          <w:sz w:val="22"/>
          <w:i w:val="false"/>
          <w:sz w:val="22"/>
          <w:i w:val="false"/>
          <w:iCs w:val="false"/>
        </w:rPr>
      </w:pPr>
      <w:r>
        <w:rPr>
          <w:i w:val="false"/>
          <w:iCs w:val="false"/>
          <w:sz w:val="22"/>
        </w:rPr>
        <w:t>jestliže Nájemce nebo jeho zástupci při výkonu činnosti, ke které byli Nájemcem pověřeni, způsobí značnou škodu v Prostorách nebo Budově nebo jestliže bezprostředně hrozí nebezpečí takové škody; a/nebo</w:t>
      </w:r>
      <w:r/>
    </w:p>
    <w:p>
      <w:pPr>
        <w:pStyle w:val="Tlotextu"/>
        <w:numPr>
          <w:ilvl w:val="0"/>
          <w:numId w:val="5"/>
        </w:numPr>
        <w:spacing w:lineRule="auto" w:line="240"/>
        <w:ind w:left="0" w:right="850" w:hanging="360"/>
        <w:jc w:val="both"/>
        <w:rPr>
          <w:sz w:val="22"/>
          <w:i w:val="false"/>
          <w:sz w:val="22"/>
          <w:i w:val="false"/>
          <w:iCs w:val="false"/>
        </w:rPr>
      </w:pPr>
      <w:r>
        <w:rPr>
          <w:i w:val="false"/>
          <w:iCs w:val="false"/>
          <w:sz w:val="22"/>
        </w:rPr>
        <w:t>jestliže Nájemce nebo jeho zástupci při výkonu činnosti, ke které byli Nájemcem pověřeni, užívají Prostory nebo jakoukoli část Budovy k nezákonné činnosti uvedené v českém trestním zákoně nebo jiných předpisech platných v České republice.</w:t>
      </w:r>
      <w:r/>
    </w:p>
    <w:p>
      <w:pPr>
        <w:pStyle w:val="Tlotextu"/>
        <w:spacing w:lineRule="auto" w:line="240"/>
        <w:ind w:left="0" w:right="850" w:hanging="0"/>
        <w:jc w:val="both"/>
        <w:rPr>
          <w:sz w:val="22"/>
          <w:i w:val="false"/>
          <w:sz w:val="22"/>
          <w:i w:val="false"/>
          <w:iCs w:val="false"/>
        </w:rPr>
      </w:pPr>
      <w:bookmarkStart w:id="2" w:name="_Ref81142160"/>
      <w:bookmarkEnd w:id="2"/>
      <w:r>
        <w:rPr>
          <w:i w:val="false"/>
          <w:iCs w:val="false"/>
          <w:sz w:val="22"/>
        </w:rPr>
        <w:t>7.4</w:t>
        <w:tab/>
        <w:t xml:space="preserve">Nájemce je oprávněn vypovědět tuto Nájemní smlouvu pouze v případech uvedených v ustanovení § 2308 písm. b) a c) zákona č. 89/2012 Sb. Výpovědní lhůta v takovém případě činí dvacet dní a začne běžet od prvého dne měsíce následujícího po doručení výpovědi Pronajímateli. </w:t>
      </w:r>
      <w:r/>
    </w:p>
    <w:p>
      <w:pPr>
        <w:pStyle w:val="Odsazentlatextu"/>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sz w:val="22"/>
          <w:i w:val="false"/>
          <w:b/>
          <w:sz w:val="22"/>
          <w:i w:val="false"/>
          <w:b/>
          <w:szCs w:val="22"/>
          <w:iCs w:val="false"/>
          <w:bCs/>
        </w:rPr>
      </w:pPr>
      <w:r>
        <w:rPr>
          <w:b/>
          <w:bCs/>
          <w:i w:val="false"/>
          <w:iCs w:val="false"/>
          <w:sz w:val="22"/>
          <w:szCs w:val="22"/>
        </w:rPr>
        <w:t>8.</w:t>
        <w:tab/>
        <w:t>VRÁCENÍ PŘEDMĚTU NÁJMU</w:t>
      </w:r>
      <w:r/>
    </w:p>
    <w:p>
      <w:pPr>
        <w:pStyle w:val="Odsazentlatextu"/>
        <w:ind w:left="0" w:right="850" w:hanging="0"/>
        <w:rPr>
          <w:sz w:val="22"/>
          <w:i w:val="false"/>
          <w:b/>
          <w:sz w:val="22"/>
          <w:i w:val="false"/>
          <w:b/>
          <w:szCs w:val="22"/>
          <w:iCs w:val="false"/>
          <w:bCs/>
          <w:rFonts w:ascii="Times New Roman" w:hAnsi="Times New Roman" w:eastAsia="Times New Roman" w:cs="Times New Roman"/>
          <w:color w:val="00000A"/>
          <w:lang w:val="cs-CZ" w:eastAsia="cs-CZ" w:bidi="ar-SA"/>
        </w:rPr>
      </w:pPr>
      <w:r>
        <w:rPr>
          <w:b/>
          <w:bCs/>
          <w:i w:val="false"/>
          <w:iCs w:val="false"/>
          <w:sz w:val="22"/>
          <w:szCs w:val="22"/>
        </w:rPr>
      </w:r>
      <w:r/>
    </w:p>
    <w:p>
      <w:pPr>
        <w:pStyle w:val="Normal"/>
        <w:ind w:left="0" w:right="850" w:hanging="0"/>
        <w:jc w:val="both"/>
        <w:rPr>
          <w:sz w:val="22"/>
          <w:i w:val="false"/>
          <w:sz w:val="22"/>
          <w:i w:val="false"/>
          <w:szCs w:val="22"/>
          <w:iCs w:val="false"/>
        </w:rPr>
      </w:pPr>
      <w:r>
        <w:rPr>
          <w:i w:val="false"/>
          <w:iCs w:val="false"/>
          <w:sz w:val="22"/>
          <w:szCs w:val="22"/>
        </w:rPr>
        <w:t>8.1</w:t>
        <w:tab/>
        <w:t>Nájemce je povinen nejpozději dnem ukončení nájemního vztahu na své náklady Prostory vyklidit, odstranit veškerá zařízení, příslušenství a Označení, která v Prostorách, Budově nebo na reklamním stojanu Pronajímatele umístěném před Budovou nainstaloval, a předat Pronajímateli Prostory ve stavu, v jakém jej od něho převzal s přihlédnutím k obvyklému opotřebení.</w:t>
      </w:r>
      <w:r/>
    </w:p>
    <w:p>
      <w:pPr>
        <w:pStyle w:val="Normal"/>
        <w:tabs>
          <w:tab w:val="left" w:pos="-1440" w:leader="none"/>
        </w:tabs>
        <w:ind w:left="0" w:right="850" w:hanging="0"/>
        <w:jc w:val="both"/>
        <w:rPr>
          <w:sz w:val="22"/>
          <w:i w:val="false"/>
          <w:sz w:val="22"/>
          <w:i w:val="false"/>
          <w:szCs w:val="22"/>
          <w:iCs w:val="false"/>
        </w:rPr>
      </w:pPr>
      <w:r>
        <w:rPr>
          <w:i w:val="false"/>
          <w:iCs w:val="false"/>
          <w:sz w:val="22"/>
          <w:szCs w:val="22"/>
        </w:rPr>
        <w:t xml:space="preserve"> </w:t>
      </w:r>
      <w:r/>
    </w:p>
    <w:p>
      <w:pPr>
        <w:pStyle w:val="Normal"/>
        <w:tabs>
          <w:tab w:val="left" w:pos="-1440" w:leader="none"/>
        </w:tabs>
        <w:ind w:left="0" w:right="850" w:hanging="0"/>
        <w:jc w:val="both"/>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sz w:val="22"/>
          <w:i w:val="false"/>
          <w:b/>
          <w:sz w:val="22"/>
          <w:i w:val="false"/>
          <w:b/>
          <w:szCs w:val="22"/>
          <w:iCs w:val="false"/>
        </w:rPr>
      </w:pPr>
      <w:r>
        <w:rPr>
          <w:b/>
          <w:bCs/>
          <w:i w:val="false"/>
          <w:iCs w:val="false"/>
          <w:sz w:val="22"/>
          <w:szCs w:val="22"/>
        </w:rPr>
        <w:t>9.</w:t>
      </w:r>
      <w:r>
        <w:rPr>
          <w:b/>
          <w:i w:val="false"/>
          <w:iCs w:val="false"/>
          <w:sz w:val="22"/>
          <w:szCs w:val="22"/>
        </w:rPr>
        <w:tab/>
        <w:t>PODMÍNKY UŽÍVÁNÍ PŘEDMĚTU NÁJMU</w:t>
      </w:r>
      <w:r/>
    </w:p>
    <w:p>
      <w:pPr>
        <w:pStyle w:val="Odsazentlatextu"/>
        <w:ind w:left="0" w:right="850" w:hanging="0"/>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Tlotextu"/>
        <w:spacing w:lineRule="auto" w:line="240"/>
        <w:ind w:left="0" w:right="850" w:hanging="0"/>
        <w:jc w:val="both"/>
        <w:rPr>
          <w:sz w:val="22"/>
          <w:i w:val="false"/>
          <w:sz w:val="22"/>
          <w:i w:val="false"/>
          <w:iCs w:val="false"/>
        </w:rPr>
      </w:pPr>
      <w:r>
        <w:rPr>
          <w:i w:val="false"/>
          <w:iCs w:val="false"/>
          <w:sz w:val="22"/>
        </w:rPr>
        <w:t>9.1</w:t>
        <w:tab/>
        <w:t xml:space="preserve"> Nájemce se zavazuje, že po dobu platnosti této Nájemní smlouvy:</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 xml:space="preserve">uzavře a po celou Dobu nájmu bude udržovat pojištění své provozní činnosti v podobě pojištění odpovědnosti podnikatele a právnických osob </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horší než stav Prostor bezprostředně před takovým poškozením nebo zničením</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 xml:space="preserve">bude zacházet s Prostory s řádnou péčí </w:t>
      </w:r>
      <w:r/>
    </w:p>
    <w:p>
      <w:pPr>
        <w:pStyle w:val="Tlotextu"/>
        <w:numPr>
          <w:ilvl w:val="0"/>
          <w:numId w:val="6"/>
        </w:numPr>
        <w:spacing w:lineRule="auto" w:line="240"/>
        <w:ind w:left="0" w:right="850" w:hanging="360"/>
        <w:jc w:val="both"/>
      </w:pPr>
      <w:r>
        <w:rPr>
          <w:i w:val="false"/>
          <w:iCs w:val="false"/>
          <w:sz w:val="22"/>
        </w:rPr>
        <w:t xml:space="preserve">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výši </w:t>
      </w:r>
      <w:r>
        <w:rPr>
          <w:i w:val="false"/>
          <w:iCs w:val="false"/>
          <w:sz w:val="22"/>
        </w:rPr>
        <w:t>2.500</w:t>
      </w:r>
      <w:r>
        <w:rPr>
          <w:i w:val="false"/>
          <w:iCs w:val="false"/>
          <w:sz w:val="22"/>
        </w:rPr>
        <w:t>,- Kč za každé porušení takové povinnosti. Zaplacením této smluvní pokuty nezaniká povinnost Nájemce splnit povinnost a nahradit škodu</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bude užívat Prostory v souladu s Povoleným užíváním a toto Povolené užívání bude provozovat v souladu s dobrými mravy a způsobem nepoškozujícím dobré jméno Pronajímatele;</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Nájemce poruší jakoukoliv ze svých povinností dle odstavce tohoto článku, bude povinen uhradit bezodkladně na požádání Pronajímateli smluvní pokutu ve výši 200,- Kč za každý i započatý den prodlení se splnění této povinnosti;</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umožní Pronajímateli a jiným osobám zmocněným Pronajímatelem během Doby nájmu vstup do Prostor, a to</w:t>
      </w:r>
      <w:r/>
    </w:p>
    <w:p>
      <w:pPr>
        <w:pStyle w:val="Tlotextu"/>
        <w:numPr>
          <w:ilvl w:val="0"/>
          <w:numId w:val="7"/>
        </w:numPr>
        <w:spacing w:lineRule="auto" w:line="240"/>
        <w:ind w:left="1418" w:right="850" w:hanging="360"/>
        <w:jc w:val="both"/>
        <w:rPr>
          <w:sz w:val="22"/>
          <w:i w:val="false"/>
          <w:sz w:val="22"/>
          <w:i w:val="false"/>
          <w:iCs w:val="false"/>
        </w:rPr>
      </w:pPr>
      <w:r>
        <w:rPr>
          <w:i w:val="false"/>
          <w:iCs w:val="false"/>
          <w:sz w:val="22"/>
        </w:rPr>
        <w:t xml:space="preserve">za účelem jejich prohlídky a kontroly jakým způsobem jsou Prostory užívány a v jakém jsou stavu (v tomto případě na žádost Pronajímatele doručenou Nájemci alespoň tři dny předem) a dále </w:t>
      </w:r>
      <w:r/>
    </w:p>
    <w:p>
      <w:pPr>
        <w:pStyle w:val="Tlotextu"/>
        <w:numPr>
          <w:ilvl w:val="0"/>
          <w:numId w:val="7"/>
        </w:numPr>
        <w:spacing w:lineRule="auto" w:line="240"/>
        <w:ind w:left="1418" w:right="850" w:hanging="360"/>
        <w:jc w:val="both"/>
        <w:rPr>
          <w:sz w:val="22"/>
          <w:i w:val="false"/>
          <w:sz w:val="22"/>
          <w:i w:val="false"/>
          <w:iCs w:val="false"/>
        </w:rPr>
      </w:pPr>
      <w:r>
        <w:rPr>
          <w:i w:val="false"/>
          <w:iCs w:val="false"/>
          <w:sz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předá Pronajímateli dvě kontaktní osoby a telefonního čísla, kterým bude moci Pronajímatel v případě potřeby kdykoliv zavolat v případě  potřeby zásahu proti požáru či vodovodní či jiné živelné události a odstranění či zmírnění jejich důsledků, o čemž pořídí zápis, který v kopii předá Nájemci;</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 xml:space="preserve">s výjimkou daní povinně hrazených Pronajímatelem uhradí všechny daně, jež bude nutné hradit v souvislosti s užíváním a provozováním Prostor Nájemcem, včetně jakýchkoli budoucích daní, jež budou zavedeny kdykoli během Doby nájmu; </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bude informovat Pronajímatele o jakémkoli insolvenčním řízení proti Nájemci, a to nejpozději do patnácti dnů od jeho zahájení</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bude informovat Pronajímatel bez zbytečného odkladu o potřebě oprav nad rámec běžné údržby a umožní mu provedení těchto oprav</w:t>
      </w:r>
      <w:r/>
    </w:p>
    <w:p>
      <w:pPr>
        <w:pStyle w:val="Tlotextu"/>
        <w:numPr>
          <w:ilvl w:val="0"/>
          <w:numId w:val="6"/>
        </w:numPr>
        <w:spacing w:lineRule="auto" w:line="240"/>
        <w:ind w:left="0" w:right="850" w:hanging="360"/>
        <w:jc w:val="both"/>
        <w:rPr>
          <w:sz w:val="22"/>
          <w:i w:val="false"/>
          <w:sz w:val="22"/>
          <w:i w:val="false"/>
          <w:iCs w:val="false"/>
        </w:rPr>
      </w:pPr>
      <w:r>
        <w:rPr>
          <w:i w:val="false"/>
          <w:iCs w:val="false"/>
          <w:sz w:val="22"/>
        </w:rPr>
        <w:t>uhradí Pronajímateli veškeré náklady, výdaje, nároky, řízení nebo požadavky, jež by byl Pronajímatel po právu povinen uhradit pracovníkům, zaměstnancům, zástupcům nebo návštěvníkům vzniklé  jakýmkoli úrazem, nehodou, ztrátou nebo škodou jakéhokoli druhu na zdraví nebo majetku zaviněné činností Nájemce;</w:t>
      </w:r>
      <w:r/>
    </w:p>
    <w:p>
      <w:pPr>
        <w:pStyle w:val="Tlotextu"/>
        <w:spacing w:lineRule="auto" w:line="240"/>
        <w:ind w:left="0" w:right="850" w:hanging="0"/>
        <w:jc w:val="both"/>
        <w:rPr>
          <w:sz w:val="22"/>
          <w:i w:val="false"/>
          <w:sz w:val="22"/>
          <w:i w:val="false"/>
          <w:iCs w:val="false"/>
        </w:rPr>
      </w:pPr>
      <w:r>
        <w:rPr>
          <w:i w:val="false"/>
          <w:iCs w:val="false"/>
          <w:sz w:val="22"/>
        </w:rPr>
        <w:t>9.2</w:t>
        <w:tab/>
        <w:t>Bude-li tato Nájemní smlouva z jakéhokoli důvodu ukončena, bude Nájemce povinen nejpozději do dne ukončení nájmu a na vlastní náklady uvést Prostory do stavu, v němž byly v den převzetí a rozsahu Zhodnocení nájemce, které v Prostorách zůstane ve smyslu článku 9.3 smlouvy níže (dále jen „Náležitý stav“), a poté Prostory vyklidit. Pronajímatel se zavazuje umožnit nájemci přístup do Prostor, aby Nájemce mohl v souladu se závazkem Nájemce uvedeném v předchozí větě uvést Prostory do Náležitého stavu. Pokud Nájemce poruší svou povinnost uvést Prostory do Náležitého stavu a vyklidit Prostory dle tohoto článku smlouvy, je Nájemce povinen zaplatit Pronajímateli za každý den prodlení se splněním těchto povinností smluvní pokutu ve výši 200 Kč za každý den prodlení se splněním této povinnosti. Nájemce výslovně souhlasí, že pokud nesplní svou povinnost vyklidit Prostory dle tohoto článku, je Pronajímatel dále oprávněn vstoupit do Prostor, odstranit z nich veškeré technické Zhodnocení nájemce a jiné úpravy či majetek Nájemce a Prostory znovu pronajmout třetí osobě. Podpisem této Nájemní smlouvy Nájemce k takovému postupu Pronajímatele výslovně zmocňuje. Nájemce je dále povinen uhradit Pronajímateli veškeré náklady, které mu vznikly v souvislosti s úpravami Prostor dle předchozí věty, a to nejpozději do 15-ti dnů poté, co mu byla doručena příslušná výzva Pronajímatele k jejich uhrazení;</w:t>
      </w:r>
      <w:r/>
    </w:p>
    <w:p>
      <w:pPr>
        <w:pStyle w:val="Tlotextu"/>
        <w:numPr>
          <w:ilvl w:val="1"/>
          <w:numId w:val="8"/>
        </w:numPr>
        <w:spacing w:lineRule="auto" w:line="240"/>
        <w:ind w:left="0" w:right="850" w:hanging="360"/>
        <w:jc w:val="both"/>
        <w:rPr>
          <w:sz w:val="22"/>
          <w:i w:val="false"/>
          <w:sz w:val="22"/>
          <w:i w:val="false"/>
          <w:iCs w:val="false"/>
        </w:rPr>
      </w:pPr>
      <w:r>
        <w:rPr>
          <w:i w:val="false"/>
          <w:iCs w:val="false"/>
          <w:sz w:val="22"/>
        </w:rPr>
        <w:t>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 s výjimkou následujícího ujednání: Skončí-li nájem před uplynutím sjednané doby nájmu z důvodů uvedených v ustanovení § 2308 písm. b) až c) zákona č. 89/2012 Sb., je Pronajímatel povinen se s Nájemcem při skončení nájmu vyrovnat podle ustanovení § 2220 odst. 1 věty druhé zákona č. 89/2012.</w:t>
      </w:r>
      <w:r/>
    </w:p>
    <w:p>
      <w:pPr>
        <w:pStyle w:val="Tlotextu"/>
        <w:spacing w:lineRule="auto" w:line="240"/>
        <w:ind w:left="0" w:right="850" w:hanging="0"/>
        <w:jc w:val="both"/>
        <w:rPr>
          <w:sz w:val="22"/>
          <w:i w:val="false"/>
          <w:sz w:val="22"/>
          <w:i w:val="false"/>
          <w:iCs w:val="false"/>
        </w:rPr>
      </w:pPr>
      <w:r>
        <w:rPr>
          <w:i w:val="false"/>
          <w:iCs w:val="false"/>
          <w:sz w:val="22"/>
        </w:rPr>
        <w:t>9.4</w:t>
        <w:tab/>
        <w:t xml:space="preserve">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 celou dobu nájmu dle této Smlouvy sjednává jako bezplatné. </w:t>
      </w:r>
      <w:r/>
    </w:p>
    <w:p>
      <w:pPr>
        <w:pStyle w:val="Tlotextu"/>
        <w:spacing w:lineRule="auto" w:line="240"/>
        <w:ind w:left="0" w:right="850" w:hanging="0"/>
        <w:jc w:val="both"/>
        <w:rPr>
          <w:sz w:val="22"/>
          <w:i w:val="false"/>
          <w:sz w:val="22"/>
          <w:i w:val="false"/>
          <w:iCs w:val="false"/>
        </w:rPr>
      </w:pPr>
      <w:r>
        <w:rPr>
          <w:i w:val="false"/>
          <w:iCs w:val="false"/>
          <w:sz w:val="22"/>
        </w:rPr>
        <w:t>9.5</w:t>
        <w:tab/>
        <w:t xml:space="preserve">Nájemce není oprávněn přenechat Předmět nájmu nebo jeho část do podnájmu či jiného bezplatného užívání. </w:t>
      </w:r>
      <w:r/>
    </w:p>
    <w:p>
      <w:pPr>
        <w:pStyle w:val="Tlotextu"/>
        <w:spacing w:lineRule="auto" w:line="240"/>
        <w:ind w:left="0" w:right="850" w:hanging="0"/>
        <w:jc w:val="both"/>
        <w:rPr>
          <w:sz w:val="22"/>
          <w:i w:val="false"/>
          <w:sz w:val="22"/>
          <w:i w:val="false"/>
          <w:iCs w:val="false"/>
        </w:rPr>
      </w:pPr>
      <w:r>
        <w:rPr>
          <w:i w:val="false"/>
          <w:iCs w:val="false"/>
          <w:sz w:val="22"/>
        </w:rPr>
        <w:t>9.6</w:t>
        <w:tab/>
        <w:t>Další závazky Pronajímatele</w:t>
      </w:r>
      <w:r/>
    </w:p>
    <w:p>
      <w:pPr>
        <w:pStyle w:val="Tlotextu"/>
        <w:spacing w:lineRule="auto" w:line="240"/>
        <w:ind w:left="0" w:right="850" w:hanging="0"/>
        <w:jc w:val="both"/>
        <w:rPr>
          <w:sz w:val="22"/>
          <w:i w:val="false"/>
          <w:sz w:val="22"/>
          <w:i w:val="false"/>
          <w:iCs w:val="false"/>
        </w:rPr>
      </w:pPr>
      <w:r>
        <w:rPr>
          <w:i w:val="false"/>
          <w:iCs w:val="false"/>
          <w:sz w:val="22"/>
        </w:rPr>
        <w:t>Kromě ostatních závazků Pronajímatele uvedených v této Nájemní smlouvě, se Pronajímatel tímto zavazuje, že:</w:t>
      </w:r>
      <w:r/>
    </w:p>
    <w:p>
      <w:pPr>
        <w:pStyle w:val="Tlotextu"/>
        <w:numPr>
          <w:ilvl w:val="0"/>
          <w:numId w:val="9"/>
        </w:numPr>
        <w:spacing w:lineRule="auto" w:line="240"/>
        <w:ind w:left="0" w:right="850" w:hanging="360"/>
        <w:jc w:val="both"/>
        <w:rPr>
          <w:sz w:val="22"/>
          <w:i w:val="false"/>
          <w:sz w:val="22"/>
          <w:i w:val="false"/>
          <w:iCs w:val="false"/>
        </w:rPr>
      </w:pPr>
      <w:r>
        <w:rPr>
          <w:i w:val="false"/>
          <w:iCs w:val="false"/>
          <w:sz w:val="22"/>
        </w:rPr>
        <w:t xml:space="preserve">zajistí klidné a nerušené užívání Prostor Nájemcem; </w:t>
      </w:r>
      <w:r/>
    </w:p>
    <w:p>
      <w:pPr>
        <w:pStyle w:val="Tlotextu"/>
        <w:numPr>
          <w:ilvl w:val="0"/>
          <w:numId w:val="9"/>
        </w:numPr>
        <w:spacing w:lineRule="auto" w:line="240"/>
        <w:ind w:left="0" w:right="850" w:hanging="360"/>
        <w:jc w:val="both"/>
        <w:rPr>
          <w:sz w:val="22"/>
          <w:i w:val="false"/>
          <w:sz w:val="22"/>
          <w:i w:val="false"/>
          <w:iCs w:val="false"/>
        </w:rPr>
      </w:pPr>
      <w:r>
        <w:rPr>
          <w:i w:val="false"/>
          <w:iCs w:val="false"/>
          <w:sz w:val="22"/>
        </w:rPr>
        <w:t xml:space="preserve">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 </w:t>
      </w:r>
      <w:r/>
    </w:p>
    <w:p>
      <w:pPr>
        <w:pStyle w:val="Tlotextu"/>
        <w:numPr>
          <w:ilvl w:val="0"/>
          <w:numId w:val="9"/>
        </w:numPr>
        <w:spacing w:lineRule="auto" w:line="240"/>
        <w:ind w:left="0" w:right="850" w:hanging="360"/>
        <w:jc w:val="both"/>
        <w:rPr>
          <w:sz w:val="22"/>
          <w:i w:val="false"/>
          <w:sz w:val="22"/>
          <w:i w:val="false"/>
          <w:iCs w:val="false"/>
        </w:rPr>
      </w:pPr>
      <w:r>
        <w:rPr>
          <w:i w:val="false"/>
          <w:iCs w:val="false"/>
          <w:sz w:val="22"/>
        </w:rPr>
        <w:t>informovat Nájemce o případných stavebních úpravách Budovy, omezení provozu apod.;</w:t>
      </w:r>
      <w:r/>
    </w:p>
    <w:p>
      <w:pPr>
        <w:pStyle w:val="Tlotextu"/>
        <w:numPr>
          <w:ilvl w:val="0"/>
          <w:numId w:val="9"/>
        </w:numPr>
        <w:spacing w:lineRule="auto" w:line="240"/>
        <w:ind w:left="0" w:right="850" w:hanging="360"/>
        <w:jc w:val="both"/>
        <w:rPr>
          <w:sz w:val="22"/>
          <w:i w:val="false"/>
          <w:sz w:val="22"/>
          <w:i w:val="false"/>
          <w:iCs w:val="false"/>
        </w:rPr>
      </w:pPr>
      <w:r>
        <w:rPr>
          <w:i w:val="false"/>
          <w:iCs w:val="false"/>
          <w:sz w:val="22"/>
        </w:rPr>
        <w:t>doručovat Nájemci veškeré faktury – daňové doklady dle termínů stanovených v této Nájemní smlouvě;</w:t>
      </w:r>
      <w:r/>
    </w:p>
    <w:p>
      <w:pPr>
        <w:pStyle w:val="Tlotextu"/>
        <w:numPr>
          <w:ilvl w:val="0"/>
          <w:numId w:val="9"/>
        </w:numPr>
        <w:spacing w:lineRule="auto" w:line="240"/>
        <w:ind w:left="0" w:right="850" w:hanging="360"/>
        <w:jc w:val="both"/>
        <w:rPr>
          <w:sz w:val="22"/>
          <w:i w:val="false"/>
          <w:sz w:val="22"/>
          <w:i w:val="false"/>
          <w:iCs w:val="false"/>
        </w:rPr>
      </w:pPr>
      <w:r>
        <w:rPr>
          <w:i w:val="false"/>
          <w:iCs w:val="false"/>
          <w:sz w:val="22"/>
        </w:rPr>
        <w:t>Pronajímatel neodpovídá za škody na majetku (vybavení, nábytek, zboží apod.) Nájemce či jiných osob vneseném do Prostor a nezajišťuje žádnou ochranu před vznikem škod na takovém majetku během otevírací doby.</w:t>
      </w:r>
      <w:r/>
    </w:p>
    <w:p>
      <w:pPr>
        <w:pStyle w:val="Tlotextu"/>
        <w:spacing w:lineRule="auto" w:line="240"/>
        <w:ind w:left="0" w:right="850" w:hanging="0"/>
        <w:jc w:val="both"/>
        <w:rPr>
          <w:sz w:val="22"/>
          <w:i w:val="false"/>
          <w:sz w:val="22"/>
          <w:i w:val="false"/>
          <w:iCs w:val="false"/>
        </w:rPr>
      </w:pPr>
      <w:r>
        <w:rPr>
          <w:i w:val="false"/>
          <w:iCs w:val="false"/>
          <w:sz w:val="22"/>
        </w:rPr>
        <w:t>9.7</w:t>
        <w:tab/>
        <w:t>Úpravy Prostor</w:t>
      </w:r>
      <w:r/>
    </w:p>
    <w:p>
      <w:pPr>
        <w:pStyle w:val="Tlotextu"/>
        <w:spacing w:lineRule="auto" w:line="240"/>
        <w:ind w:left="0" w:right="850" w:hanging="0"/>
        <w:jc w:val="both"/>
        <w:rPr>
          <w:sz w:val="22"/>
          <w:i w:val="false"/>
          <w:sz w:val="22"/>
          <w:i w:val="false"/>
          <w:iCs w:val="false"/>
        </w:rPr>
      </w:pPr>
      <w:r>
        <w:rPr>
          <w:i w:val="false"/>
          <w:iCs w:val="false"/>
          <w:sz w:val="22"/>
        </w:rPr>
        <w:t>Nájemce není oprávněn bez předchozího písemného souhlasu Pronajímatele, který se zavazuje bezdůvodně svůj souhlas neodpírat, provádět jakékoli změny či úpravy Prostor, včetně montáže jakýchkoli zařízení, jež by vyžadovaly:</w:t>
      </w:r>
      <w:r/>
    </w:p>
    <w:p>
      <w:pPr>
        <w:pStyle w:val="Tlotextu"/>
        <w:numPr>
          <w:ilvl w:val="0"/>
          <w:numId w:val="10"/>
        </w:numPr>
        <w:spacing w:lineRule="auto" w:line="240"/>
        <w:ind w:left="0" w:right="850" w:hanging="360"/>
        <w:jc w:val="both"/>
        <w:rPr>
          <w:sz w:val="22"/>
          <w:i w:val="false"/>
          <w:sz w:val="22"/>
          <w:i w:val="false"/>
          <w:iCs w:val="false"/>
        </w:rPr>
      </w:pPr>
      <w:r>
        <w:rPr>
          <w:i w:val="false"/>
          <w:iCs w:val="false"/>
          <w:sz w:val="22"/>
        </w:rPr>
        <w:t xml:space="preserve">vydání stavebního povolení nebo ohlášení stavebnímu úřadu; a/nebo </w:t>
      </w:r>
      <w:r/>
    </w:p>
    <w:p>
      <w:pPr>
        <w:pStyle w:val="Tlotextu"/>
        <w:numPr>
          <w:ilvl w:val="0"/>
          <w:numId w:val="10"/>
        </w:numPr>
        <w:spacing w:lineRule="auto" w:line="240"/>
        <w:ind w:left="0" w:right="850" w:hanging="360"/>
        <w:jc w:val="both"/>
        <w:rPr>
          <w:sz w:val="22"/>
          <w:i w:val="false"/>
          <w:sz w:val="22"/>
          <w:i w:val="false"/>
          <w:iCs w:val="false"/>
        </w:rPr>
      </w:pPr>
      <w:r>
        <w:rPr>
          <w:i w:val="false"/>
          <w:iCs w:val="false"/>
          <w:sz w:val="22"/>
        </w:rPr>
        <w:t>změny, úpravy nebo rozšíření jakýchkoli zařízení a staveb, které souvisejí s Prostory či Budovou, a to včetně inženýrských sítí, rozvodů energií, zařízení sloužících k poskytování služeb, elektrických, instalatérských či mechanických zařízení, případně které by mohly vyvolat přetížení či neobvyklé užívání takových zařízení a staveb (dále jen „Úpravy“).</w:t>
      </w:r>
      <w:r/>
    </w:p>
    <w:p>
      <w:pPr>
        <w:pStyle w:val="Tlotextu"/>
        <w:spacing w:lineRule="auto" w:line="240"/>
        <w:ind w:left="0" w:right="850" w:hanging="0"/>
        <w:jc w:val="both"/>
        <w:rPr>
          <w:sz w:val="22"/>
          <w:i w:val="false"/>
          <w:sz w:val="22"/>
          <w:i w:val="false"/>
          <w:iCs w:val="false"/>
        </w:rPr>
      </w:pPr>
      <w:r>
        <w:rPr>
          <w:i w:val="false"/>
          <w:iCs w:val="false"/>
          <w:sz w:val="22"/>
        </w:rPr>
        <w:t>9.8 Nájemce je povinen si zajistit veškerá povolení, oznámení, souhlasy a stanoviska, která budou vyžadována příslušnými právními předpisy v souvislosti s prováděním Úprav.</w:t>
      </w:r>
      <w:r/>
    </w:p>
    <w:p>
      <w:pPr>
        <w:pStyle w:val="Tlotextu"/>
        <w:spacing w:lineRule="auto" w:line="240"/>
        <w:ind w:left="0" w:right="850" w:hanging="0"/>
        <w:jc w:val="both"/>
        <w:rPr>
          <w:sz w:val="22"/>
          <w:i w:val="false"/>
          <w:sz w:val="22"/>
          <w:i w:val="false"/>
          <w:iCs w:val="false"/>
        </w:rPr>
      </w:pPr>
      <w:r>
        <w:rPr>
          <w:i w:val="false"/>
          <w:iCs w:val="false"/>
          <w:sz w:val="22"/>
        </w:rPr>
        <w:t>9.9</w:t>
        <w:tab/>
        <w:t xml:space="preserve">Před provedením jakýchkoli Úprav je Nájemce povinen předat Pronajímateli k jeho konečnému písemnému schválení podrobné plány a specifikace Úprav. </w:t>
      </w:r>
      <w:r/>
    </w:p>
    <w:p>
      <w:pPr>
        <w:pStyle w:val="Tlotextu"/>
        <w:spacing w:lineRule="auto" w:line="240"/>
        <w:ind w:left="0" w:right="850" w:hanging="0"/>
        <w:jc w:val="both"/>
        <w:rPr>
          <w:sz w:val="22"/>
          <w:i w:val="false"/>
          <w:sz w:val="22"/>
          <w:i w:val="false"/>
          <w:iCs w:val="false"/>
        </w:rPr>
      </w:pPr>
      <w:r>
        <w:rPr>
          <w:i w:val="false"/>
          <w:iCs w:val="false"/>
          <w:sz w:val="22"/>
        </w:rPr>
        <w:t>9.10</w:t>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r/>
    </w:p>
    <w:p>
      <w:pPr>
        <w:pStyle w:val="Tlotextu"/>
        <w:spacing w:lineRule="auto" w:line="240"/>
        <w:ind w:left="0" w:right="850" w:hanging="0"/>
        <w:jc w:val="both"/>
        <w:rPr>
          <w:sz w:val="22"/>
          <w:i w:val="false"/>
          <w:sz w:val="22"/>
          <w:i w:val="false"/>
          <w:iCs w:val="false"/>
        </w:rPr>
      </w:pPr>
      <w:r>
        <w:rPr>
          <w:i w:val="false"/>
          <w:iCs w:val="false"/>
          <w:sz w:val="22"/>
        </w:rPr>
        <w:t>9.11</w:t>
        <w:tab/>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r/>
    </w:p>
    <w:p>
      <w:pPr>
        <w:pStyle w:val="Tlotextu"/>
        <w:spacing w:lineRule="auto" w:line="240"/>
        <w:ind w:left="0" w:right="850" w:hanging="0"/>
        <w:jc w:val="both"/>
        <w:rPr>
          <w:sz w:val="22"/>
          <w:i w:val="false"/>
          <w:sz w:val="22"/>
          <w:i w:val="false"/>
          <w:iCs w:val="false"/>
        </w:rPr>
      </w:pPr>
      <w:r>
        <w:rPr>
          <w:i w:val="false"/>
          <w:iCs w:val="false"/>
          <w:sz w:val="22"/>
        </w:rPr>
        <w:t>9.12. Za účelem shodné evidence obou Stran se Nájemce zavazuje nejpozději vždy do 31. března sdělit Pronajímateli základní informace o Úpravách Prostor, majících povahu investice nebo technického zhodnocení, které provedl v uplynulém roce, zejména vyčíslení výše investice a informace o zatřídění do odpisových skupin.</w:t>
      </w:r>
      <w:r/>
    </w:p>
    <w:p>
      <w:pPr>
        <w:pStyle w:val="Tlotextu"/>
        <w:spacing w:lineRule="auto" w:line="240"/>
        <w:ind w:left="0" w:right="850" w:hanging="0"/>
        <w:jc w:val="both"/>
        <w:rPr>
          <w:sz w:val="24"/>
          <w:i w:val="false"/>
          <w:sz w:val="24"/>
          <w:i w:val="false"/>
          <w:szCs w:val="22"/>
          <w:iCs w:val="false"/>
          <w:rFonts w:ascii="Times New Roman" w:hAnsi="Times New Roman" w:eastAsia="Times New Roman" w:cs="Calibri"/>
          <w:color w:val="00000A"/>
          <w:lang w:val="cs-CZ" w:eastAsia="en-US" w:bidi="ar-SA"/>
        </w:rPr>
      </w:pPr>
      <w:r>
        <w:rPr>
          <w:i w:val="false"/>
          <w:iCs w:val="false"/>
        </w:rPr>
      </w:r>
      <w:r/>
    </w:p>
    <w:p>
      <w:pPr>
        <w:pStyle w:val="Odsazentlatextu"/>
        <w:ind w:left="0" w:right="850" w:hanging="0"/>
        <w:rPr>
          <w:sz w:val="22"/>
          <w:i w:val="false"/>
          <w:b/>
          <w:sz w:val="22"/>
          <w:i w:val="false"/>
          <w:b/>
          <w:szCs w:val="22"/>
          <w:iCs w:val="false"/>
          <w:bCs/>
        </w:rPr>
      </w:pPr>
      <w:r>
        <w:rPr>
          <w:b/>
          <w:bCs/>
          <w:i w:val="false"/>
          <w:iCs w:val="false"/>
          <w:sz w:val="22"/>
          <w:szCs w:val="22"/>
        </w:rPr>
        <w:t xml:space="preserve">10. </w:t>
        <w:tab/>
        <w:t>REVIZE, KONTROLY, POŽÁRNÍ OCHRANA</w:t>
      </w:r>
      <w:r/>
    </w:p>
    <w:p>
      <w:pPr>
        <w:pStyle w:val="Odsazentlatextu"/>
        <w:ind w:left="0" w:right="850" w:hanging="0"/>
        <w:rPr>
          <w:sz w:val="22"/>
          <w:i w:val="false"/>
          <w:sz w:val="22"/>
          <w:i w:val="false"/>
          <w:szCs w:val="22"/>
          <w:iCs w:val="false"/>
        </w:rPr>
      </w:pPr>
      <w:r>
        <w:rPr>
          <w:i w:val="false"/>
          <w:iCs w:val="false"/>
          <w:sz w:val="22"/>
          <w:szCs w:val="22"/>
        </w:rPr>
        <w:t>10.1</w:t>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r/>
    </w:p>
    <w:p>
      <w:pPr>
        <w:pStyle w:val="Odsazentlatextu"/>
        <w:ind w:left="0" w:right="850" w:hanging="0"/>
        <w:rPr>
          <w:sz w:val="22"/>
          <w:i w:val="false"/>
          <w:sz w:val="22"/>
          <w:i w:val="false"/>
          <w:szCs w:val="22"/>
          <w:iCs w:val="false"/>
          <w:color w:val="000000"/>
        </w:rPr>
      </w:pPr>
      <w:r>
        <w:rPr>
          <w:i w:val="false"/>
          <w:iCs w:val="false"/>
          <w:color w:val="000000"/>
          <w:sz w:val="22"/>
          <w:szCs w:val="22"/>
        </w:rPr>
        <w:t>10.2</w:t>
        <w:tab/>
        <w:t xml:space="preserve">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 </w:t>
      </w:r>
      <w:r/>
    </w:p>
    <w:p>
      <w:pPr>
        <w:pStyle w:val="Normal"/>
        <w:ind w:left="0" w:right="850" w:hanging="0"/>
        <w:jc w:val="both"/>
        <w:rPr>
          <w:sz w:val="24"/>
          <w:i w:val="false"/>
          <w:sz w:val="24"/>
          <w:i w:val="false"/>
          <w:szCs w:val="24"/>
          <w:iCs w:val="false"/>
          <w:rFonts w:ascii="Times New Roman" w:hAnsi="Times New Roman" w:eastAsia="Times New Roman" w:cs="Times New Roman"/>
          <w:color w:val="00000A"/>
          <w:lang w:val="cs-CZ" w:eastAsia="cs-CZ" w:bidi="ar-SA"/>
        </w:rPr>
      </w:pPr>
      <w:r>
        <w:rPr>
          <w:i w:val="false"/>
          <w:iCs w:val="false"/>
        </w:rPr>
      </w:r>
      <w:r/>
    </w:p>
    <w:p>
      <w:pPr>
        <w:pStyle w:val="Odsazentlatextu"/>
        <w:ind w:left="0" w:right="850" w:hanging="0"/>
        <w:rPr>
          <w:sz w:val="22"/>
          <w:i w:val="false"/>
          <w:b/>
          <w:sz w:val="22"/>
          <w:i w:val="false"/>
          <w:b/>
          <w:szCs w:val="22"/>
          <w:iCs w:val="false"/>
        </w:rPr>
      </w:pPr>
      <w:r>
        <w:rPr>
          <w:b/>
          <w:i w:val="false"/>
          <w:iCs w:val="false"/>
          <w:sz w:val="22"/>
          <w:szCs w:val="22"/>
        </w:rPr>
        <w:t>11.</w:t>
        <w:tab/>
        <w:t>SPOLEČNÉ USTANOVENÍ K NÁHRADĚ ŠKODY</w:t>
      </w:r>
      <w:r/>
    </w:p>
    <w:p>
      <w:pPr>
        <w:pStyle w:val="Odsazentlatextu"/>
        <w:ind w:left="0" w:right="850" w:hanging="0"/>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BodyTextIndent2"/>
        <w:ind w:left="0" w:right="850" w:hanging="0"/>
        <w:rPr>
          <w:sz w:val="22"/>
          <w:i w:val="false"/>
          <w:sz w:val="22"/>
          <w:i w:val="false"/>
          <w:szCs w:val="22"/>
          <w:iCs w:val="false"/>
        </w:rPr>
      </w:pPr>
      <w:r>
        <w:rPr>
          <w:i w:val="false"/>
          <w:iCs w:val="false"/>
          <w:sz w:val="22"/>
          <w:szCs w:val="22"/>
        </w:rPr>
        <w:t>11.1</w:t>
        <w:tab/>
        <w:t>Žádným z ujednání této Smlouvy není dotčen nárok poškozené strany na náhradu škody způsobené porušením povinnosti.</w:t>
      </w:r>
      <w:r/>
    </w:p>
    <w:p>
      <w:pPr>
        <w:pStyle w:val="Odsazentlatextu"/>
        <w:ind w:left="0" w:right="850" w:hanging="0"/>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Odsazentlatextu"/>
        <w:ind w:left="0" w:right="850" w:hanging="0"/>
        <w:rPr>
          <w:sz w:val="22"/>
          <w:i w:val="false"/>
          <w:b/>
          <w:sz w:val="22"/>
          <w:i w:val="false"/>
          <w:b/>
          <w:szCs w:val="22"/>
          <w:iCs w:val="false"/>
        </w:rPr>
      </w:pPr>
      <w:r>
        <w:rPr>
          <w:b/>
          <w:i w:val="false"/>
          <w:iCs w:val="false"/>
          <w:sz w:val="22"/>
          <w:szCs w:val="22"/>
        </w:rPr>
        <w:t>12.</w:t>
        <w:tab/>
        <w:t>ZÁVĚREČNÁ USTANOVENÍ</w:t>
      </w:r>
      <w:r/>
    </w:p>
    <w:p>
      <w:pPr>
        <w:pStyle w:val="Odsazentlatextu"/>
        <w:ind w:left="0" w:right="850" w:hanging="0"/>
        <w:rPr>
          <w:sz w:val="22"/>
          <w:i w:val="false"/>
          <w:b/>
          <w:sz w:val="22"/>
          <w:i w:val="false"/>
          <w:b/>
          <w:szCs w:val="22"/>
          <w:iCs w:val="false"/>
          <w:rFonts w:ascii="Times New Roman" w:hAnsi="Times New Roman" w:eastAsia="Times New Roman" w:cs="Times New Roman"/>
          <w:color w:val="00000A"/>
          <w:lang w:val="cs-CZ" w:eastAsia="cs-CZ" w:bidi="ar-SA"/>
        </w:rPr>
      </w:pPr>
      <w:r>
        <w:rPr>
          <w:b/>
          <w:i w:val="false"/>
          <w:iCs w:val="false"/>
          <w:sz w:val="22"/>
          <w:szCs w:val="22"/>
        </w:rPr>
      </w:r>
      <w:r/>
    </w:p>
    <w:p>
      <w:pPr>
        <w:pStyle w:val="Level2"/>
        <w:spacing w:lineRule="auto" w:line="240" w:before="0" w:after="0"/>
        <w:ind w:left="0" w:right="850" w:hanging="567"/>
        <w:rPr>
          <w:i w:val="false"/>
          <w:i w:val="false"/>
          <w:iCs w:val="false"/>
          <w:rFonts w:ascii="Times New Roman" w:hAnsi="Times New Roman" w:eastAsia="Times New Roman" w:cs="Times New Roman"/>
          <w:color w:val="000000"/>
          <w:lang w:eastAsia="cs-CZ"/>
        </w:rPr>
      </w:pPr>
      <w:r>
        <w:rPr>
          <w:rFonts w:cs="Times New Roman" w:ascii="Times New Roman" w:hAnsi="Times New Roman"/>
          <w:i w:val="false"/>
          <w:iCs w:val="false"/>
          <w:color w:val="000000"/>
        </w:rPr>
        <w:t>12.1</w:t>
        <w:tab/>
      </w:r>
      <w:r>
        <w:rPr>
          <w:rFonts w:eastAsia="Times New Roman" w:cs="Times New Roman" w:ascii="Times New Roman" w:hAnsi="Times New Roman"/>
          <w:i w:val="false"/>
          <w:iCs w:val="false"/>
          <w:color w:val="000000"/>
          <w:lang w:eastAsia="cs-CZ"/>
        </w:rPr>
        <w:t>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Do té míry, do jaké se může jakékoliv ustanovení této Nájemní smlouvy lišit od ustanovení zákona č. 89/2012 Sb., budou vždy rozhodující ustanovení této Nájemní smlouvy. Pro účely této Nájemní smlouvy se neuplatní ustanovení nového Občanského zákoníku (89/2012 Sb.), 1793, 1899, 1977 až 1979, 2000, 2002 - 2208, 2212, 2221 (2), 2222 (1 - druhá věta), 2222 (2) a 2222 (3), 2227, 2247, 2253, 2287, 2303, 2304 až 2305, 2308 písm. a), 2311, 2314, 2318 odst. 1, a Pronajímatel i Nájemce souhlasí s tím, že uplatnění těchto paragrafů je tímto pro účely této Nájemní smlouvy vyloučeno. Tato Nájemní smlouva je závazná pro správce, vykonavatele, nástupce a nabyvatele práv jejích smluvních stran.</w:t>
      </w:r>
      <w:r/>
    </w:p>
    <w:p>
      <w:pPr>
        <w:pStyle w:val="Odsazentlatextu"/>
        <w:ind w:left="0" w:right="850" w:hanging="0"/>
        <w:rPr>
          <w:sz w:val="22"/>
          <w:i w:val="false"/>
          <w:sz w:val="22"/>
          <w:i w:val="false"/>
          <w:szCs w:val="22"/>
          <w:iCs w:val="false"/>
        </w:rPr>
      </w:pPr>
      <w:r>
        <w:rPr>
          <w:i w:val="false"/>
          <w:iCs w:val="false"/>
          <w:sz w:val="22"/>
          <w:szCs w:val="22"/>
        </w:rPr>
        <w:t>12.2</w:t>
        <w:tab/>
        <w:t>Tato Smlouva nabývá účinnosti dnem jejího uzavření.</w:t>
      </w:r>
      <w:r/>
    </w:p>
    <w:p>
      <w:pPr>
        <w:pStyle w:val="Odsazentlatextu"/>
        <w:ind w:left="0" w:right="850" w:hanging="0"/>
        <w:rPr>
          <w:sz w:val="22"/>
          <w:i w:val="false"/>
          <w:sz w:val="22"/>
          <w:i w:val="false"/>
          <w:szCs w:val="22"/>
          <w:iCs w:val="false"/>
        </w:rPr>
      </w:pPr>
      <w:r>
        <w:rPr>
          <w:i w:val="false"/>
          <w:iCs w:val="false"/>
          <w:sz w:val="22"/>
          <w:szCs w:val="22"/>
        </w:rPr>
        <w:t>12.3</w:t>
        <w:tab/>
        <w:t>Pronajímatel a Nájemce se zavazují, že nesdělí kterékoliv třetí straně informace, které získali o druhé smluvní straně v průběhu plnění této Smlouvy ani po jejím skončení.</w:t>
      </w:r>
      <w:r/>
    </w:p>
    <w:p>
      <w:pPr>
        <w:pStyle w:val="Odsazentlatextu"/>
        <w:ind w:left="0" w:right="850" w:hanging="0"/>
        <w:rPr>
          <w:sz w:val="22"/>
          <w:i w:val="false"/>
          <w:sz w:val="22"/>
          <w:i w:val="false"/>
          <w:szCs w:val="22"/>
          <w:iCs w:val="false"/>
        </w:rPr>
      </w:pPr>
      <w:r>
        <w:rPr>
          <w:i w:val="false"/>
          <w:iCs w:val="false"/>
          <w:sz w:val="22"/>
          <w:szCs w:val="22"/>
        </w:rPr>
        <w:t>12.4</w:t>
        <w:tab/>
        <w:t>Tato Smlouva je sepsána ve dvou vyhotoveních, po jednom Pronajímateli a po jednom Nájemci.</w:t>
      </w:r>
      <w:r/>
    </w:p>
    <w:p>
      <w:pPr>
        <w:pStyle w:val="Odsazentlatextu"/>
        <w:ind w:left="0" w:right="850" w:hanging="0"/>
        <w:rPr>
          <w:sz w:val="22"/>
          <w:i w:val="false"/>
          <w:sz w:val="22"/>
          <w:i w:val="false"/>
          <w:szCs w:val="22"/>
          <w:iCs w:val="false"/>
        </w:rPr>
      </w:pPr>
      <w:r>
        <w:rPr>
          <w:i w:val="false"/>
          <w:iCs w:val="false"/>
          <w:sz w:val="22"/>
          <w:szCs w:val="22"/>
        </w:rPr>
        <w:t>12.5</w:t>
        <w:tab/>
        <w:t>Veškeré změny této Smlouvy musí být učiněny písemně, formou vzestupně číslovaných dodatků a podepsány oběma stranami. Písemná forma platí i pro zrušení Smlouvy dohodou či v případě odstoupení od Smlouvy.</w:t>
      </w:r>
      <w:r/>
    </w:p>
    <w:p>
      <w:pPr>
        <w:pStyle w:val="Normal"/>
        <w:ind w:left="0" w:right="850" w:hanging="0"/>
        <w:jc w:val="both"/>
        <w:rPr>
          <w:sz w:val="22"/>
          <w:i w:val="false"/>
          <w:sz w:val="22"/>
          <w:i w:val="false"/>
          <w:szCs w:val="22"/>
          <w:iCs w:val="false"/>
        </w:rPr>
      </w:pPr>
      <w:r>
        <w:rPr>
          <w:i w:val="false"/>
          <w:iCs w:val="false"/>
          <w:sz w:val="22"/>
          <w:szCs w:val="22"/>
        </w:rPr>
        <w:t>12.6</w:t>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r/>
    </w:p>
    <w:p>
      <w:pPr>
        <w:pStyle w:val="Normal"/>
        <w:ind w:left="0" w:right="850" w:hanging="0"/>
        <w:jc w:val="both"/>
        <w:rPr>
          <w:sz w:val="22"/>
          <w:i w:val="false"/>
          <w:sz w:val="22"/>
          <w:i w:val="false"/>
          <w:szCs w:val="22"/>
          <w:iCs w:val="false"/>
        </w:rPr>
      </w:pPr>
      <w:r>
        <w:rPr>
          <w:i w:val="false"/>
          <w:iCs w:val="false"/>
          <w:sz w:val="22"/>
          <w:szCs w:val="22"/>
        </w:rPr>
        <w:t>12.7</w:t>
        <w:tab/>
        <w:t>Smluvní strany prohlašují, že se se Smlouvou řádně seznámily, že tato je projevem jejich pravé, svobodné a vážné vůle, na důkaz čehož připojují své podpisy.</w:t>
      </w:r>
      <w:r/>
    </w:p>
    <w:p>
      <w:pPr>
        <w:pStyle w:val="Odsazentlatextu"/>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Normal"/>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Normal"/>
        <w:ind w:left="0" w:right="850" w:hanging="0"/>
      </w:pPr>
      <w:r>
        <w:rPr>
          <w:i w:val="false"/>
          <w:iCs w:val="false"/>
          <w:sz w:val="22"/>
          <w:szCs w:val="22"/>
        </w:rPr>
        <w:t xml:space="preserve">V Praze dne  </w:t>
      </w:r>
      <w:r>
        <w:rPr>
          <w:i w:val="false"/>
          <w:iCs w:val="false"/>
          <w:sz w:val="22"/>
          <w:szCs w:val="22"/>
        </w:rPr>
        <w:t>31. prosince 2014</w:t>
      </w:r>
      <w:r/>
    </w:p>
    <w:p>
      <w:pPr>
        <w:pStyle w:val="Normal"/>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sz w:val="22"/>
          <w:i w:val="false"/>
          <w:sz w:val="22"/>
          <w:i w:val="false"/>
          <w:szCs w:val="22"/>
          <w:iCs w:val="false"/>
          <w:rFonts w:ascii="Times New Roman" w:hAnsi="Times New Roman" w:eastAsia="Times New Roman" w:cs="Times New Roman"/>
          <w:color w:val="00000A"/>
          <w:lang w:val="cs-CZ" w:eastAsia="cs-CZ" w:bidi="ar-SA"/>
        </w:rPr>
      </w:pPr>
      <w:r>
        <w:rPr>
          <w:i w:val="false"/>
          <w:iCs w:val="false"/>
          <w:sz w:val="22"/>
          <w:szCs w:val="22"/>
        </w:rPr>
      </w:r>
      <w:r/>
    </w:p>
    <w:p>
      <w:pPr>
        <w:pStyle w:val="Odsazentlatextu"/>
        <w:ind w:left="0" w:right="850" w:hanging="0"/>
        <w:rPr>
          <w:sz w:val="22"/>
          <w:i w:val="false"/>
          <w:sz w:val="22"/>
          <w:i w:val="false"/>
          <w:szCs w:val="22"/>
          <w:iCs w:val="false"/>
        </w:rPr>
      </w:pPr>
      <w:r>
        <w:rPr>
          <w:i w:val="false"/>
          <w:iCs w:val="false"/>
          <w:sz w:val="22"/>
          <w:szCs w:val="22"/>
        </w:rPr>
        <w:t>…………………………………</w:t>
      </w:r>
      <w:r>
        <w:rPr>
          <w:i w:val="false"/>
          <w:iCs w:val="false"/>
          <w:sz w:val="22"/>
          <w:szCs w:val="22"/>
        </w:rPr>
        <w:tab/>
        <w:tab/>
        <w:t>……………………………………</w:t>
      </w:r>
      <w:r/>
    </w:p>
    <w:p>
      <w:pPr>
        <w:pStyle w:val="Normal"/>
        <w:ind w:left="0" w:right="850" w:hanging="0"/>
      </w:pPr>
      <w:r>
        <w:rPr>
          <w:i w:val="false"/>
          <w:iCs w:val="false"/>
          <w:sz w:val="22"/>
          <w:szCs w:val="22"/>
        </w:rPr>
        <w:t>František Švarc, starosta</w:t>
        <w:tab/>
        <w:tab/>
        <w:tab/>
        <w:t xml:space="preserve"> </w:t>
        <w:tab/>
        <w:t xml:space="preserve">    </w:t>
      </w:r>
      <w:r>
        <w:rPr>
          <w:i w:val="false"/>
          <w:iCs w:val="false"/>
          <w:sz w:val="22"/>
          <w:szCs w:val="22"/>
        </w:rPr>
        <w:t>Jana Marešová</w:t>
      </w:r>
      <w:r/>
    </w:p>
    <w:p>
      <w:pPr>
        <w:pStyle w:val="Odsazentlatextu"/>
        <w:spacing w:before="0" w:after="120"/>
        <w:ind w:left="0" w:right="850" w:hanging="0"/>
      </w:pPr>
      <w:r>
        <w:rPr>
          <w:i w:val="false"/>
          <w:iCs w:val="false"/>
          <w:sz w:val="22"/>
          <w:szCs w:val="22"/>
        </w:rPr>
        <w:t xml:space="preserve">    </w:t>
      </w:r>
      <w:r>
        <w:rPr>
          <w:i w:val="false"/>
          <w:iCs w:val="false"/>
          <w:sz w:val="22"/>
          <w:szCs w:val="22"/>
        </w:rPr>
        <w:t>MČ Prahy-Vinoř</w:t>
        <w:tab/>
        <w:tab/>
        <w:tab/>
        <w:t xml:space="preserve">                                 </w:t>
        <w:tab/>
        <w:tab/>
        <w:tab/>
        <w:tab/>
        <w:tab/>
        <w:tab/>
        <w:tab/>
        <w:tab/>
        <w:tab/>
      </w:r>
      <w:r/>
    </w:p>
    <w:sectPr>
      <w:footerReference w:type="default" r:id="rId2"/>
      <w:type w:val="nextPage"/>
      <w:pgSz w:w="11906" w:h="16838"/>
      <w:pgMar w:left="1417" w:right="1417" w:header="0" w:top="1417" w:footer="1417" w:bottom="193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pPr>
    <w:r>
      <w:rPr/>
      <w:fldChar w:fldCharType="begin"/>
    </w:r>
    <w:r>
      <w:instrText> PAGE </w:instrText>
    </w:r>
    <w:r>
      <w:fldChar w:fldCharType="separate"/>
    </w:r>
    <w:r>
      <w:t>0</w:t>
    </w:r>
    <w:r>
      <w:fldChar w:fldCharType="end"/>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7"/>
      <w:numFmt w:val="decimal"/>
      <w:lvlText w:val="%1"/>
      <w:lvlJc w:val="left"/>
      <w:pPr>
        <w:ind w:left="360" w:hanging="360"/>
      </w:pPr>
    </w:lvl>
    <w:lvl w:ilvl="1">
      <w:start w:val="2"/>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440" w:hanging="144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9"/>
      <w:numFmt w:val="decimal"/>
      <w:lvlText w:val="%1"/>
      <w:lvlJc w:val="left"/>
      <w:pPr>
        <w:ind w:left="360" w:hanging="360"/>
      </w:pPr>
    </w:lvl>
    <w:lvl w:ilvl="1">
      <w:start w:val="3"/>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440" w:hanging="144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szCs w:val="22"/>
        <w:lang w:val="cs-CZ" w:eastAsia="en-US" w:bidi="ar-SA"/>
      </w:rPr>
    </w:rPrDefault>
    <w:pPrDefault>
      <w:pPr>
        <w:jc w:val="both"/>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semiHidden="0" w:unhideWhenUsed="0" w:uiPriority="0" w:name="Title"/>
    <w:lsdException w:uiPriority="1" w:name="Default Paragraph Font"/>
    <w:lsdException w:qFormat="1" w:semiHidden="0" w:unhideWhenUsed="0" w:uiPriority="11" w:name="Subtitle"/>
    <w:lsdException w:uiPriority="0" w:name="Body Text Indent 2"/>
    <w:lsdException w:uiPriority="0" w:name="Block Text"/>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6728c2"/>
    <w:pPr>
      <w:widowControl/>
      <w:suppressAutoHyphens w:val="true"/>
      <w:bidi w:val="0"/>
      <w:jc w:val="left"/>
    </w:pPr>
    <w:rPr>
      <w:rFonts w:ascii="Times New Roman" w:hAnsi="Times New Roman" w:eastAsia="Times New Roman" w:cs="Times New Roman"/>
      <w:color w:val="00000A"/>
      <w:sz w:val="24"/>
      <w:szCs w:val="24"/>
      <w:lang w:val="cs-CZ" w:eastAsia="cs-CZ" w:bidi="ar-SA"/>
    </w:rPr>
  </w:style>
  <w:style w:type="paragraph" w:styleId="Nadpis2">
    <w:name w:val="Nadpis 2"/>
    <w:basedOn w:val="Normal"/>
    <w:link w:val="Nadpis2Char"/>
    <w:semiHidden/>
    <w:unhideWhenUsed/>
    <w:qFormat/>
    <w:rsid w:val="006728c2"/>
    <w:pPr>
      <w:keepNext/>
      <w:jc w:val="center"/>
      <w:outlineLvl w:val="1"/>
    </w:pPr>
    <w:rPr>
      <w:b/>
    </w:rPr>
  </w:style>
  <w:style w:type="character" w:styleId="DefaultParagraphFont" w:default="1">
    <w:name w:val="Default Paragraph Font"/>
    <w:uiPriority w:val="1"/>
    <w:semiHidden/>
    <w:unhideWhenUsed/>
    <w:rPr/>
  </w:style>
  <w:style w:type="character" w:styleId="Nadpis2Char" w:customStyle="1">
    <w:name w:val="Nadpis 2 Char"/>
    <w:basedOn w:val="DefaultParagraphFont"/>
    <w:link w:val="Nadpis2"/>
    <w:semiHidden/>
    <w:rsid w:val="006728c2"/>
    <w:rPr>
      <w:rFonts w:eastAsia="Times New Roman"/>
      <w:b/>
      <w:color w:val="00000A"/>
      <w:sz w:val="24"/>
      <w:szCs w:val="24"/>
      <w:lang w:eastAsia="cs-CZ"/>
    </w:rPr>
  </w:style>
  <w:style w:type="character" w:styleId="ZpatChar" w:customStyle="1">
    <w:name w:val="Zápatí Char"/>
    <w:basedOn w:val="DefaultParagraphFont"/>
    <w:link w:val="Zpat"/>
    <w:semiHidden/>
    <w:rsid w:val="006728c2"/>
    <w:rPr>
      <w:rFonts w:eastAsia="Times New Roman"/>
      <w:color w:val="00000A"/>
      <w:sz w:val="20"/>
      <w:szCs w:val="20"/>
      <w:lang w:eastAsia="cs-CZ"/>
    </w:rPr>
  </w:style>
  <w:style w:type="character" w:styleId="NzevChar" w:customStyle="1">
    <w:name w:val="Název Char"/>
    <w:basedOn w:val="DefaultParagraphFont"/>
    <w:link w:val="Nzev"/>
    <w:rsid w:val="006728c2"/>
    <w:rPr>
      <w:rFonts w:eastAsia="Times New Roman"/>
      <w:b/>
      <w:color w:val="00000A"/>
      <w:sz w:val="28"/>
      <w:szCs w:val="20"/>
      <w:lang w:eastAsia="cs-CZ"/>
    </w:rPr>
  </w:style>
  <w:style w:type="character" w:styleId="Zkladntextodsazen2Char" w:customStyle="1">
    <w:name w:val="Základní text odsazený 2 Char"/>
    <w:basedOn w:val="DefaultParagraphFont"/>
    <w:link w:val="Zkladntextodsazen2"/>
    <w:semiHidden/>
    <w:rsid w:val="006728c2"/>
    <w:rPr>
      <w:rFonts w:eastAsia="Times New Roman"/>
      <w:color w:val="00000A"/>
      <w:sz w:val="24"/>
      <w:szCs w:val="24"/>
      <w:lang w:eastAsia="cs-CZ"/>
    </w:rPr>
  </w:style>
  <w:style w:type="character" w:styleId="ZkladntextChar" w:customStyle="1">
    <w:name w:val="Základní text Char"/>
    <w:basedOn w:val="DefaultParagraphFont"/>
    <w:link w:val="Tlotextu"/>
    <w:locked/>
    <w:rsid w:val="006728c2"/>
    <w:rPr>
      <w:sz w:val="24"/>
    </w:rPr>
  </w:style>
  <w:style w:type="character" w:styleId="Annotationreference">
    <w:name w:val="annotation reference"/>
    <w:uiPriority w:val="99"/>
    <w:semiHidden/>
    <w:unhideWhenUsed/>
    <w:rsid w:val="006728c2"/>
    <w:rPr>
      <w:sz w:val="16"/>
      <w:szCs w:val="16"/>
    </w:rPr>
  </w:style>
  <w:style w:type="character" w:styleId="TextkomenteChar" w:customStyle="1">
    <w:name w:val="Text komentáře Char"/>
    <w:basedOn w:val="DefaultParagraphFont"/>
    <w:link w:val="Textkomente"/>
    <w:uiPriority w:val="99"/>
    <w:semiHidden/>
    <w:rsid w:val="006728c2"/>
    <w:rPr>
      <w:rFonts w:eastAsia="Times New Roman"/>
      <w:color w:val="00000A"/>
      <w:sz w:val="20"/>
      <w:szCs w:val="20"/>
      <w:lang w:eastAsia="cs-CZ"/>
    </w:rPr>
  </w:style>
  <w:style w:type="character" w:styleId="ZkladntextodsazenChar" w:customStyle="1">
    <w:name w:val="Základní text odsazený Char"/>
    <w:basedOn w:val="DefaultParagraphFont"/>
    <w:link w:val="Zkladntextodsazen"/>
    <w:uiPriority w:val="99"/>
    <w:semiHidden/>
    <w:rsid w:val="006728c2"/>
    <w:rPr>
      <w:rFonts w:eastAsia="Times New Roman"/>
      <w:color w:val="00000A"/>
      <w:sz w:val="24"/>
      <w:szCs w:val="24"/>
      <w:lang w:eastAsia="cs-CZ"/>
    </w:rPr>
  </w:style>
  <w:style w:type="character" w:styleId="TextbublinyChar" w:customStyle="1">
    <w:name w:val="Text bubliny Char"/>
    <w:basedOn w:val="DefaultParagraphFont"/>
    <w:link w:val="Textbubliny"/>
    <w:uiPriority w:val="99"/>
    <w:semiHidden/>
    <w:rsid w:val="006728c2"/>
    <w:rPr>
      <w:rFonts w:ascii="Tahoma" w:hAnsi="Tahoma" w:eastAsia="Times New Roman" w:cs="Tahoma"/>
      <w:color w:val="00000A"/>
      <w:sz w:val="16"/>
      <w:szCs w:val="16"/>
      <w:lang w:eastAsia="cs-CZ"/>
    </w:rPr>
  </w:style>
  <w:style w:type="character" w:styleId="ListLabel1">
    <w:name w:val="ListLabel 1"/>
    <w:rPr>
      <w:b w:val="false"/>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b/>
      <w:i w:val="false"/>
      <w:sz w:val="22"/>
    </w:rPr>
  </w:style>
  <w:style w:type="character" w:styleId="ListLabel6">
    <w:name w:val="ListLabel 6"/>
    <w:rPr>
      <w:b/>
      <w:i w:val="false"/>
      <w:color w:val="00000A"/>
      <w:sz w:val="21"/>
    </w:rPr>
  </w:style>
  <w:style w:type="character" w:styleId="ListLabel7">
    <w:name w:val="ListLabel 7"/>
    <w:rPr>
      <w:b/>
      <w:i w:val="false"/>
      <w:color w:val="00000A"/>
      <w:sz w:val="17"/>
    </w:rPr>
  </w:style>
  <w:style w:type="character" w:styleId="ListLabel8">
    <w:name w:val="ListLabel 8"/>
    <w:rPr>
      <w:b w:val="false"/>
      <w:i w:val="false"/>
      <w:sz w:val="22"/>
      <w:szCs w:val="22"/>
    </w:rPr>
  </w:style>
  <w:style w:type="character" w:styleId="ListLabel9">
    <w:name w:val="ListLabel 9"/>
    <w:rPr>
      <w:b w:val="false"/>
    </w:rPr>
  </w:style>
  <w:style w:type="character" w:styleId="ListLabel10">
    <w:name w:val="ListLabel 10"/>
    <w:rPr>
      <w:rFonts w:cs="Symbol"/>
    </w:rPr>
  </w:style>
  <w:style w:type="character" w:styleId="ListLabel11">
    <w:name w:val="ListLabel 11"/>
    <w:rPr>
      <w:rFonts w:cs="Courier New"/>
    </w:rPr>
  </w:style>
  <w:style w:type="character" w:styleId="ListLabel12">
    <w:name w:val="ListLabel 12"/>
    <w:rPr>
      <w:rFonts w:cs="Wingdings"/>
    </w:rPr>
  </w:style>
  <w:style w:type="character" w:styleId="ListLabel13">
    <w:name w:val="ListLabel 13"/>
    <w:rPr>
      <w:b/>
      <w:i w:val="false"/>
      <w:sz w:val="22"/>
    </w:rPr>
  </w:style>
  <w:style w:type="character" w:styleId="ListLabel14">
    <w:name w:val="ListLabel 14"/>
    <w:rPr>
      <w:b/>
      <w:i w:val="false"/>
      <w:color w:val="00000A"/>
      <w:sz w:val="21"/>
    </w:rPr>
  </w:style>
  <w:style w:type="character" w:styleId="ListLabel15">
    <w:name w:val="ListLabel 15"/>
    <w:rPr>
      <w:b/>
      <w:i w:val="false"/>
      <w:color w:val="00000A"/>
      <w:sz w:val="17"/>
    </w:rPr>
  </w:style>
  <w:style w:type="character" w:styleId="ListLabel16">
    <w:name w:val="ListLabel 16"/>
    <w:rPr>
      <w:b w:val="false"/>
      <w:i w:val="false"/>
      <w:sz w:val="22"/>
      <w:szCs w:val="22"/>
    </w:rPr>
  </w:style>
  <w:style w:type="character" w:styleId="ListLabel17">
    <w:name w:val="ListLabel 17"/>
    <w:rPr>
      <w:b w:val="false"/>
    </w:rPr>
  </w:style>
  <w:style w:type="character" w:styleId="ListLabel18">
    <w:name w:val="ListLabel 18"/>
    <w:rPr>
      <w:rFonts w:cs="Symbol"/>
    </w:rPr>
  </w:style>
  <w:style w:type="character" w:styleId="ListLabel19">
    <w:name w:val="ListLabel 19"/>
    <w:rPr>
      <w:rFonts w:cs="Courier New"/>
    </w:rPr>
  </w:style>
  <w:style w:type="character" w:styleId="ListLabel20">
    <w:name w:val="ListLabel 20"/>
    <w:rPr>
      <w:rFonts w:cs="Wingdings"/>
    </w:rPr>
  </w:style>
  <w:style w:type="character" w:styleId="ListLabel21">
    <w:name w:val="ListLabel 21"/>
    <w:rPr>
      <w:b/>
      <w:i w:val="false"/>
      <w:sz w:val="22"/>
    </w:rPr>
  </w:style>
  <w:style w:type="character" w:styleId="ListLabel22">
    <w:name w:val="ListLabel 22"/>
    <w:rPr>
      <w:b/>
      <w:i w:val="false"/>
      <w:color w:val="00000A"/>
      <w:sz w:val="21"/>
    </w:rPr>
  </w:style>
  <w:style w:type="character" w:styleId="ListLabel23">
    <w:name w:val="ListLabel 23"/>
    <w:rPr>
      <w:b/>
      <w:i w:val="false"/>
      <w:color w:val="00000A"/>
      <w:sz w:val="17"/>
    </w:rPr>
  </w:style>
  <w:style w:type="character" w:styleId="ListLabel24">
    <w:name w:val="ListLabel 24"/>
    <w:rPr>
      <w:b w:val="false"/>
      <w:i w:val="false"/>
      <w:sz w:val="22"/>
      <w:szCs w:val="22"/>
    </w:rPr>
  </w:style>
  <w:style w:type="character" w:styleId="ListLabel25">
    <w:name w:val="ListLabel 25"/>
    <w:rPr>
      <w:rFonts w:cs="Symbol"/>
    </w:rPr>
  </w:style>
  <w:style w:type="character" w:styleId="ListLabel26">
    <w:name w:val="ListLabel 26"/>
    <w:rPr>
      <w:rFonts w:cs="Courier New"/>
    </w:rPr>
  </w:style>
  <w:style w:type="character" w:styleId="ListLabel27">
    <w:name w:val="ListLabel 27"/>
    <w:rPr>
      <w:rFonts w:cs="Wingdings"/>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customStyle="1">
    <w:name w:val="Tělo textu"/>
    <w:basedOn w:val="Normal"/>
    <w:link w:val="ZkladntextChar"/>
    <w:rsid w:val="006728c2"/>
    <w:pPr>
      <w:spacing w:lineRule="auto" w:line="288" w:before="0" w:after="140"/>
      <w:jc w:val="center"/>
    </w:pPr>
    <w:rPr>
      <w:rFonts w:cs="Calibri"/>
      <w:color w:val="00000A"/>
      <w:szCs w:val="22"/>
      <w:lang w:eastAsia="en-US"/>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 w:type="paragraph" w:styleId="Zpat">
    <w:name w:val="Zápatí"/>
    <w:basedOn w:val="Normal"/>
    <w:link w:val="ZpatChar"/>
    <w:semiHidden/>
    <w:unhideWhenUsed/>
    <w:rsid w:val="006728c2"/>
    <w:pPr>
      <w:tabs>
        <w:tab w:val="center" w:pos="4536" w:leader="none"/>
        <w:tab w:val="right" w:pos="9072" w:leader="none"/>
      </w:tabs>
    </w:pPr>
    <w:rPr>
      <w:sz w:val="20"/>
      <w:szCs w:val="20"/>
    </w:rPr>
  </w:style>
  <w:style w:type="paragraph" w:styleId="Nzev">
    <w:name w:val="Název"/>
    <w:basedOn w:val="Normal"/>
    <w:link w:val="NzevChar"/>
    <w:qFormat/>
    <w:rsid w:val="006728c2"/>
    <w:pPr>
      <w:jc w:val="center"/>
    </w:pPr>
    <w:rPr>
      <w:b/>
      <w:sz w:val="28"/>
      <w:szCs w:val="20"/>
    </w:rPr>
  </w:style>
  <w:style w:type="paragraph" w:styleId="BodyTextIndent2">
    <w:name w:val="Body Text Indent 2"/>
    <w:basedOn w:val="Normal"/>
    <w:link w:val="Zkladntextodsazen2Char"/>
    <w:semiHidden/>
    <w:unhideWhenUsed/>
    <w:rsid w:val="006728c2"/>
    <w:pPr>
      <w:ind w:left="284" w:right="0" w:hanging="284"/>
      <w:jc w:val="both"/>
    </w:pPr>
    <w:rPr/>
  </w:style>
  <w:style w:type="paragraph" w:styleId="BlockText">
    <w:name w:val="Block Text"/>
    <w:basedOn w:val="Normal"/>
    <w:semiHidden/>
    <w:unhideWhenUsed/>
    <w:rsid w:val="006728c2"/>
    <w:pPr>
      <w:ind w:left="567" w:right="567" w:hanging="0"/>
      <w:jc w:val="both"/>
    </w:pPr>
    <w:rPr>
      <w:b/>
      <w:szCs w:val="20"/>
    </w:rPr>
  </w:style>
  <w:style w:type="paragraph" w:styleId="ListParagraph">
    <w:name w:val="List Paragraph"/>
    <w:basedOn w:val="Normal"/>
    <w:uiPriority w:val="34"/>
    <w:qFormat/>
    <w:rsid w:val="006728c2"/>
    <w:pPr>
      <w:spacing w:before="0" w:after="0"/>
      <w:ind w:left="720" w:right="0" w:hanging="0"/>
      <w:contextualSpacing/>
    </w:pPr>
    <w:rPr/>
  </w:style>
  <w:style w:type="paragraph" w:styleId="Odsazentlatextu">
    <w:name w:val="Odsazení těla textu"/>
    <w:basedOn w:val="Normal"/>
    <w:link w:val="ZkladntextodsazenChar"/>
    <w:uiPriority w:val="99"/>
    <w:semiHidden/>
    <w:unhideWhenUsed/>
    <w:rsid w:val="006728c2"/>
    <w:pPr>
      <w:spacing w:before="0" w:after="120"/>
      <w:ind w:left="283" w:right="0" w:hanging="705"/>
      <w:jc w:val="both"/>
    </w:pPr>
    <w:rPr>
      <w:szCs w:val="20"/>
    </w:rPr>
  </w:style>
  <w:style w:type="paragraph" w:styleId="Level2" w:customStyle="1">
    <w:name w:val="Level 2"/>
    <w:basedOn w:val="Normal"/>
    <w:rsid w:val="006728c2"/>
    <w:pPr>
      <w:spacing w:lineRule="auto" w:line="288" w:before="0" w:after="140"/>
      <w:jc w:val="both"/>
      <w:outlineLvl w:val="1"/>
    </w:pPr>
    <w:rPr>
      <w:rFonts w:ascii="Arial" w:hAnsi="Arial" w:eastAsia="Calibri" w:cs="Arial"/>
      <w:iCs/>
      <w:sz w:val="22"/>
      <w:szCs w:val="22"/>
      <w:lang w:eastAsia="en-US"/>
    </w:rPr>
  </w:style>
  <w:style w:type="paragraph" w:styleId="Annotationtext">
    <w:name w:val="annotation text"/>
    <w:basedOn w:val="Normal"/>
    <w:link w:val="TextkomenteChar"/>
    <w:uiPriority w:val="99"/>
    <w:semiHidden/>
    <w:unhideWhenUsed/>
    <w:rsid w:val="006728c2"/>
    <w:pPr/>
    <w:rPr>
      <w:sz w:val="20"/>
      <w:szCs w:val="20"/>
    </w:rPr>
  </w:style>
  <w:style w:type="paragraph" w:styleId="BalloonText">
    <w:name w:val="Balloon Text"/>
    <w:basedOn w:val="Normal"/>
    <w:link w:val="TextbublinyChar"/>
    <w:uiPriority w:val="99"/>
    <w:semiHidden/>
    <w:unhideWhenUsed/>
    <w:rsid w:val="006728c2"/>
    <w:pPr/>
    <w:rPr>
      <w:rFonts w:ascii="Tahoma" w:hAnsi="Tahoma" w:cs="Tahoma"/>
      <w:sz w:val="16"/>
      <w:szCs w:val="16"/>
    </w:rPr>
  </w:style>
  <w:style w:type="paragraph" w:styleId="Obsahrmce">
    <w:name w:val="Obsah rámce"/>
    <w:basedOn w:val="Normal"/>
    <w:pPr/>
    <w:rPr/>
  </w:style>
  <w:style w:type="numbering" w:styleId="NoList" w:default="1">
    <w:name w:val="No List"/>
    <w:uiPriority w:val="99"/>
    <w:semiHidden/>
    <w:unhideWhenUsed/>
  </w:style>
  <w:style w:type="table" w:default="1" w:styleId="Normlntabulka">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Application>LibreOffice/4.3.0.4$Windows_x86 LibreOffice_project/62ad5818884a2fc2e5780dd45466868d41009ec0</Application>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2014-06-09T09:51:00Z</dcterms:created>
  <dc:creator>Irca</dc:creator>
  <dc:language>cs-CZ</dc:language>
  <dcterms:modified xsi:type="dcterms:W3CDTF">2015-01-05T11:33:08Z</dcterms:modified>
  <cp:revision>9</cp:revision>
</cp:coreProperties>
</file>