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D0" w:rsidRPr="00DE75D8" w:rsidRDefault="00A91CD0" w:rsidP="00A91CD0">
      <w:pPr>
        <w:pStyle w:val="Default"/>
        <w:rPr>
          <w:rFonts w:ascii="Arial" w:hAnsi="Arial" w:cs="Arial"/>
          <w:sz w:val="22"/>
          <w:szCs w:val="22"/>
        </w:rPr>
      </w:pP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 </w:t>
      </w:r>
      <w:r w:rsidRPr="00DE75D8">
        <w:rPr>
          <w:rFonts w:ascii="Arial" w:hAnsi="Arial" w:cs="Arial"/>
          <w:b/>
          <w:bCs/>
          <w:sz w:val="22"/>
          <w:szCs w:val="22"/>
        </w:rPr>
        <w:t xml:space="preserve">Příkazní </w:t>
      </w:r>
      <w:proofErr w:type="gramStart"/>
      <w:r w:rsidRPr="00DE75D8">
        <w:rPr>
          <w:rFonts w:ascii="Arial" w:hAnsi="Arial" w:cs="Arial"/>
          <w:b/>
          <w:bCs/>
          <w:sz w:val="22"/>
          <w:szCs w:val="22"/>
        </w:rPr>
        <w:t>smlouva</w:t>
      </w:r>
      <w:r w:rsidR="006C2249">
        <w:rPr>
          <w:rFonts w:ascii="Arial" w:hAnsi="Arial" w:cs="Arial"/>
          <w:b/>
          <w:bCs/>
          <w:sz w:val="22"/>
          <w:szCs w:val="22"/>
        </w:rPr>
        <w:t xml:space="preserve">  </w:t>
      </w:r>
      <w:r w:rsidR="00B74BB7">
        <w:rPr>
          <w:rFonts w:ascii="Arial" w:hAnsi="Arial" w:cs="Arial"/>
          <w:b/>
          <w:bCs/>
          <w:sz w:val="22"/>
          <w:szCs w:val="22"/>
        </w:rPr>
        <w:t>CES</w:t>
      </w:r>
      <w:proofErr w:type="gramEnd"/>
      <w:r w:rsidR="00B74BB7">
        <w:rPr>
          <w:rFonts w:ascii="Arial" w:hAnsi="Arial" w:cs="Arial"/>
          <w:b/>
          <w:bCs/>
          <w:sz w:val="22"/>
          <w:szCs w:val="22"/>
        </w:rPr>
        <w:t xml:space="preserve"> </w:t>
      </w:r>
      <w:r w:rsidR="006C2249">
        <w:rPr>
          <w:rFonts w:ascii="Arial" w:hAnsi="Arial" w:cs="Arial"/>
          <w:b/>
          <w:bCs/>
          <w:sz w:val="22"/>
          <w:szCs w:val="22"/>
        </w:rPr>
        <w:t>č. 4/2019</w:t>
      </w:r>
      <w:r w:rsidRPr="00DE75D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podle § 2430 – 2444 zákona č. 89/2012 Sb., občanský zákoník, ve znění pozdějších předpisů </w:t>
      </w:r>
    </w:p>
    <w:p w:rsidR="00AC4F94" w:rsidRDefault="00AC4F94" w:rsidP="00A91CD0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I. </w:t>
      </w: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Smluvní strany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Příkazce: </w:t>
      </w:r>
      <w:r w:rsidRPr="00DE75D8">
        <w:rPr>
          <w:rFonts w:ascii="Arial" w:hAnsi="Arial" w:cs="Arial"/>
          <w:b/>
          <w:bCs/>
          <w:sz w:val="22"/>
          <w:szCs w:val="22"/>
        </w:rPr>
        <w:t xml:space="preserve">Město Černošice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Riegrova 1209, 252 28 Černošice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zastoupené ve věcech smluvních Mgr. Filipem Kořínkem, starostou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zastoupené ve věcech technických: </w:t>
      </w:r>
      <w:r w:rsidR="004F3D04">
        <w:rPr>
          <w:rFonts w:ascii="Arial" w:hAnsi="Arial" w:cs="Arial"/>
          <w:sz w:val="22"/>
          <w:szCs w:val="22"/>
        </w:rPr>
        <w:t>XXXXXXXXXXX,</w:t>
      </w:r>
      <w:r w:rsidRPr="00DE75D8">
        <w:rPr>
          <w:rFonts w:ascii="Arial" w:hAnsi="Arial" w:cs="Arial"/>
          <w:sz w:val="22"/>
          <w:szCs w:val="22"/>
        </w:rPr>
        <w:t xml:space="preserve"> </w:t>
      </w:r>
      <w:r w:rsidR="004F3D04">
        <w:rPr>
          <w:rFonts w:ascii="Arial" w:hAnsi="Arial" w:cs="Arial"/>
          <w:sz w:val="22"/>
          <w:szCs w:val="22"/>
        </w:rPr>
        <w:t>XXXXXXX</w:t>
      </w:r>
      <w:r w:rsidRPr="00DE75D8">
        <w:rPr>
          <w:rFonts w:ascii="Arial" w:hAnsi="Arial" w:cs="Arial"/>
          <w:sz w:val="22"/>
          <w:szCs w:val="22"/>
        </w:rPr>
        <w:t xml:space="preserve">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IČ: 00241121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DIČ: CZ00241121 </w:t>
      </w:r>
    </w:p>
    <w:p w:rsidR="00DF091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Bankovní spojení: Česká spořitelna a.s., </w:t>
      </w:r>
      <w:proofErr w:type="spellStart"/>
      <w:proofErr w:type="gramStart"/>
      <w:r w:rsidRPr="00DE75D8">
        <w:rPr>
          <w:rFonts w:ascii="Arial" w:hAnsi="Arial" w:cs="Arial"/>
          <w:sz w:val="22"/>
          <w:szCs w:val="22"/>
        </w:rPr>
        <w:t>č.ú</w:t>
      </w:r>
      <w:proofErr w:type="spellEnd"/>
      <w:r w:rsidRPr="00DE75D8">
        <w:rPr>
          <w:rFonts w:ascii="Arial" w:hAnsi="Arial" w:cs="Arial"/>
          <w:sz w:val="22"/>
          <w:szCs w:val="22"/>
        </w:rPr>
        <w:t>.: 27</w:t>
      </w:r>
      <w:proofErr w:type="gramEnd"/>
      <w:r w:rsidRPr="00DE75D8">
        <w:rPr>
          <w:rFonts w:ascii="Arial" w:hAnsi="Arial" w:cs="Arial"/>
          <w:sz w:val="22"/>
          <w:szCs w:val="22"/>
        </w:rPr>
        <w:t xml:space="preserve">-388063349/0800 </w:t>
      </w:r>
    </w:p>
    <w:p w:rsidR="00DF0910" w:rsidRDefault="00AC4F94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Příkazník: </w:t>
      </w:r>
      <w:r w:rsidRPr="00DE75D8">
        <w:rPr>
          <w:rFonts w:ascii="Arial" w:hAnsi="Arial" w:cs="Arial"/>
          <w:b/>
          <w:bCs/>
          <w:sz w:val="22"/>
          <w:szCs w:val="22"/>
        </w:rPr>
        <w:t xml:space="preserve">Atelier 15, s.r.o.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Nádražní 1272/15, 150 00 Praha 5 - Smíchov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zastoupená ve věcech smluvních </w:t>
      </w:r>
      <w:r w:rsidR="004F3D04">
        <w:rPr>
          <w:rFonts w:ascii="Arial" w:hAnsi="Arial" w:cs="Arial"/>
          <w:sz w:val="22"/>
          <w:szCs w:val="22"/>
        </w:rPr>
        <w:t>XXXXXXXXXX</w:t>
      </w:r>
      <w:r w:rsidRPr="00DE75D8">
        <w:rPr>
          <w:rFonts w:ascii="Arial" w:hAnsi="Arial" w:cs="Arial"/>
          <w:sz w:val="22"/>
          <w:szCs w:val="22"/>
        </w:rPr>
        <w:t xml:space="preserve">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a </w:t>
      </w:r>
      <w:r w:rsidR="004F3D04">
        <w:rPr>
          <w:rFonts w:ascii="Arial" w:hAnsi="Arial" w:cs="Arial"/>
          <w:sz w:val="22"/>
          <w:szCs w:val="22"/>
        </w:rPr>
        <w:t>XXXXXXXXXXXXXXXX</w:t>
      </w:r>
      <w:r w:rsidRPr="00DE75D8">
        <w:rPr>
          <w:rFonts w:ascii="Arial" w:hAnsi="Arial" w:cs="Arial"/>
          <w:sz w:val="22"/>
          <w:szCs w:val="22"/>
        </w:rPr>
        <w:t xml:space="preserve">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IČO: 26746450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DIČ: CZ26746450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DE75D8">
        <w:rPr>
          <w:rFonts w:ascii="Arial" w:hAnsi="Arial" w:cs="Arial"/>
          <w:sz w:val="22"/>
          <w:szCs w:val="22"/>
        </w:rPr>
        <w:t>Raiffeisen</w:t>
      </w:r>
      <w:proofErr w:type="spellEnd"/>
      <w:r w:rsidRPr="00DE75D8">
        <w:rPr>
          <w:rFonts w:ascii="Arial" w:hAnsi="Arial" w:cs="Arial"/>
          <w:sz w:val="22"/>
          <w:szCs w:val="22"/>
        </w:rPr>
        <w:t xml:space="preserve"> BANK</w:t>
      </w:r>
      <w:r w:rsidR="00AC4F94">
        <w:rPr>
          <w:rFonts w:ascii="Arial" w:hAnsi="Arial" w:cs="Arial"/>
          <w:sz w:val="22"/>
          <w:szCs w:val="22"/>
        </w:rPr>
        <w:t>A</w:t>
      </w:r>
      <w:r w:rsidRPr="00DE75D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E75D8">
        <w:rPr>
          <w:rFonts w:ascii="Arial" w:hAnsi="Arial" w:cs="Arial"/>
          <w:sz w:val="22"/>
          <w:szCs w:val="22"/>
        </w:rPr>
        <w:t>č.ú</w:t>
      </w:r>
      <w:proofErr w:type="spellEnd"/>
      <w:r w:rsidRPr="00DE75D8">
        <w:rPr>
          <w:rFonts w:ascii="Arial" w:hAnsi="Arial" w:cs="Arial"/>
          <w:sz w:val="22"/>
          <w:szCs w:val="22"/>
        </w:rPr>
        <w:t>.: 1068465001/5500</w:t>
      </w:r>
      <w:proofErr w:type="gramEnd"/>
      <w:r w:rsidRPr="00DE75D8">
        <w:rPr>
          <w:rFonts w:ascii="Arial" w:hAnsi="Arial" w:cs="Arial"/>
          <w:sz w:val="22"/>
          <w:szCs w:val="22"/>
        </w:rPr>
        <w:t xml:space="preserve">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Autorizace: 0007069 </w:t>
      </w:r>
    </w:p>
    <w:p w:rsidR="00A91CD0" w:rsidRPr="00DE75D8" w:rsidRDefault="00A91CD0" w:rsidP="00A91CD0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Předmět smlouvy </w:t>
      </w:r>
    </w:p>
    <w:p w:rsidR="00DE75D8" w:rsidRPr="00DE75D8" w:rsidRDefault="00A91CD0" w:rsidP="00DE75D8">
      <w:pPr>
        <w:pStyle w:val="Defaul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Příkazník pro příkazce za úplatu zajistí výkon funkce technického dozoru investora a koordinátora bezpečnosti a ochrany zdraví při práci na stavbě na akci </w:t>
      </w:r>
      <w:r w:rsidRPr="00DE75D8">
        <w:rPr>
          <w:rFonts w:ascii="Arial" w:hAnsi="Arial" w:cs="Arial"/>
          <w:b/>
          <w:bCs/>
          <w:sz w:val="22"/>
          <w:szCs w:val="22"/>
        </w:rPr>
        <w:t>„</w:t>
      </w:r>
      <w:r w:rsidR="00DE75D8" w:rsidRPr="00DE75D8">
        <w:rPr>
          <w:rFonts w:ascii="Arial" w:hAnsi="Arial" w:cs="Arial"/>
          <w:b/>
          <w:bCs/>
          <w:sz w:val="22"/>
          <w:szCs w:val="22"/>
        </w:rPr>
        <w:t xml:space="preserve">Stavební úpravy a přístavba budovy </w:t>
      </w:r>
      <w:proofErr w:type="gramStart"/>
      <w:r w:rsidR="00DE75D8" w:rsidRPr="00DE75D8">
        <w:rPr>
          <w:rFonts w:ascii="Arial" w:hAnsi="Arial" w:cs="Arial"/>
          <w:b/>
          <w:bCs/>
          <w:sz w:val="22"/>
          <w:szCs w:val="22"/>
        </w:rPr>
        <w:t>č.p.</w:t>
      </w:r>
      <w:proofErr w:type="gramEnd"/>
      <w:r w:rsidR="00DE75D8" w:rsidRPr="00DE75D8">
        <w:rPr>
          <w:rFonts w:ascii="Arial" w:hAnsi="Arial" w:cs="Arial"/>
          <w:b/>
          <w:bCs/>
          <w:sz w:val="22"/>
          <w:szCs w:val="22"/>
        </w:rPr>
        <w:t xml:space="preserve"> 259 Černošice – etapa dokončení stavby a venkovní úpravy areálu“, </w:t>
      </w:r>
      <w:r w:rsidR="00DE75D8" w:rsidRPr="00DE75D8">
        <w:rPr>
          <w:rFonts w:ascii="Arial" w:hAnsi="Arial" w:cs="Arial"/>
          <w:bCs/>
          <w:sz w:val="22"/>
          <w:szCs w:val="22"/>
        </w:rPr>
        <w:t>dle smlouvy o dílo č. 532/2018 ze dne 29.11.2018.</w:t>
      </w:r>
    </w:p>
    <w:p w:rsidR="00242E05" w:rsidRDefault="00A91CD0" w:rsidP="00DE75D8">
      <w:pPr>
        <w:pStyle w:val="Defaul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Zajištění technického dozoru investora </w:t>
      </w:r>
      <w:r w:rsidRPr="00DE75D8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DE75D8">
        <w:rPr>
          <w:rFonts w:ascii="Arial" w:hAnsi="Arial" w:cs="Arial"/>
          <w:sz w:val="22"/>
          <w:szCs w:val="22"/>
        </w:rPr>
        <w:t>jen ,,TDI</w:t>
      </w:r>
      <w:proofErr w:type="gramEnd"/>
      <w:r w:rsidRPr="00DE75D8">
        <w:rPr>
          <w:rFonts w:ascii="Arial" w:hAnsi="Arial" w:cs="Arial"/>
          <w:sz w:val="22"/>
          <w:szCs w:val="22"/>
        </w:rPr>
        <w:t xml:space="preserve">“) příkazníkem zahrnuje realizaci všech činností ve smyslu „lege </w:t>
      </w:r>
      <w:proofErr w:type="spellStart"/>
      <w:r w:rsidRPr="00DE75D8">
        <w:rPr>
          <w:rFonts w:ascii="Arial" w:hAnsi="Arial" w:cs="Arial"/>
          <w:sz w:val="22"/>
          <w:szCs w:val="22"/>
        </w:rPr>
        <w:t>artis</w:t>
      </w:r>
      <w:proofErr w:type="spellEnd"/>
      <w:r w:rsidRPr="00DE75D8">
        <w:rPr>
          <w:rFonts w:ascii="Arial" w:hAnsi="Arial" w:cs="Arial"/>
          <w:sz w:val="22"/>
          <w:szCs w:val="22"/>
        </w:rPr>
        <w:t xml:space="preserve">“, ať již tyto činnosti budou výslovně příkazcem požadovány či nikoliv. TDI je povinen postupovat při výkonu své funkce iniciativně, upozorňovat příkazce na veškerá rizika ohrožující jeho zájmy vyplývající např. z pochybení zhotovitele stavby, hrozícího prodlení při realizaci předmětu díla, skutečnosti, že příkazce nevyužívá všech možností souvisejících s výkonem funkce TDI apod. V případě pochybností o rozsahu působnosti a kompetencí TDI je osoba technického dozoru </w:t>
      </w:r>
      <w:r w:rsidRPr="00DE75D8">
        <w:rPr>
          <w:rFonts w:ascii="Arial" w:hAnsi="Arial" w:cs="Arial"/>
          <w:sz w:val="22"/>
          <w:szCs w:val="22"/>
        </w:rPr>
        <w:lastRenderedPageBreak/>
        <w:t>investora povinna neprodleně vyrozumět příkazce o tét</w:t>
      </w:r>
      <w:r w:rsidR="00DE75D8" w:rsidRPr="00DE75D8">
        <w:rPr>
          <w:rFonts w:ascii="Arial" w:hAnsi="Arial" w:cs="Arial"/>
          <w:sz w:val="22"/>
          <w:szCs w:val="22"/>
        </w:rPr>
        <w:t xml:space="preserve">o skutečnosti a vyžádat si jeho </w:t>
      </w:r>
      <w:r w:rsidRPr="00DE75D8">
        <w:rPr>
          <w:rFonts w:ascii="Arial" w:hAnsi="Arial" w:cs="Arial"/>
          <w:sz w:val="22"/>
          <w:szCs w:val="22"/>
        </w:rPr>
        <w:t xml:space="preserve">stanovisko k dalšímu postupu. </w:t>
      </w:r>
    </w:p>
    <w:p w:rsidR="00A91CD0" w:rsidRPr="00242E05" w:rsidRDefault="00A91CD0" w:rsidP="00242E05">
      <w:pPr>
        <w:pStyle w:val="Default"/>
        <w:spacing w:after="12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42E05">
        <w:rPr>
          <w:rFonts w:ascii="Arial" w:hAnsi="Arial" w:cs="Arial"/>
          <w:sz w:val="22"/>
          <w:szCs w:val="22"/>
          <w:u w:val="single"/>
        </w:rPr>
        <w:t xml:space="preserve">Výkon funkce TDI obsahuje zejména tyto činnosti: </w:t>
      </w:r>
    </w:p>
    <w:p w:rsidR="00A91CD0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>seznámení se s podklady, podle kterých se připravuje, resp. zajišťuje provádění stavby, obzvláště s projektovou dokumentací, s obsahem smluv souvisejících s předmětem této smlouvy, s obsahem sta</w:t>
      </w:r>
      <w:r w:rsidR="004F3D04">
        <w:rPr>
          <w:rFonts w:ascii="Arial" w:hAnsi="Arial" w:cs="Arial"/>
          <w:sz w:val="22"/>
          <w:szCs w:val="22"/>
        </w:rPr>
        <w:t>v</w:t>
      </w:r>
      <w:r w:rsidRPr="00242E05">
        <w:rPr>
          <w:rFonts w:ascii="Arial" w:hAnsi="Arial" w:cs="Arial"/>
          <w:sz w:val="22"/>
          <w:szCs w:val="22"/>
        </w:rPr>
        <w:t xml:space="preserve">ebního povolení, s doklady, podmínkami a stanovisky dotčených orgánů chránících veřejné zájmy a jinými dokumenty souvisejícími s předmětem plnění dle této smlouvy;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 účast při předání staveniště vybranému zhotoviteli;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organizovat kontrolní dny stavby pravidelně, minimálně 1x týdně (popř. dle pokynů příkazce), za účasti příkazce a ostatních účastníků kontrolního dne vyhotovovat zápisy z těchto kontrolních dnů v aktuální den dle jejich konání, neprodleně po skončení kontrolního dne zajistit podpis příslušného zápisu od všech účastníků a rozesílat tyto zápisy (postačí skenované e-mailem) zúčastněným stranám. Podepsaný originál zápisu obdrží příkazce, příkazník a zhotovitel stavby.;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dozor nad technickou kvalitou, kontrola souladu prováděných prací s projektovou dokumentací, kontrola dodržování předpisů PO, ochrana životního prostředí vč. dodržování hygienických pravidel, pořádku a čistoty na staveništi;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 kontrola věcnosti, cenové správnosti a úplnosti oceňovaných podkladů a faktur, jejich soulad s podmínkami uvedenými ve smlouvě se zhotovitelem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kontrola těch konstrukcí a částí díla, které budou v dalším postupu zakryty nebo se stanou nepřístupnými - vytvářet fotodokumentaci všech zakrytých částí díla, zajištění fotodokumentace stávajícího stavu nejbližšího okolí stavby před započetím prací (ploty, podezdívky, vjezdy, příjezdové komunikace na staveniště atd.);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spolupráce s projektantem stavby a s jeho pracovníky, kteří vykonávají autorský dozor při zajišťování souladu realizovaného díla s projektovou dokumentací;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 spolupráce s projektantem a se zhotovitelem stavby při provádění nebo navrhování opatření na odstranění případných vad projektové dokumentace;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účast při provádění předepsaných zkoušek materiálů, konstrukcí a prací, které provádí zhotovitel, provádění kontroly jejich výsledků a dokladů, které prokazují kvalitu prováděných prací a dodávek (atesty, protokoly, certifikáty, prohlášení o shodě výrobků apod.);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lastRenderedPageBreak/>
        <w:t xml:space="preserve">kontrola vedení stavebního deníku v souladu s podmínkami uvedenými ve smlouvě se zhotovitelem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uplatnění námětů směřujících ke zhospodárnění budoucího provozu (užívání) dokončené stavby, dohled nad prováděním změn provádění stavby a řízení s tím souvisejících;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kontrola postupu prací a dodržování termínů podle časového plánu stavby a kontrola dodržování ustanovení smlouvy o dílo se zhotovitelem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příprava podkladů pro odevzdání a převzetí stavby nebo jejích částí, účast na jednáních o odevzdání a převzetí; </w:t>
      </w:r>
    </w:p>
    <w:p w:rsidR="00242E05" w:rsidRDefault="00A91CD0" w:rsidP="00DE75D8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>zajištění bezodkladné informovanosti příkazce o všech závažných okolnostech týkajících se činnosti TDI dle tohoto článku;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kontrola odstraňování vad a nedodělků zjištěných při přebírání díla v dohodnutých termínech;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provádění kontrolních prohlídek stavby min. 2x týdně (mimo režim kontrolních dnů); o každé provedené prohlídce stavby provede TDI zápis do stavebního deníku s uvedením času a data prohlídky a zjištěného stavu kontrolované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účast na jednáních a konzultacích s orgány vykonávajícími státní dozor a správní dozor;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kontrola vyklizení staveniště zhotovitelem stavby v termínech stanovených smlouvou se zhotovitelem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spolupráce s příkazcem po dokončení stavby spočívající v pravidelných kontrolách stavby po celou dobu záruky poskytnuté zhotovitelem stavby a spolupráce a součinnost s příkazcem při odstraňování reklamovaných vad díla po celou dobu trvání záruky dle smlouvy se zhotovitelem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kontrola výkresů skutečného provedení stavby;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>provádění dalších potřebných úkonů v rámci inženýrské činnosti po dokončení a převzetí</w:t>
      </w:r>
      <w:r w:rsidR="00045E52">
        <w:rPr>
          <w:rFonts w:ascii="Arial" w:hAnsi="Arial" w:cs="Arial"/>
          <w:sz w:val="22"/>
          <w:szCs w:val="22"/>
        </w:rPr>
        <w:t xml:space="preserve"> díla podle požadavků příkazce;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účast na přípravě kolaudačního řízení, účast při samotné kolaudaci stavby a spolupráce se zhotovitelem při zajištění veškerých potřebných dokladů; </w:t>
      </w:r>
    </w:p>
    <w:p w:rsid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poskytnutí další potřebné součinnosti dle požadavků mandanta a spolupráce s poskytovatelem dotace dle jeho požadavků; </w:t>
      </w:r>
    </w:p>
    <w:p w:rsidR="00A91CD0" w:rsidRPr="00242E05" w:rsidRDefault="00A91CD0" w:rsidP="00242E05">
      <w:pPr>
        <w:pStyle w:val="Default"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příkazník je povinen TDI vykonávat osobně.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CD0" w:rsidRPr="00DE75D8" w:rsidRDefault="00A91CD0" w:rsidP="00242E05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Zajištění funkce koordinátora bezpečnosti a ochrany zdraví při práci na stavbě </w:t>
      </w:r>
      <w:r w:rsidRPr="00DE75D8">
        <w:rPr>
          <w:rFonts w:ascii="Arial" w:hAnsi="Arial" w:cs="Arial"/>
          <w:sz w:val="22"/>
          <w:szCs w:val="22"/>
        </w:rPr>
        <w:t xml:space="preserve">(dále jen „koordinátor BOZP“) příkazníkem zahrnuje realizaci všech činností ve smyslu „lege </w:t>
      </w:r>
      <w:proofErr w:type="spellStart"/>
      <w:r w:rsidRPr="00DE75D8">
        <w:rPr>
          <w:rFonts w:ascii="Arial" w:hAnsi="Arial" w:cs="Arial"/>
          <w:sz w:val="22"/>
          <w:szCs w:val="22"/>
        </w:rPr>
        <w:t>artis</w:t>
      </w:r>
      <w:proofErr w:type="spellEnd"/>
      <w:r w:rsidRPr="00DE75D8">
        <w:rPr>
          <w:rFonts w:ascii="Arial" w:hAnsi="Arial" w:cs="Arial"/>
          <w:sz w:val="22"/>
          <w:szCs w:val="22"/>
        </w:rPr>
        <w:t xml:space="preserve">“, ať již tyto činnosti budou výslovně příkazcem požadovány či nikoliv. Příkazník prohlašuje, že je odborně způsobilý k výkonu činnosti koordinátora BOZP. Příkazník je při přípravě i v průběhu stavby povinen vykonávat svou činnost svědomitě a s odbornou péčí a důsledně dbát na dodržování všech právních předpisů vztahujících se na provádění staveb s ohledem na zajištění BOZP všemi osobami vykonávajícími pracovní činnosti na stavbě, zejm. zákona č. 309/2006 Sb., zákon o zajištění dalších podmínek bezpečnosti a ochrany zdraví při práci, ve znění pozdějších předpisů, a nařízení vlády č. 591/2006 Sb., o bližších minimálních požadavcích na bezpečnost a ochranu zdraví při práci na staveništích, ve znění pozdějších předpisů (dále jen „nařízení vlády“). </w:t>
      </w:r>
    </w:p>
    <w:p w:rsidR="00A91CD0" w:rsidRPr="00DE75D8" w:rsidRDefault="00A91CD0" w:rsidP="00242E05">
      <w:pPr>
        <w:pStyle w:val="Default"/>
        <w:spacing w:before="120" w:after="12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  <w:u w:val="single"/>
        </w:rPr>
        <w:t>Výkon funkce koordinátora BOZP obsahuje zejména tyto činnosti</w:t>
      </w:r>
      <w:r w:rsidRPr="00DE75D8">
        <w:rPr>
          <w:rFonts w:ascii="Arial" w:hAnsi="Arial" w:cs="Arial"/>
          <w:sz w:val="22"/>
          <w:szCs w:val="22"/>
        </w:rPr>
        <w:t xml:space="preserve">: </w:t>
      </w:r>
    </w:p>
    <w:p w:rsidR="00242E05" w:rsidRDefault="00A91CD0" w:rsidP="00242E05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seznámení se s podklady, podle kterých se připravuje, resp. zajišťuje provádění stavby, obzvláště s projektovou dokumentací, s obsahem smluv souvisejících s předmětem této smlouvy, s obsahem stavebního povolení, s doklady, podmínkami a stanovisky dotčených orgánů chránících veřejné zájmy a jinými dokumenty souvisejícími s předmětem plnění dle této smlouvy; </w:t>
      </w:r>
    </w:p>
    <w:p w:rsidR="00242E05" w:rsidRDefault="00A91CD0" w:rsidP="00242E05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účast při předání stavby vybranému zhotoviteli; </w:t>
      </w:r>
    </w:p>
    <w:p w:rsidR="00242E05" w:rsidRDefault="00A91CD0" w:rsidP="00242E05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vypracování a odeslání oznámení o zahájení prací na příslušný oblastní inspektorát bezpečnosti práce; </w:t>
      </w:r>
    </w:p>
    <w:p w:rsidR="00242E05" w:rsidRDefault="00A91CD0" w:rsidP="00242E05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>vypracování plánu BOZP pro danou stavbu;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2E05">
        <w:rPr>
          <w:rFonts w:ascii="Arial" w:hAnsi="Arial" w:cs="Arial"/>
          <w:sz w:val="22"/>
          <w:szCs w:val="22"/>
        </w:rPr>
        <w:t xml:space="preserve">zajištění splnění požadavků na bezpečnost a ochranu zdraví při práci při provozu a používání strojů a technických zařízení dle přílohy č 2 k nařízení vlády, a dále zajištění splnění požadavků na organizaci práce a pracovní postupy stanovené v příloze č. </w:t>
      </w:r>
      <w:r w:rsidR="00FE082E">
        <w:rPr>
          <w:rFonts w:ascii="Arial" w:hAnsi="Arial" w:cs="Arial"/>
          <w:sz w:val="22"/>
          <w:szCs w:val="22"/>
        </w:rPr>
        <w:t xml:space="preserve">3 </w:t>
      </w:r>
      <w:r w:rsidR="005B51B6">
        <w:rPr>
          <w:rFonts w:ascii="Arial" w:hAnsi="Arial" w:cs="Arial"/>
          <w:sz w:val="22"/>
          <w:szCs w:val="22"/>
        </w:rPr>
        <w:t>k nařízení vlády;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návaznosti, s cílem chránit zdraví fyzických osob, zabraňovat pracovním úrazům a předc</w:t>
      </w:r>
      <w:r w:rsidR="005B51B6">
        <w:rPr>
          <w:rFonts w:ascii="Arial" w:hAnsi="Arial" w:cs="Arial"/>
          <w:sz w:val="22"/>
          <w:szCs w:val="22"/>
        </w:rPr>
        <w:t>házet vzniku nemocí z povolání;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dávat podněty a na vyžádání zhotovitele doporučovat technická řešení nebo opatření k zajištění bezpečnosti a ochrany zdraví při práci pro stanovení pracovních nebo technologických postupů a plánování bezpe</w:t>
      </w:r>
      <w:r w:rsidR="005B51B6">
        <w:rPr>
          <w:rFonts w:ascii="Arial" w:hAnsi="Arial" w:cs="Arial"/>
          <w:sz w:val="22"/>
          <w:szCs w:val="22"/>
        </w:rPr>
        <w:t xml:space="preserve">čného provádění prací, které se </w:t>
      </w:r>
      <w:r w:rsidRPr="00FE082E">
        <w:rPr>
          <w:rFonts w:ascii="Arial" w:hAnsi="Arial" w:cs="Arial"/>
          <w:sz w:val="22"/>
          <w:szCs w:val="22"/>
        </w:rPr>
        <w:t xml:space="preserve">s </w:t>
      </w:r>
      <w:r w:rsidRPr="00FE082E">
        <w:rPr>
          <w:rFonts w:ascii="Arial" w:hAnsi="Arial" w:cs="Arial"/>
          <w:sz w:val="22"/>
          <w:szCs w:val="22"/>
        </w:rPr>
        <w:lastRenderedPageBreak/>
        <w:t>ohledem na věcné a časové vazby při realizaci stavby uskuteční současně nebo na seb</w:t>
      </w:r>
      <w:r w:rsidR="00816385">
        <w:rPr>
          <w:rFonts w:ascii="Arial" w:hAnsi="Arial" w:cs="Arial"/>
          <w:sz w:val="22"/>
          <w:szCs w:val="22"/>
        </w:rPr>
        <w:t>e budou bezprostředně navazovat;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spolupracovat při stanovení času potřebného k bezpečnému provádění j</w:t>
      </w:r>
      <w:r w:rsidR="00816385">
        <w:rPr>
          <w:rFonts w:ascii="Arial" w:hAnsi="Arial" w:cs="Arial"/>
          <w:sz w:val="22"/>
          <w:szCs w:val="22"/>
        </w:rPr>
        <w:t>ednotlivých prací nebo činností;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sledovat provádění prací na stavbě se zaměřením na zjišťování, zda jsou dodržovány požadavky na bezpečnost a ochranu zdraví při práci, upozorňuje na zjištěné nedostatky a požaduje bez zbyt</w:t>
      </w:r>
      <w:r w:rsidR="00816385">
        <w:rPr>
          <w:rFonts w:ascii="Arial" w:hAnsi="Arial" w:cs="Arial"/>
          <w:sz w:val="22"/>
          <w:szCs w:val="22"/>
        </w:rPr>
        <w:t>ečného odkladu zjednání nápravy;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kontrolovat zabezpečení obvodu stavby, včetně vstupu a vjezdu na stavbu s cílem zamezit vs</w:t>
      </w:r>
      <w:r w:rsidR="00816385">
        <w:rPr>
          <w:rFonts w:ascii="Arial" w:hAnsi="Arial" w:cs="Arial"/>
          <w:sz w:val="22"/>
          <w:szCs w:val="22"/>
        </w:rPr>
        <w:t>tup nepovolaným fyzickým osobám;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spolupracovat se zástupci zaměstnanců pro oblast bezpečnosti a ochrany zdraví při práci a s příslušnými odborovými organizacemi, popřípadě s fyzickou osobou provádějící technický dozor stavebníka</w:t>
      </w:r>
      <w:r w:rsidR="00AE43B5">
        <w:rPr>
          <w:rFonts w:ascii="Arial" w:hAnsi="Arial" w:cs="Arial"/>
          <w:sz w:val="22"/>
          <w:szCs w:val="22"/>
        </w:rPr>
        <w:t>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zúčastňovat se kontrolních prohlídek stavby, k níž byl přizván stavebním úřadem podl</w:t>
      </w:r>
      <w:r w:rsidR="00AE43B5">
        <w:rPr>
          <w:rFonts w:ascii="Arial" w:hAnsi="Arial" w:cs="Arial"/>
          <w:sz w:val="22"/>
          <w:szCs w:val="22"/>
        </w:rPr>
        <w:t>e zvláštního právního předpisu;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navrhovat termíny kontrolních dnů k dodržování plánu za účasti zhotovitelů nebo osob jimi pověře</w:t>
      </w:r>
      <w:r w:rsidR="00AE43B5">
        <w:rPr>
          <w:rFonts w:ascii="Arial" w:hAnsi="Arial" w:cs="Arial"/>
          <w:sz w:val="22"/>
          <w:szCs w:val="22"/>
        </w:rPr>
        <w:t>ných a organizuje jejich konání;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 xml:space="preserve">sledovat, zda zhotovitelé dodržují plán a projednává s nimi přijetí opatření a termíny </w:t>
      </w:r>
      <w:r w:rsidR="00AE43B5">
        <w:rPr>
          <w:rFonts w:ascii="Arial" w:hAnsi="Arial" w:cs="Arial"/>
          <w:sz w:val="22"/>
          <w:szCs w:val="22"/>
        </w:rPr>
        <w:t>k nápravě zjištěných nedostatků;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 xml:space="preserve">provádět zápisy o zjištěných nedostatcích v bezpečnosti a ochraně zdraví při práci na stavbě, na něž prokazatelně upozornil zhotovitele, a dále zapisuje údaje o tom, zda a jakým způsobem </w:t>
      </w:r>
      <w:r w:rsidR="00AE43B5">
        <w:rPr>
          <w:rFonts w:ascii="Arial" w:hAnsi="Arial" w:cs="Arial"/>
          <w:sz w:val="22"/>
          <w:szCs w:val="22"/>
        </w:rPr>
        <w:t>byly tyto nedostatky odstraněny;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FE082E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příkazník bude při výkonu své funkce spolupracovat s projektantem stavby a s jeho pracovníky, kteří vykonávají autorský dozor při zajišťování souladu realizovaného díla s projektovou dokumentací a</w:t>
      </w:r>
      <w:r w:rsidR="00AE43B5">
        <w:rPr>
          <w:rFonts w:ascii="Arial" w:hAnsi="Arial" w:cs="Arial"/>
          <w:sz w:val="22"/>
          <w:szCs w:val="22"/>
        </w:rPr>
        <w:t xml:space="preserve"> s technickým dozorem investora;</w:t>
      </w:r>
      <w:r w:rsidRPr="00FE082E">
        <w:rPr>
          <w:rFonts w:ascii="Arial" w:hAnsi="Arial" w:cs="Arial"/>
          <w:sz w:val="22"/>
          <w:szCs w:val="22"/>
        </w:rPr>
        <w:t xml:space="preserve"> </w:t>
      </w:r>
    </w:p>
    <w:p w:rsidR="00A91CD0" w:rsidRDefault="00A91CD0" w:rsidP="00FE082E">
      <w:pPr>
        <w:pStyle w:val="Defaul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82E">
        <w:rPr>
          <w:rFonts w:ascii="Arial" w:hAnsi="Arial" w:cs="Arial"/>
          <w:sz w:val="22"/>
          <w:szCs w:val="22"/>
        </w:rPr>
        <w:t>příkazník poskytne další potřebné součinnosti dle požadavků příkazce a spolupráce s poskytovatelem dotace dle jeho požadavků s ohledem na oblast BOZP.</w:t>
      </w:r>
    </w:p>
    <w:p w:rsidR="00FE082E" w:rsidRDefault="00FE082E" w:rsidP="00FE082E">
      <w:pPr>
        <w:pStyle w:val="Default"/>
        <w:spacing w:after="12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FE082E" w:rsidRDefault="00FE082E" w:rsidP="00FE082E">
      <w:pPr>
        <w:pStyle w:val="Default"/>
        <w:spacing w:after="120" w:line="360" w:lineRule="auto"/>
        <w:ind w:left="792"/>
        <w:jc w:val="center"/>
        <w:rPr>
          <w:rFonts w:ascii="Arial" w:hAnsi="Arial" w:cs="Arial"/>
          <w:b/>
          <w:sz w:val="22"/>
          <w:szCs w:val="22"/>
        </w:rPr>
      </w:pPr>
      <w:r w:rsidRPr="00FE082E">
        <w:rPr>
          <w:rFonts w:ascii="Arial" w:hAnsi="Arial" w:cs="Arial"/>
          <w:b/>
          <w:sz w:val="22"/>
          <w:szCs w:val="22"/>
        </w:rPr>
        <w:t>III.</w:t>
      </w:r>
    </w:p>
    <w:p w:rsidR="00FE082E" w:rsidRDefault="00FE082E" w:rsidP="00FE082E">
      <w:pPr>
        <w:pStyle w:val="Default"/>
        <w:spacing w:after="120" w:line="360" w:lineRule="auto"/>
        <w:ind w:left="7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Lhůty k plnění </w:t>
      </w:r>
    </w:p>
    <w:p w:rsidR="00246E13" w:rsidRDefault="00FE082E" w:rsidP="00246E13">
      <w:pPr>
        <w:pStyle w:val="Defaul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>Smlouva je sj</w:t>
      </w:r>
      <w:r w:rsidR="00F825F1">
        <w:rPr>
          <w:rFonts w:ascii="Arial" w:hAnsi="Arial" w:cs="Arial"/>
          <w:sz w:val="22"/>
          <w:szCs w:val="22"/>
        </w:rPr>
        <w:t xml:space="preserve">ednaná na dobu určitou, a to ode dne podpisu smlouvy </w:t>
      </w:r>
      <w:r>
        <w:rPr>
          <w:rFonts w:ascii="Arial" w:hAnsi="Arial" w:cs="Arial"/>
          <w:sz w:val="22"/>
          <w:szCs w:val="22"/>
        </w:rPr>
        <w:t xml:space="preserve">do dokončení stavby. </w:t>
      </w:r>
    </w:p>
    <w:p w:rsidR="00FE082E" w:rsidRPr="00246E13" w:rsidRDefault="00FE082E" w:rsidP="00246E13">
      <w:pPr>
        <w:pStyle w:val="Defaul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E13">
        <w:rPr>
          <w:rFonts w:ascii="Arial" w:hAnsi="Arial" w:cs="Arial"/>
          <w:sz w:val="22"/>
          <w:szCs w:val="22"/>
        </w:rPr>
        <w:lastRenderedPageBreak/>
        <w:t xml:space="preserve">Dokončení stavby se dle tohoto článku rozumí </w:t>
      </w:r>
      <w:r w:rsidR="00896125" w:rsidRPr="00246E13">
        <w:rPr>
          <w:rFonts w:ascii="Arial" w:hAnsi="Arial" w:cs="Arial"/>
          <w:sz w:val="22"/>
          <w:szCs w:val="22"/>
        </w:rPr>
        <w:t xml:space="preserve">den předání a převzetí řádně a úplně provedené stavby dle projektové dokumentace ve smyslu smlouvy o dílo č. 532/2018 ze dne </w:t>
      </w:r>
      <w:proofErr w:type="gramStart"/>
      <w:r w:rsidR="00896125" w:rsidRPr="00246E13">
        <w:rPr>
          <w:rFonts w:ascii="Arial" w:hAnsi="Arial" w:cs="Arial"/>
          <w:sz w:val="22"/>
          <w:szCs w:val="22"/>
        </w:rPr>
        <w:t>29.11.2018</w:t>
      </w:r>
      <w:proofErr w:type="gramEnd"/>
      <w:r w:rsidR="00896125" w:rsidRPr="00246E13">
        <w:rPr>
          <w:rFonts w:ascii="Arial" w:hAnsi="Arial" w:cs="Arial"/>
          <w:sz w:val="22"/>
          <w:szCs w:val="22"/>
        </w:rPr>
        <w:t>, včetně souvisejících prací a dodávek a předání všech nezbytných dokladů. Smlouva o dílo č. 532/2018</w:t>
      </w:r>
      <w:r w:rsidR="00EC07FD" w:rsidRPr="00246E13">
        <w:rPr>
          <w:rFonts w:ascii="Arial" w:hAnsi="Arial" w:cs="Arial"/>
          <w:sz w:val="22"/>
          <w:szCs w:val="22"/>
        </w:rPr>
        <w:t xml:space="preserve"> je jako Příloha č. 1 nedílnou součástí této smlouvy.</w:t>
      </w:r>
      <w:r w:rsidRPr="00246E13">
        <w:rPr>
          <w:rFonts w:ascii="Arial" w:hAnsi="Arial" w:cs="Arial"/>
          <w:sz w:val="22"/>
          <w:szCs w:val="22"/>
        </w:rPr>
        <w:t xml:space="preserve"> </w:t>
      </w:r>
    </w:p>
    <w:p w:rsidR="00FE082E" w:rsidRPr="00DE75D8" w:rsidRDefault="00FE082E" w:rsidP="00FE082E">
      <w:pPr>
        <w:pStyle w:val="Default"/>
        <w:spacing w:after="120"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>IV.</w:t>
      </w:r>
    </w:p>
    <w:p w:rsidR="00FE082E" w:rsidRPr="00DE75D8" w:rsidRDefault="00FE082E" w:rsidP="00FE082E">
      <w:pPr>
        <w:pStyle w:val="Default"/>
        <w:spacing w:after="120"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>Cena za výkon funkce TDI a koordinátora BOZP</w:t>
      </w:r>
    </w:p>
    <w:p w:rsidR="00FE082E" w:rsidRPr="006C2249" w:rsidRDefault="00FE082E" w:rsidP="00FE082E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>Smluvní strany se dohodly, že cen</w:t>
      </w:r>
      <w:r w:rsidR="00AE43B5">
        <w:rPr>
          <w:rFonts w:ascii="Arial" w:hAnsi="Arial" w:cs="Arial"/>
          <w:sz w:val="22"/>
          <w:szCs w:val="22"/>
        </w:rPr>
        <w:t xml:space="preserve">a za plnění činností dle čl. 2 odst. 2 </w:t>
      </w:r>
      <w:r w:rsidRPr="00DE75D8">
        <w:rPr>
          <w:rFonts w:ascii="Arial" w:hAnsi="Arial" w:cs="Arial"/>
          <w:sz w:val="22"/>
          <w:szCs w:val="22"/>
        </w:rPr>
        <w:t xml:space="preserve">(TDI) bude ve výši </w:t>
      </w:r>
      <w:r w:rsidR="006C2249" w:rsidRPr="006C2249">
        <w:rPr>
          <w:rFonts w:ascii="Arial" w:hAnsi="Arial" w:cs="Arial"/>
          <w:b/>
          <w:bCs/>
          <w:sz w:val="22"/>
          <w:szCs w:val="22"/>
        </w:rPr>
        <w:t>48.400</w:t>
      </w:r>
      <w:r w:rsidRPr="006C2249">
        <w:rPr>
          <w:rFonts w:ascii="Arial" w:hAnsi="Arial" w:cs="Arial"/>
          <w:b/>
          <w:bCs/>
          <w:sz w:val="22"/>
          <w:szCs w:val="22"/>
        </w:rPr>
        <w:t xml:space="preserve"> Kč bez DPH </w:t>
      </w:r>
      <w:r w:rsidRPr="006C2249">
        <w:rPr>
          <w:rFonts w:ascii="Arial" w:hAnsi="Arial" w:cs="Arial"/>
          <w:sz w:val="22"/>
          <w:szCs w:val="22"/>
        </w:rPr>
        <w:t xml:space="preserve">měsíčně a </w:t>
      </w:r>
      <w:r w:rsidR="006C2249" w:rsidRPr="006C2249">
        <w:rPr>
          <w:rFonts w:ascii="Arial" w:hAnsi="Arial" w:cs="Arial"/>
          <w:b/>
          <w:bCs/>
          <w:sz w:val="22"/>
          <w:szCs w:val="22"/>
        </w:rPr>
        <w:t>58.564</w:t>
      </w:r>
      <w:r w:rsidRPr="006C2249">
        <w:rPr>
          <w:rFonts w:ascii="Arial" w:hAnsi="Arial" w:cs="Arial"/>
          <w:b/>
          <w:bCs/>
          <w:sz w:val="22"/>
          <w:szCs w:val="22"/>
        </w:rPr>
        <w:t xml:space="preserve"> Kč včetně DPH </w:t>
      </w:r>
      <w:r w:rsidRPr="006C2249">
        <w:rPr>
          <w:rFonts w:ascii="Arial" w:hAnsi="Arial" w:cs="Arial"/>
          <w:sz w:val="22"/>
          <w:szCs w:val="22"/>
        </w:rPr>
        <w:t xml:space="preserve">měsíčně. </w:t>
      </w:r>
    </w:p>
    <w:p w:rsidR="00FE082E" w:rsidRPr="006C2249" w:rsidRDefault="00FE082E" w:rsidP="00FE082E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2249">
        <w:rPr>
          <w:rFonts w:ascii="Arial" w:hAnsi="Arial" w:cs="Arial"/>
          <w:sz w:val="22"/>
          <w:szCs w:val="22"/>
        </w:rPr>
        <w:t>Smluvní strany se dohodly, že cen</w:t>
      </w:r>
      <w:r w:rsidR="00AE43B5" w:rsidRPr="006C2249">
        <w:rPr>
          <w:rFonts w:ascii="Arial" w:hAnsi="Arial" w:cs="Arial"/>
          <w:sz w:val="22"/>
          <w:szCs w:val="22"/>
        </w:rPr>
        <w:t>a za plnění činností dle čl. 2 odst. 3</w:t>
      </w:r>
      <w:r w:rsidRPr="006C2249">
        <w:rPr>
          <w:rFonts w:ascii="Arial" w:hAnsi="Arial" w:cs="Arial"/>
          <w:sz w:val="22"/>
          <w:szCs w:val="22"/>
        </w:rPr>
        <w:t xml:space="preserve"> (koordinátor BOZP) bude ve výši </w:t>
      </w:r>
      <w:r w:rsidR="00F825F1" w:rsidRPr="006C2249">
        <w:rPr>
          <w:rFonts w:ascii="Arial" w:hAnsi="Arial" w:cs="Arial"/>
          <w:b/>
          <w:bCs/>
          <w:sz w:val="22"/>
          <w:szCs w:val="22"/>
        </w:rPr>
        <w:t xml:space="preserve">10 </w:t>
      </w:r>
      <w:r w:rsidR="006C2249" w:rsidRPr="006C2249">
        <w:rPr>
          <w:rFonts w:ascii="Arial" w:hAnsi="Arial" w:cs="Arial"/>
          <w:b/>
          <w:bCs/>
          <w:sz w:val="22"/>
          <w:szCs w:val="22"/>
        </w:rPr>
        <w:t>6</w:t>
      </w:r>
      <w:r w:rsidR="008907D0" w:rsidRPr="006C2249">
        <w:rPr>
          <w:rFonts w:ascii="Arial" w:hAnsi="Arial" w:cs="Arial"/>
          <w:b/>
          <w:bCs/>
          <w:sz w:val="22"/>
          <w:szCs w:val="22"/>
        </w:rPr>
        <w:t>00</w:t>
      </w:r>
      <w:r w:rsidRPr="006C2249">
        <w:rPr>
          <w:rFonts w:ascii="Arial" w:hAnsi="Arial" w:cs="Arial"/>
          <w:b/>
          <w:bCs/>
          <w:sz w:val="22"/>
          <w:szCs w:val="22"/>
        </w:rPr>
        <w:t xml:space="preserve"> Kč bez DPH </w:t>
      </w:r>
      <w:r w:rsidRPr="006C2249">
        <w:rPr>
          <w:rFonts w:ascii="Arial" w:hAnsi="Arial" w:cs="Arial"/>
          <w:sz w:val="22"/>
          <w:szCs w:val="22"/>
        </w:rPr>
        <w:t xml:space="preserve">měsíčně a </w:t>
      </w:r>
      <w:r w:rsidR="006C2249" w:rsidRPr="006C2249">
        <w:rPr>
          <w:rFonts w:ascii="Arial" w:hAnsi="Arial" w:cs="Arial"/>
          <w:b/>
          <w:bCs/>
          <w:sz w:val="22"/>
          <w:szCs w:val="22"/>
        </w:rPr>
        <w:t>12.826</w:t>
      </w:r>
      <w:r w:rsidRPr="006C2249">
        <w:rPr>
          <w:rFonts w:ascii="Arial" w:hAnsi="Arial" w:cs="Arial"/>
          <w:b/>
          <w:bCs/>
          <w:sz w:val="22"/>
          <w:szCs w:val="22"/>
        </w:rPr>
        <w:t xml:space="preserve"> Kč včetně DPH </w:t>
      </w:r>
      <w:r w:rsidRPr="006C2249">
        <w:rPr>
          <w:rFonts w:ascii="Arial" w:hAnsi="Arial" w:cs="Arial"/>
          <w:sz w:val="22"/>
          <w:szCs w:val="22"/>
        </w:rPr>
        <w:t xml:space="preserve">měsíčně. </w:t>
      </w:r>
    </w:p>
    <w:p w:rsidR="00FE082E" w:rsidRPr="00AE43B5" w:rsidRDefault="00FE082E" w:rsidP="00FE082E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2249">
        <w:rPr>
          <w:rFonts w:ascii="Arial" w:hAnsi="Arial" w:cs="Arial"/>
          <w:sz w:val="22"/>
          <w:szCs w:val="22"/>
        </w:rPr>
        <w:t>Cena celkem za výkon funkce TDI</w:t>
      </w:r>
      <w:r w:rsidR="00AE43B5" w:rsidRPr="006C2249">
        <w:rPr>
          <w:rFonts w:ascii="Arial" w:hAnsi="Arial" w:cs="Arial"/>
          <w:sz w:val="22"/>
          <w:szCs w:val="22"/>
        </w:rPr>
        <w:t xml:space="preserve"> a koordinátora BOZP dle čl. 2 odst. 1</w:t>
      </w:r>
      <w:r w:rsidRPr="006C2249">
        <w:rPr>
          <w:rFonts w:ascii="Arial" w:hAnsi="Arial" w:cs="Arial"/>
          <w:sz w:val="22"/>
          <w:szCs w:val="22"/>
        </w:rPr>
        <w:t xml:space="preserve"> činí </w:t>
      </w:r>
      <w:r w:rsidR="006C2249" w:rsidRPr="006C2249">
        <w:rPr>
          <w:rFonts w:ascii="Arial" w:hAnsi="Arial" w:cs="Arial"/>
          <w:b/>
          <w:bCs/>
          <w:sz w:val="22"/>
          <w:szCs w:val="22"/>
        </w:rPr>
        <w:t>59.000</w:t>
      </w:r>
      <w:r w:rsidRPr="006C2249">
        <w:rPr>
          <w:rFonts w:ascii="Arial" w:hAnsi="Arial" w:cs="Arial"/>
          <w:b/>
          <w:bCs/>
          <w:sz w:val="22"/>
          <w:szCs w:val="22"/>
        </w:rPr>
        <w:t xml:space="preserve"> Kč bez DPH </w:t>
      </w:r>
      <w:r w:rsidRPr="006C2249">
        <w:rPr>
          <w:rFonts w:ascii="Arial" w:hAnsi="Arial" w:cs="Arial"/>
          <w:sz w:val="22"/>
          <w:szCs w:val="22"/>
        </w:rPr>
        <w:t xml:space="preserve">měsíčně a </w:t>
      </w:r>
      <w:r w:rsidR="006C2249" w:rsidRPr="006C2249">
        <w:rPr>
          <w:rFonts w:ascii="Arial" w:hAnsi="Arial" w:cs="Arial"/>
          <w:b/>
          <w:bCs/>
          <w:sz w:val="22"/>
          <w:szCs w:val="22"/>
        </w:rPr>
        <w:t>71.390</w:t>
      </w:r>
      <w:r w:rsidR="008907D0" w:rsidRPr="006C22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2249">
        <w:rPr>
          <w:rFonts w:ascii="Arial" w:hAnsi="Arial" w:cs="Arial"/>
          <w:b/>
          <w:bCs/>
          <w:sz w:val="22"/>
          <w:szCs w:val="22"/>
        </w:rPr>
        <w:t xml:space="preserve">Kč včetně DPH </w:t>
      </w:r>
      <w:r w:rsidRPr="006C2249">
        <w:rPr>
          <w:rFonts w:ascii="Arial" w:hAnsi="Arial" w:cs="Arial"/>
          <w:sz w:val="22"/>
          <w:szCs w:val="22"/>
        </w:rPr>
        <w:t xml:space="preserve">měsíčně. </w:t>
      </w:r>
      <w:r w:rsidRPr="00AE43B5">
        <w:rPr>
          <w:rFonts w:ascii="Arial" w:hAnsi="Arial" w:cs="Arial"/>
          <w:sz w:val="22"/>
          <w:szCs w:val="22"/>
        </w:rPr>
        <w:t xml:space="preserve">Tato cena je cenou úplnou a nepřekročitelnou a zahrnuje veškeré náklady související s výkonem požadovaných činností TDI a koordinátora BOZP. Příkazník nemá nárok na jakékoliv další úhrady v souvislosti s plněním povinností dle této smlouvy, s výjimkou případné náhrady správních poplatků, které příkazník vynaložil v souvislosti s obstaráváním správních rozhodnutí pro příkazce. </w:t>
      </w:r>
    </w:p>
    <w:p w:rsidR="00FE082E" w:rsidRPr="006C2249" w:rsidRDefault="00FE082E" w:rsidP="00FE082E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2249">
        <w:rPr>
          <w:rFonts w:ascii="Arial" w:hAnsi="Arial" w:cs="Arial"/>
          <w:sz w:val="22"/>
          <w:szCs w:val="22"/>
        </w:rPr>
        <w:t xml:space="preserve">Příkazník vystaví 1x za měsíc fakturu za činnost TDI na pevnou měsíční částku uvedenou v čl. 4.1 a 1x za měsíc fakturu za činnost koordinátora BOZP na pevnou měsíční částku uvedenou v čl. 4.2. Konečné faktury za obě vykonávané činnosti budou vystaveny po dokončení celé stavby ve smyslu kap. III., čl. 3.1 této smlouvy. U každé faktury bude doložena specifikace činnosti za fakturované období odsouhlasená a potvrzená příkazcem. </w:t>
      </w:r>
    </w:p>
    <w:p w:rsidR="00FE082E" w:rsidRPr="00DE75D8" w:rsidRDefault="00FE082E" w:rsidP="00FE082E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Faktura je splatná do 30 dnů ode dne jejího prokazatelného doručení. </w:t>
      </w:r>
    </w:p>
    <w:p w:rsidR="00FE082E" w:rsidRPr="003E0004" w:rsidRDefault="00FE082E" w:rsidP="003E0004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>Faktura musí mít náležitosti daňového dokladu dle platných právních předpisů. Pokud nebude mít faktura všechny náležitosti je příkazce oprávněn ji vrátit příkazníkovi a požadovat vystavení nového řádného daňového účetního dokladu (faktury). Počínaje dnem prokazatelného doručení opraveného daňového účetního dokladu (faktury) příkazci začne plynout nová lhůta splatnosti.</w:t>
      </w:r>
    </w:p>
    <w:p w:rsidR="00FE082E" w:rsidRPr="00FE082E" w:rsidRDefault="00FE082E" w:rsidP="00FE082E">
      <w:pPr>
        <w:pStyle w:val="Default"/>
        <w:spacing w:after="120" w:line="360" w:lineRule="auto"/>
        <w:ind w:left="792"/>
        <w:jc w:val="center"/>
        <w:rPr>
          <w:rFonts w:ascii="Arial" w:hAnsi="Arial" w:cs="Arial"/>
          <w:b/>
          <w:sz w:val="22"/>
          <w:szCs w:val="22"/>
        </w:rPr>
      </w:pP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pageBreakBefore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lastRenderedPageBreak/>
        <w:t xml:space="preserve">V. </w:t>
      </w: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Povinnosti příkazce </w:t>
      </w:r>
    </w:p>
    <w:p w:rsidR="00A91CD0" w:rsidRPr="00DE75D8" w:rsidRDefault="00A91CD0" w:rsidP="00F825F1">
      <w:pPr>
        <w:pStyle w:val="Defaul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>Příkazce je povinen poskytnout příkazníkovi informace</w:t>
      </w:r>
      <w:r w:rsidR="00F825F1">
        <w:rPr>
          <w:rFonts w:ascii="Arial" w:hAnsi="Arial" w:cs="Arial"/>
          <w:sz w:val="22"/>
          <w:szCs w:val="22"/>
        </w:rPr>
        <w:t xml:space="preserve"> a dokumenty potřebné pro výkon </w:t>
      </w:r>
      <w:r w:rsidRPr="00DE75D8">
        <w:rPr>
          <w:rFonts w:ascii="Arial" w:hAnsi="Arial" w:cs="Arial"/>
          <w:sz w:val="22"/>
          <w:szCs w:val="22"/>
        </w:rPr>
        <w:t xml:space="preserve">TDI a koordinátora BOZP, a to zejména: </w:t>
      </w:r>
    </w:p>
    <w:p w:rsidR="00A91CD0" w:rsidRDefault="00A91CD0" w:rsidP="00F825F1">
      <w:pPr>
        <w:pStyle w:val="Defaul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veškeré potřebné informace technického a bezpečnostního rázu – projekty včetně změn a doplňků, výsledky zkoušek, zápisy z technických jednání </w:t>
      </w:r>
    </w:p>
    <w:p w:rsidR="00F825F1" w:rsidRDefault="00A91CD0" w:rsidP="00F825F1">
      <w:pPr>
        <w:pStyle w:val="Defaul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F1">
        <w:rPr>
          <w:rFonts w:ascii="Arial" w:hAnsi="Arial" w:cs="Arial"/>
          <w:sz w:val="22"/>
          <w:szCs w:val="22"/>
        </w:rPr>
        <w:t xml:space="preserve">kopie všech dokladů týkajících se realizace stavby (územní rozhodnutí, stavební povolení, vyjádření dotčených orgánů) </w:t>
      </w:r>
    </w:p>
    <w:p w:rsidR="00F825F1" w:rsidRDefault="00A91CD0" w:rsidP="00F825F1">
      <w:pPr>
        <w:pStyle w:val="Defaul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F1">
        <w:rPr>
          <w:rFonts w:ascii="Arial" w:hAnsi="Arial" w:cs="Arial"/>
          <w:sz w:val="22"/>
          <w:szCs w:val="22"/>
        </w:rPr>
        <w:t xml:space="preserve">informace o vlivu činnosti třetí osoby na průběh realizace stavby, o věcných břemenech a právech a závazcích třetích osob </w:t>
      </w:r>
    </w:p>
    <w:p w:rsidR="00F825F1" w:rsidRDefault="00A91CD0" w:rsidP="00F825F1">
      <w:pPr>
        <w:pStyle w:val="Defaul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F1">
        <w:rPr>
          <w:rFonts w:ascii="Arial" w:hAnsi="Arial" w:cs="Arial"/>
          <w:sz w:val="22"/>
          <w:szCs w:val="22"/>
        </w:rPr>
        <w:t xml:space="preserve">informace o bezpečnostních specificích a případné přítomnosti dalších osob v místě provádění zakázky (pracovníků příkazce a třetích osob) </w:t>
      </w:r>
    </w:p>
    <w:p w:rsidR="00A91CD0" w:rsidRPr="00F825F1" w:rsidRDefault="00A91CD0" w:rsidP="00DE75D8">
      <w:pPr>
        <w:pStyle w:val="Defaul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F1">
        <w:rPr>
          <w:rFonts w:ascii="Arial" w:hAnsi="Arial" w:cs="Arial"/>
          <w:sz w:val="22"/>
          <w:szCs w:val="22"/>
        </w:rPr>
        <w:t xml:space="preserve">smlouvu o dílo včetně rozpočtu a případných dodatků </w:t>
      </w:r>
    </w:p>
    <w:p w:rsidR="00A91CD0" w:rsidRDefault="00A91CD0" w:rsidP="00F825F1">
      <w:pPr>
        <w:pStyle w:val="Defaul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Dále je příkazce povinen seznámit příkazníka se všemi skutečnostmi, které mohou ovlivnit průběh a realizaci stavby a přizvat jej na všechna jednání o technickém řešení stavby. </w:t>
      </w:r>
    </w:p>
    <w:p w:rsidR="00F825F1" w:rsidRDefault="00A91CD0" w:rsidP="008907D0">
      <w:pPr>
        <w:pStyle w:val="Defaul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F1">
        <w:rPr>
          <w:rFonts w:ascii="Arial" w:hAnsi="Arial" w:cs="Arial"/>
          <w:sz w:val="22"/>
          <w:szCs w:val="22"/>
        </w:rPr>
        <w:t>Příkazce se zavazuje, že nebude od příkazníka vyžadovat činnosti, které by byly v rozporu s platnými právními předpisy ČR.</w:t>
      </w:r>
    </w:p>
    <w:p w:rsidR="00A91CD0" w:rsidRPr="00F825F1" w:rsidRDefault="00A91CD0" w:rsidP="00F825F1">
      <w:pPr>
        <w:pStyle w:val="Default"/>
        <w:spacing w:after="120" w:line="360" w:lineRule="auto"/>
        <w:ind w:left="501"/>
        <w:jc w:val="both"/>
        <w:rPr>
          <w:rFonts w:ascii="Arial" w:hAnsi="Arial" w:cs="Arial"/>
          <w:sz w:val="22"/>
          <w:szCs w:val="22"/>
        </w:rPr>
      </w:pPr>
      <w:r w:rsidRPr="00F825F1">
        <w:rPr>
          <w:rFonts w:ascii="Arial" w:hAnsi="Arial" w:cs="Arial"/>
          <w:sz w:val="22"/>
          <w:szCs w:val="22"/>
        </w:rPr>
        <w:t xml:space="preserve"> </w:t>
      </w: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VI. </w:t>
      </w: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Povinnosti příkazníka 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>Příkazník je</w:t>
      </w:r>
      <w:r w:rsidR="00F06F60">
        <w:rPr>
          <w:rFonts w:ascii="Arial" w:hAnsi="Arial" w:cs="Arial"/>
          <w:sz w:val="22"/>
          <w:szCs w:val="22"/>
        </w:rPr>
        <w:t xml:space="preserve"> povinen hájit zájmy příkazce. 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Příkazník je povinen postupovat při výkonu TDI a koordinátora BOZP s odbornou péčí, respektovat veškerá ustanovení souvisejících platných právních předpisů. 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>Příkazník je povinen vykonávat činnosti dle pokynů příkazce. V případě, že jsou pokyny nevhodné nebo neúplné, je povinen na to příkazce upozornit a splnit takový pokyn jen tehdy, když na něm příkazce trvá. Při nesplnění povinno</w:t>
      </w:r>
      <w:r w:rsidR="00F825F1">
        <w:rPr>
          <w:rFonts w:ascii="Arial" w:hAnsi="Arial" w:cs="Arial"/>
          <w:sz w:val="22"/>
          <w:szCs w:val="22"/>
        </w:rPr>
        <w:t>stí uvedených v tomto článku</w:t>
      </w:r>
      <w:r w:rsidRPr="00F06F60">
        <w:rPr>
          <w:rFonts w:ascii="Arial" w:hAnsi="Arial" w:cs="Arial"/>
          <w:sz w:val="22"/>
          <w:szCs w:val="22"/>
        </w:rPr>
        <w:t xml:space="preserve"> odpovídá příkazce za škodu z toho vzešlou. </w:t>
      </w:r>
    </w:p>
    <w:p w:rsidR="00F06F60" w:rsidRDefault="00A91CD0" w:rsidP="003E0004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 xml:space="preserve">Příkazník je povinen příkazce informovat o všech skutečnostech rozhodných pro změnu pokynů. V případě porušení této povinnosti postupuje příkazník de pokynů příkazce, avšak odpovídá i za škodu vzniklou v důsledku nevhodných pokynů. 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lastRenderedPageBreak/>
        <w:t xml:space="preserve">Příkazník je povinen informovat příkazce o průběhu stavby, a to nejméně jedenkrát týdně. 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 xml:space="preserve">Příkazník je povinen se zúčastnit činnosti příkazce související s výkonem TDI a koordinátora BOZP dle této smlouvy a související s realizací stavby v potřebné míře a dále je povinen účastnit se všech jednání, která se týkají výkonu jeho činností, pokud </w:t>
      </w:r>
      <w:r w:rsidR="00F06F60">
        <w:rPr>
          <w:rFonts w:ascii="Arial" w:hAnsi="Arial" w:cs="Arial"/>
          <w:sz w:val="22"/>
          <w:szCs w:val="22"/>
        </w:rPr>
        <w:t>k nim byl prokazatelně přizván.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 xml:space="preserve">Pokud to je nutné pro provádění stavby, zajištění jeho kvality a bezpečnosti, příkazník je povinen vydat pokyn pro provedení odborných posudků a zkoušek. </w:t>
      </w:r>
    </w:p>
    <w:p w:rsidR="00F06F60" w:rsidRDefault="00A91CD0" w:rsidP="003E0004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>Příkazník je povinen předcházet vzniku škod, které mohou vzniknout v</w:t>
      </w:r>
      <w:r w:rsidR="00F06F60">
        <w:rPr>
          <w:rFonts w:ascii="Arial" w:hAnsi="Arial" w:cs="Arial"/>
          <w:sz w:val="22"/>
          <w:szCs w:val="22"/>
        </w:rPr>
        <w:t xml:space="preserve"> souvislosti s prováděním díla.</w:t>
      </w:r>
    </w:p>
    <w:p w:rsid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>Příkazník odpovídá za škodu, která vznikla v důsledku neplnění povinností dle této smlouvy, opomenutí nebo nedbalosti. Škodou se rozumí i sankce uložené orgány státní správy nebo škoda vzniklá třetím osobám v přímé s</w:t>
      </w:r>
      <w:r w:rsidR="00F06F60">
        <w:rPr>
          <w:rFonts w:ascii="Arial" w:hAnsi="Arial" w:cs="Arial"/>
          <w:sz w:val="22"/>
          <w:szCs w:val="22"/>
        </w:rPr>
        <w:t>ouvislosti s prováděním stavby.</w:t>
      </w:r>
    </w:p>
    <w:p w:rsidR="00A91CD0" w:rsidRPr="00F06F60" w:rsidRDefault="00A91CD0" w:rsidP="00F06F60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6F60">
        <w:rPr>
          <w:rFonts w:ascii="Arial" w:hAnsi="Arial" w:cs="Arial"/>
          <w:sz w:val="22"/>
          <w:szCs w:val="22"/>
        </w:rPr>
        <w:t>Příkazník je povinen být pojištěn z odpovědnosti za škodu způsobenou porušením po</w:t>
      </w:r>
      <w:r w:rsidR="008907D0">
        <w:rPr>
          <w:rFonts w:ascii="Arial" w:hAnsi="Arial" w:cs="Arial"/>
          <w:sz w:val="22"/>
          <w:szCs w:val="22"/>
        </w:rPr>
        <w:t>vinností v min. výši 2 000 000</w:t>
      </w:r>
      <w:r w:rsidRPr="00F06F60">
        <w:rPr>
          <w:rFonts w:ascii="Arial" w:hAnsi="Arial" w:cs="Arial"/>
          <w:sz w:val="22"/>
          <w:szCs w:val="22"/>
        </w:rPr>
        <w:t xml:space="preserve"> Kč. Příslušnou smlouvu o pojištění odpovědnosti za škody předloží příkazník před podpisem této příkazní smlouvy.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VII. </w:t>
      </w: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Ukončení platnosti smlouvy </w:t>
      </w:r>
    </w:p>
    <w:p w:rsidR="003D3B0A" w:rsidRDefault="003D3B0A" w:rsidP="003D3B0A">
      <w:pPr>
        <w:pStyle w:val="Default"/>
        <w:numPr>
          <w:ilvl w:val="0"/>
          <w:numId w:val="25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Platnost této smlouvy skončí: </w:t>
      </w:r>
    </w:p>
    <w:p w:rsidR="003D3B0A" w:rsidRDefault="00A91CD0" w:rsidP="008907D0">
      <w:pPr>
        <w:pStyle w:val="Default"/>
        <w:numPr>
          <w:ilvl w:val="0"/>
          <w:numId w:val="2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uplynutím doby dle </w:t>
      </w:r>
      <w:proofErr w:type="spellStart"/>
      <w:proofErr w:type="gramStart"/>
      <w:r w:rsidRPr="00DE75D8">
        <w:rPr>
          <w:rFonts w:ascii="Arial" w:hAnsi="Arial" w:cs="Arial"/>
          <w:sz w:val="22"/>
          <w:szCs w:val="22"/>
        </w:rPr>
        <w:t>čl.III</w:t>
      </w:r>
      <w:proofErr w:type="spellEnd"/>
      <w:proofErr w:type="gramEnd"/>
      <w:r w:rsidRPr="00DE75D8">
        <w:rPr>
          <w:rFonts w:ascii="Arial" w:hAnsi="Arial" w:cs="Arial"/>
          <w:sz w:val="22"/>
          <w:szCs w:val="22"/>
        </w:rPr>
        <w:t xml:space="preserve">. této smlouvy </w:t>
      </w:r>
    </w:p>
    <w:p w:rsidR="00A91CD0" w:rsidRDefault="00A91CD0" w:rsidP="003D3B0A">
      <w:pPr>
        <w:pStyle w:val="Default"/>
        <w:numPr>
          <w:ilvl w:val="0"/>
          <w:numId w:val="2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3D3B0A">
        <w:rPr>
          <w:rFonts w:ascii="Arial" w:hAnsi="Arial" w:cs="Arial"/>
          <w:sz w:val="22"/>
          <w:szCs w:val="22"/>
        </w:rPr>
        <w:t xml:space="preserve"> dohodou smluvních stran </w:t>
      </w:r>
    </w:p>
    <w:p w:rsidR="00A91CD0" w:rsidRPr="003D3B0A" w:rsidRDefault="003E0004" w:rsidP="003D3B0A">
      <w:pPr>
        <w:pStyle w:val="Default"/>
        <w:numPr>
          <w:ilvl w:val="0"/>
          <w:numId w:val="2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3D3B0A">
        <w:rPr>
          <w:rFonts w:ascii="Arial" w:hAnsi="Arial" w:cs="Arial"/>
          <w:sz w:val="22"/>
          <w:szCs w:val="22"/>
        </w:rPr>
        <w:t>výpovědí</w:t>
      </w:r>
      <w:r w:rsidR="00A91CD0" w:rsidRPr="003D3B0A">
        <w:rPr>
          <w:rFonts w:ascii="Arial" w:hAnsi="Arial" w:cs="Arial"/>
          <w:sz w:val="22"/>
          <w:szCs w:val="22"/>
        </w:rPr>
        <w:t xml:space="preserve"> Příkazce je oprávněn smlouvu kdykoliv písemně vypovědět. Výpovědní doba začíná běžet první den kalendářního měsíce následujícího po měsíci, v němž byla druhé straně doručena. Výpovědní doba je jeden měsíc. </w:t>
      </w:r>
    </w:p>
    <w:p w:rsidR="00A91CD0" w:rsidRDefault="00A91CD0" w:rsidP="003D3B0A">
      <w:pPr>
        <w:pStyle w:val="Defaul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Příkazce je oprávněn od smlouvy odstoupit v případě, že příkazník ani po prokazatelném upozornění nevykonává TDI nebo koordinátora BOZP v souladu s touto smlouvou či s instrukcemi příkazce; odstoupení od smlouvy je účinné okamžikem doručení písemného oznámení příkazníkovi. </w:t>
      </w:r>
    </w:p>
    <w:p w:rsidR="00A91CD0" w:rsidRPr="003D3B0A" w:rsidRDefault="00A91CD0" w:rsidP="003D3B0A">
      <w:pPr>
        <w:pStyle w:val="Defaul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D3B0A">
        <w:rPr>
          <w:rFonts w:ascii="Arial" w:hAnsi="Arial" w:cs="Arial"/>
          <w:sz w:val="22"/>
          <w:szCs w:val="22"/>
        </w:rPr>
        <w:t xml:space="preserve">Příkazník je oprávněn smlouvu kdykoli písemně vypovědět, a to ve dvouměsíční výpovědní době. Výpovědní doba začíná běžet první den kalendářního měsíce následujícího po měsíci, v němž byla druhé straně doručena. </w:t>
      </w:r>
    </w:p>
    <w:p w:rsidR="00A91CD0" w:rsidRPr="00DE75D8" w:rsidRDefault="00A91CD0" w:rsidP="00DE75D8">
      <w:pPr>
        <w:pStyle w:val="Default"/>
        <w:spacing w:after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VIII. </w:t>
      </w: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Sankční ujednání </w:t>
      </w:r>
    </w:p>
    <w:p w:rsidR="00A91CD0" w:rsidRDefault="00A91CD0" w:rsidP="0038027A">
      <w:pPr>
        <w:pStyle w:val="Defaul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Příkazník se zavazuje postupovat při plnění pokynů příkazce v souladu s touto smlouvou. </w:t>
      </w:r>
    </w:p>
    <w:p w:rsidR="00A91CD0" w:rsidRPr="0038027A" w:rsidRDefault="00A91CD0" w:rsidP="0038027A">
      <w:pPr>
        <w:pStyle w:val="Defaul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027A">
        <w:rPr>
          <w:rFonts w:ascii="Arial" w:hAnsi="Arial" w:cs="Arial"/>
          <w:sz w:val="22"/>
          <w:szCs w:val="22"/>
        </w:rPr>
        <w:t>V případě, že příkazník poruší povinnosti dle této smlouvy, je příkazce oprávněn žáda</w:t>
      </w:r>
      <w:r w:rsidR="0038027A" w:rsidRPr="0038027A">
        <w:rPr>
          <w:rFonts w:ascii="Arial" w:hAnsi="Arial" w:cs="Arial"/>
          <w:sz w:val="22"/>
          <w:szCs w:val="22"/>
        </w:rPr>
        <w:t xml:space="preserve">t </w:t>
      </w:r>
      <w:r w:rsidR="00F06F60" w:rsidRPr="0038027A">
        <w:rPr>
          <w:rFonts w:ascii="Arial" w:hAnsi="Arial" w:cs="Arial"/>
          <w:sz w:val="22"/>
          <w:szCs w:val="22"/>
        </w:rPr>
        <w:t>smluvní pokutu ve výši 1 000</w:t>
      </w:r>
      <w:r w:rsidRPr="0038027A">
        <w:rPr>
          <w:rFonts w:ascii="Arial" w:hAnsi="Arial" w:cs="Arial"/>
          <w:sz w:val="22"/>
          <w:szCs w:val="22"/>
        </w:rPr>
        <w:t xml:space="preserve"> Kč za každé jednotlivé porušení povinností. </w:t>
      </w:r>
    </w:p>
    <w:p w:rsidR="00A91CD0" w:rsidRPr="00DE75D8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CD0" w:rsidRPr="00DE75D8" w:rsidRDefault="00A91CD0" w:rsidP="003E0004">
      <w:pPr>
        <w:pStyle w:val="Default"/>
        <w:spacing w:after="120" w:line="360" w:lineRule="auto"/>
        <w:ind w:left="705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>IX.</w:t>
      </w:r>
    </w:p>
    <w:p w:rsidR="00A91CD0" w:rsidRPr="00DE75D8" w:rsidRDefault="00A91CD0" w:rsidP="00DE75D8">
      <w:pPr>
        <w:pStyle w:val="Default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Zvláštní ujednání </w:t>
      </w:r>
    </w:p>
    <w:p w:rsid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Tato smlouva je vypracována ve čtyřech vyhotoveních, z nichž každá strana obdrží po dvou vyhotoveních. </w:t>
      </w:r>
    </w:p>
    <w:p w:rsidR="003E0004" w:rsidRDefault="003E0004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 xml:space="preserve"> </w:t>
      </w:r>
      <w:r w:rsidR="00A91CD0" w:rsidRPr="003E0004">
        <w:rPr>
          <w:rFonts w:ascii="Arial" w:hAnsi="Arial" w:cs="Arial"/>
          <w:sz w:val="22"/>
          <w:szCs w:val="22"/>
        </w:rPr>
        <w:t xml:space="preserve">Tuto smlouvu lze měnit, či doplnit pouze písemnými číslovanými dodatky. </w:t>
      </w:r>
    </w:p>
    <w:p w:rsid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 xml:space="preserve">Smlouva nabývá platnosti a účinnosti dnem jejího podpisu. </w:t>
      </w:r>
    </w:p>
    <w:p w:rsid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 xml:space="preserve"> V případě, že nastoupí vyšší moc, nenesou strany odpovědnost za částečné nebo úplné neplnění závazků vyplývajících ze smlouvy. Za vyšší moc se pokládá neodstranitelná událost mimořádné povahy a rozsahu, proti níž nelze včas učinit patřičná opatření. Pokud nastane vyšší moc, jsou strany povinny provést neodkl</w:t>
      </w:r>
      <w:r w:rsidR="003E0004" w:rsidRPr="003E0004">
        <w:rPr>
          <w:rFonts w:ascii="Arial" w:hAnsi="Arial" w:cs="Arial"/>
          <w:sz w:val="22"/>
          <w:szCs w:val="22"/>
        </w:rPr>
        <w:t xml:space="preserve">adně taková opatření, aby byly </w:t>
      </w:r>
      <w:r w:rsidRPr="003E0004">
        <w:rPr>
          <w:rFonts w:ascii="Arial" w:hAnsi="Arial" w:cs="Arial"/>
          <w:sz w:val="22"/>
          <w:szCs w:val="22"/>
        </w:rPr>
        <w:t xml:space="preserve">omezeny, případně vyloučeny škody způsobené neplněním závazku a provést </w:t>
      </w:r>
      <w:r w:rsidR="003E0004" w:rsidRPr="003E0004">
        <w:rPr>
          <w:rFonts w:ascii="Arial" w:hAnsi="Arial" w:cs="Arial"/>
          <w:sz w:val="22"/>
          <w:szCs w:val="22"/>
        </w:rPr>
        <w:t xml:space="preserve">vzájemné majetkové vypořádání. </w:t>
      </w:r>
    </w:p>
    <w:p w:rsid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>Příkazník je ve smyslu § 2 písm. e) zákona č. 320/2001 Sb., o finanční kontrole ve veřejné správě a o změně některých zákonů (zákon o finanční kontrole), ve znění pozdějších předpisů, povinen spolupůsobit při výkonu finanční kontroly</w:t>
      </w:r>
      <w:r w:rsidR="003E0004">
        <w:rPr>
          <w:rFonts w:ascii="Arial" w:hAnsi="Arial" w:cs="Arial"/>
          <w:sz w:val="22"/>
          <w:szCs w:val="22"/>
        </w:rPr>
        <w:t>.</w:t>
      </w:r>
      <w:r w:rsidRPr="003E0004">
        <w:rPr>
          <w:rFonts w:ascii="Arial" w:hAnsi="Arial" w:cs="Arial"/>
          <w:sz w:val="22"/>
          <w:szCs w:val="22"/>
        </w:rPr>
        <w:t xml:space="preserve"> </w:t>
      </w:r>
    </w:p>
    <w:p w:rsid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>Smluvní strany shodně prohlašují, že skutečnosti uvedené v této smlouvě nepokládají za obchodní tajemství ve smyslu § 504 zákona č. 89/2012 Sb., občanský zákoník a tímto udělují souhlas s jejím zveřejněním na interneto</w:t>
      </w:r>
      <w:r w:rsidR="003E0004">
        <w:rPr>
          <w:rFonts w:ascii="Arial" w:hAnsi="Arial" w:cs="Arial"/>
          <w:sz w:val="22"/>
          <w:szCs w:val="22"/>
        </w:rPr>
        <w:t>vých stránkách města Černošice.</w:t>
      </w:r>
    </w:p>
    <w:p w:rsid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 xml:space="preserve">Příkazník bere na vědomí, že příkazce pro realizaci svých bezhotovostních plateb může používat transparentní příjmový a výdajový bankovní účet a v této souvislosti příkazník uděluje souhlas se zveřejněním názvu svého účtu; Příkazník výslovně souhlasí se zveřejněním elektronického obrazu této smlouvy na webových stránkách příkazce. </w:t>
      </w:r>
    </w:p>
    <w:p w:rsidR="001851D7" w:rsidRDefault="001851D7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se dohodly, že zveřejnění této Příkazní smlouvy v registru smluv zajistí příkazce nejpozději do 30 dnů ode dne jeho podpisu poslední ze smluvních stran. Příkazník souhlasí se zveřejněním celého obsahu Příkazní smlouvy v registru smluv.  </w:t>
      </w:r>
    </w:p>
    <w:p w:rsidR="003E0004" w:rsidRDefault="001851D7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(</w:t>
      </w:r>
      <w:r w:rsidR="00A91CD0" w:rsidRPr="003E0004">
        <w:rPr>
          <w:rFonts w:ascii="Arial" w:hAnsi="Arial" w:cs="Arial"/>
          <w:sz w:val="22"/>
          <w:szCs w:val="22"/>
        </w:rPr>
        <w:t>Město Černošice</w:t>
      </w:r>
      <w:r>
        <w:rPr>
          <w:rFonts w:ascii="Arial" w:hAnsi="Arial" w:cs="Arial"/>
          <w:sz w:val="22"/>
          <w:szCs w:val="22"/>
        </w:rPr>
        <w:t>)</w:t>
      </w:r>
      <w:r w:rsidR="00A91CD0" w:rsidRPr="003E0004">
        <w:rPr>
          <w:rFonts w:ascii="Arial" w:hAnsi="Arial" w:cs="Arial"/>
          <w:sz w:val="22"/>
          <w:szCs w:val="22"/>
        </w:rPr>
        <w:t xml:space="preserve"> ve smyslu § 41 odst. 1 zákona č. 128/2000 Sb., o obcích (obecní zřízení), ve znění pozdějších předpisů osvědčuje, že uzavření této smlouvy bylo schváleno Radou </w:t>
      </w:r>
      <w:r>
        <w:rPr>
          <w:rFonts w:ascii="Arial" w:hAnsi="Arial" w:cs="Arial"/>
          <w:sz w:val="22"/>
          <w:szCs w:val="22"/>
        </w:rPr>
        <w:t>m</w:t>
      </w:r>
      <w:r w:rsidR="00A91CD0" w:rsidRPr="003E0004">
        <w:rPr>
          <w:rFonts w:ascii="Arial" w:hAnsi="Arial" w:cs="Arial"/>
          <w:sz w:val="22"/>
          <w:szCs w:val="22"/>
        </w:rPr>
        <w:t>ěsta Černošice na její</w:t>
      </w:r>
      <w:r>
        <w:rPr>
          <w:rFonts w:ascii="Arial" w:hAnsi="Arial" w:cs="Arial"/>
          <w:sz w:val="22"/>
          <w:szCs w:val="22"/>
        </w:rPr>
        <w:t xml:space="preserve"> </w:t>
      </w:r>
      <w:r w:rsidR="006C224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A91CD0" w:rsidRPr="003E0004">
        <w:rPr>
          <w:rFonts w:ascii="Arial" w:hAnsi="Arial" w:cs="Arial"/>
          <w:sz w:val="22"/>
          <w:szCs w:val="22"/>
        </w:rPr>
        <w:t xml:space="preserve"> schůzi konané dne </w:t>
      </w:r>
      <w:proofErr w:type="gramStart"/>
      <w:r w:rsidR="006C2249">
        <w:rPr>
          <w:rFonts w:ascii="Arial" w:hAnsi="Arial" w:cs="Arial"/>
          <w:sz w:val="22"/>
          <w:szCs w:val="22"/>
        </w:rPr>
        <w:t>7.1.2019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91CD0" w:rsidRPr="003E0004">
        <w:rPr>
          <w:rFonts w:ascii="Arial" w:hAnsi="Arial" w:cs="Arial"/>
          <w:sz w:val="22"/>
          <w:szCs w:val="22"/>
        </w:rPr>
        <w:t xml:space="preserve"> tak, jak to vyžaduje § 102 odst. 3 zákona č.128/2000 Sb., o obcích (obecní zřízení), ve znění pozdějších předpisů, čímž je splněna podmínka platnosti tohoto právního jednání. </w:t>
      </w:r>
    </w:p>
    <w:p w:rsidR="00A91CD0" w:rsidRPr="003E0004" w:rsidRDefault="00A91CD0" w:rsidP="003E000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0004">
        <w:rPr>
          <w:rFonts w:ascii="Arial" w:hAnsi="Arial" w:cs="Arial"/>
          <w:sz w:val="22"/>
          <w:szCs w:val="22"/>
        </w:rPr>
        <w:t xml:space="preserve">Smluvní strany po přečtení smlouvy prohlašují, že souhlasí s jejím obsahem, že tato smlouva byla sepsána na základě pravdivých údajů, jejich pravé a svobodné vůle a nebyla vyjednána v tísni, ani za jinak nevýhodných podmínek. Na důkaz toho připojují své podpisy. </w:t>
      </w:r>
    </w:p>
    <w:p w:rsidR="00A91CD0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46E13" w:rsidRDefault="00246E13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Smlouva o dílo </w:t>
      </w:r>
      <w:r w:rsidRPr="00246E13">
        <w:rPr>
          <w:rFonts w:ascii="Arial" w:hAnsi="Arial" w:cs="Arial"/>
          <w:sz w:val="22"/>
          <w:szCs w:val="22"/>
        </w:rPr>
        <w:t>č. 532/2018</w:t>
      </w:r>
      <w:r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29.11.2018</w:t>
      </w:r>
      <w:proofErr w:type="gramEnd"/>
    </w:p>
    <w:p w:rsidR="006651A5" w:rsidRDefault="006651A5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651A5" w:rsidRPr="00DE75D8" w:rsidRDefault="006651A5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V Černošicích dne: </w:t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  <w:t xml:space="preserve">V Praze, dne: </w:t>
      </w: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 xml:space="preserve">…………………………………… </w:t>
      </w: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Mgr. Filip Kořínek </w:t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4F3D04">
        <w:rPr>
          <w:rFonts w:ascii="Arial" w:hAnsi="Arial" w:cs="Arial"/>
          <w:sz w:val="22"/>
          <w:szCs w:val="22"/>
        </w:rPr>
        <w:t>XXXXXXXXXXXXX</w:t>
      </w:r>
    </w:p>
    <w:p w:rsidR="00A91CD0" w:rsidRDefault="00A91CD0" w:rsidP="001851D7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starosta </w:t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 xml:space="preserve"> </w:t>
      </w:r>
      <w:r w:rsidR="001851D7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 xml:space="preserve">jednatel společnosti </w:t>
      </w:r>
    </w:p>
    <w:p w:rsidR="001851D7" w:rsidRDefault="001851D7" w:rsidP="001851D7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1851D7" w:rsidRDefault="001851D7" w:rsidP="001851D7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1851D7" w:rsidRPr="00DE75D8" w:rsidRDefault="001851D7" w:rsidP="001851D7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91CD0" w:rsidRPr="00DE75D8" w:rsidRDefault="00A91CD0" w:rsidP="001851D7">
      <w:pPr>
        <w:pStyle w:val="Default"/>
        <w:spacing w:after="120"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A91CD0" w:rsidRPr="00DE75D8" w:rsidRDefault="004F3D04" w:rsidP="001851D7">
      <w:pPr>
        <w:pStyle w:val="Default"/>
        <w:spacing w:after="120"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</w:t>
      </w:r>
      <w:bookmarkStart w:id="0" w:name="_GoBack"/>
      <w:bookmarkEnd w:id="0"/>
      <w:r w:rsidR="00A91CD0" w:rsidRPr="00DE75D8">
        <w:rPr>
          <w:rFonts w:ascii="Arial" w:hAnsi="Arial" w:cs="Arial"/>
          <w:sz w:val="22"/>
          <w:szCs w:val="22"/>
        </w:rPr>
        <w:t xml:space="preserve"> </w:t>
      </w:r>
    </w:p>
    <w:p w:rsidR="00207942" w:rsidRPr="00DE75D8" w:rsidRDefault="001851D7" w:rsidP="001851D7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1CD0" w:rsidRPr="00DE75D8">
        <w:rPr>
          <w:rFonts w:ascii="Arial" w:hAnsi="Arial" w:cs="Arial"/>
        </w:rPr>
        <w:t>jednatel společnosti</w:t>
      </w:r>
    </w:p>
    <w:sectPr w:rsidR="00207942" w:rsidRPr="00DE75D8" w:rsidSect="00DE75D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D1" w:rsidRDefault="00D11ED1" w:rsidP="00A91CD0">
      <w:pPr>
        <w:spacing w:after="0" w:line="240" w:lineRule="auto"/>
      </w:pPr>
      <w:r>
        <w:separator/>
      </w:r>
    </w:p>
  </w:endnote>
  <w:endnote w:type="continuationSeparator" w:id="0">
    <w:p w:rsidR="00D11ED1" w:rsidRDefault="00D11ED1" w:rsidP="00A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1028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91CD0" w:rsidRPr="00A91CD0" w:rsidRDefault="00A91CD0">
        <w:pPr>
          <w:pStyle w:val="Zpat"/>
          <w:jc w:val="center"/>
          <w:rPr>
            <w:rFonts w:ascii="Arial" w:hAnsi="Arial" w:cs="Arial"/>
          </w:rPr>
        </w:pPr>
        <w:r w:rsidRPr="00A91CD0">
          <w:rPr>
            <w:rFonts w:ascii="Arial" w:hAnsi="Arial" w:cs="Arial"/>
          </w:rPr>
          <w:fldChar w:fldCharType="begin"/>
        </w:r>
        <w:r w:rsidRPr="00A91CD0">
          <w:rPr>
            <w:rFonts w:ascii="Arial" w:hAnsi="Arial" w:cs="Arial"/>
          </w:rPr>
          <w:instrText>PAGE   \* MERGEFORMAT</w:instrText>
        </w:r>
        <w:r w:rsidRPr="00A91CD0">
          <w:rPr>
            <w:rFonts w:ascii="Arial" w:hAnsi="Arial" w:cs="Arial"/>
          </w:rPr>
          <w:fldChar w:fldCharType="separate"/>
        </w:r>
        <w:r w:rsidR="004F3D04">
          <w:rPr>
            <w:rFonts w:ascii="Arial" w:hAnsi="Arial" w:cs="Arial"/>
            <w:noProof/>
          </w:rPr>
          <w:t>10</w:t>
        </w:r>
        <w:r w:rsidRPr="00A91CD0">
          <w:rPr>
            <w:rFonts w:ascii="Arial" w:hAnsi="Arial" w:cs="Arial"/>
          </w:rPr>
          <w:fldChar w:fldCharType="end"/>
        </w:r>
        <w:r w:rsidR="00DB3BCF">
          <w:rPr>
            <w:rFonts w:ascii="Arial" w:hAnsi="Arial" w:cs="Arial"/>
          </w:rPr>
          <w:t>/10</w:t>
        </w:r>
      </w:p>
    </w:sdtContent>
  </w:sdt>
  <w:p w:rsidR="00A91CD0" w:rsidRDefault="00A91C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D1" w:rsidRDefault="00D11ED1" w:rsidP="00A91CD0">
      <w:pPr>
        <w:spacing w:after="0" w:line="240" w:lineRule="auto"/>
      </w:pPr>
      <w:r>
        <w:separator/>
      </w:r>
    </w:p>
  </w:footnote>
  <w:footnote w:type="continuationSeparator" w:id="0">
    <w:p w:rsidR="00D11ED1" w:rsidRDefault="00D11ED1" w:rsidP="00A9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11638D"/>
    <w:multiLevelType w:val="hybridMultilevel"/>
    <w:tmpl w:val="F8170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BB7934"/>
    <w:multiLevelType w:val="hybridMultilevel"/>
    <w:tmpl w:val="FA365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7C9988"/>
    <w:multiLevelType w:val="hybridMultilevel"/>
    <w:tmpl w:val="C3D02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2815D6"/>
    <w:multiLevelType w:val="hybridMultilevel"/>
    <w:tmpl w:val="72EA7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62A3B4"/>
    <w:multiLevelType w:val="hybridMultilevel"/>
    <w:tmpl w:val="23231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2677E1"/>
    <w:multiLevelType w:val="hybridMultilevel"/>
    <w:tmpl w:val="97DA6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902F0C"/>
    <w:multiLevelType w:val="hybridMultilevel"/>
    <w:tmpl w:val="C7F68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C9A7DF"/>
    <w:multiLevelType w:val="hybridMultilevel"/>
    <w:tmpl w:val="F7B2F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8380572"/>
    <w:multiLevelType w:val="hybridMultilevel"/>
    <w:tmpl w:val="23EA4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F60D0A"/>
    <w:multiLevelType w:val="hybridMultilevel"/>
    <w:tmpl w:val="48F2D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1D74EE"/>
    <w:multiLevelType w:val="hybridMultilevel"/>
    <w:tmpl w:val="6C069AB6"/>
    <w:lvl w:ilvl="0" w:tplc="5340275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018E10AE"/>
    <w:multiLevelType w:val="hybridMultilevel"/>
    <w:tmpl w:val="5F2FD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3D159F"/>
    <w:multiLevelType w:val="hybridMultilevel"/>
    <w:tmpl w:val="2196E4CE"/>
    <w:lvl w:ilvl="0" w:tplc="1A52211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0A90707C"/>
    <w:multiLevelType w:val="hybridMultilevel"/>
    <w:tmpl w:val="264EE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27CB0"/>
    <w:multiLevelType w:val="hybridMultilevel"/>
    <w:tmpl w:val="156AF64C"/>
    <w:lvl w:ilvl="0" w:tplc="C706B706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24E6522B"/>
    <w:multiLevelType w:val="hybridMultilevel"/>
    <w:tmpl w:val="D7C09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E6252"/>
    <w:multiLevelType w:val="hybridMultilevel"/>
    <w:tmpl w:val="40D205BE"/>
    <w:lvl w:ilvl="0" w:tplc="21F4160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FA4623C"/>
    <w:multiLevelType w:val="hybridMultilevel"/>
    <w:tmpl w:val="1C40307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2F6EFA46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96A170F"/>
    <w:multiLevelType w:val="hybridMultilevel"/>
    <w:tmpl w:val="C0FB5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27F267"/>
    <w:multiLevelType w:val="hybridMultilevel"/>
    <w:tmpl w:val="BCEBC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F962DD5"/>
    <w:multiLevelType w:val="hybridMultilevel"/>
    <w:tmpl w:val="8758C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43CFE"/>
    <w:multiLevelType w:val="hybridMultilevel"/>
    <w:tmpl w:val="E2462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12314"/>
    <w:multiLevelType w:val="hybridMultilevel"/>
    <w:tmpl w:val="139EE38C"/>
    <w:lvl w:ilvl="0" w:tplc="DB7CCC3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39AE651"/>
    <w:multiLevelType w:val="hybridMultilevel"/>
    <w:tmpl w:val="62AE52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DF6EEDC"/>
    <w:multiLevelType w:val="hybridMultilevel"/>
    <w:tmpl w:val="A234E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0BEE63B"/>
    <w:multiLevelType w:val="hybridMultilevel"/>
    <w:tmpl w:val="A8D21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2715E16"/>
    <w:multiLevelType w:val="hybridMultilevel"/>
    <w:tmpl w:val="CC36E4DA"/>
    <w:lvl w:ilvl="0" w:tplc="61D8F39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63A87794"/>
    <w:multiLevelType w:val="hybridMultilevel"/>
    <w:tmpl w:val="99BAF7DA"/>
    <w:lvl w:ilvl="0" w:tplc="572EF4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E2646"/>
    <w:multiLevelType w:val="multilevel"/>
    <w:tmpl w:val="3E5A594A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E766D8"/>
    <w:multiLevelType w:val="multilevel"/>
    <w:tmpl w:val="9F9EE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A8EEE3"/>
    <w:multiLevelType w:val="hybridMultilevel"/>
    <w:tmpl w:val="CE12A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2D95117"/>
    <w:multiLevelType w:val="multilevel"/>
    <w:tmpl w:val="E1D0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3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5"/>
  </w:num>
  <w:num w:numId="10">
    <w:abstractNumId w:val="0"/>
  </w:num>
  <w:num w:numId="11">
    <w:abstractNumId w:val="7"/>
  </w:num>
  <w:num w:numId="12">
    <w:abstractNumId w:val="4"/>
  </w:num>
  <w:num w:numId="13">
    <w:abstractNumId w:val="19"/>
  </w:num>
  <w:num w:numId="14">
    <w:abstractNumId w:val="23"/>
  </w:num>
  <w:num w:numId="15">
    <w:abstractNumId w:val="5"/>
  </w:num>
  <w:num w:numId="16">
    <w:abstractNumId w:val="9"/>
  </w:num>
  <w:num w:numId="17">
    <w:abstractNumId w:val="24"/>
  </w:num>
  <w:num w:numId="18">
    <w:abstractNumId w:val="29"/>
  </w:num>
  <w:num w:numId="19">
    <w:abstractNumId w:val="31"/>
  </w:num>
  <w:num w:numId="20">
    <w:abstractNumId w:val="15"/>
  </w:num>
  <w:num w:numId="21">
    <w:abstractNumId w:val="22"/>
  </w:num>
  <w:num w:numId="22">
    <w:abstractNumId w:val="28"/>
  </w:num>
  <w:num w:numId="23">
    <w:abstractNumId w:val="13"/>
  </w:num>
  <w:num w:numId="24">
    <w:abstractNumId w:val="14"/>
  </w:num>
  <w:num w:numId="25">
    <w:abstractNumId w:val="17"/>
  </w:num>
  <w:num w:numId="26">
    <w:abstractNumId w:val="21"/>
  </w:num>
  <w:num w:numId="27">
    <w:abstractNumId w:val="26"/>
  </w:num>
  <w:num w:numId="28">
    <w:abstractNumId w:val="10"/>
  </w:num>
  <w:num w:numId="29">
    <w:abstractNumId w:val="27"/>
  </w:num>
  <w:num w:numId="30">
    <w:abstractNumId w:val="12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0"/>
    <w:rsid w:val="00045E52"/>
    <w:rsid w:val="00076556"/>
    <w:rsid w:val="00096363"/>
    <w:rsid w:val="00183CDC"/>
    <w:rsid w:val="001851D7"/>
    <w:rsid w:val="00207942"/>
    <w:rsid w:val="002276FE"/>
    <w:rsid w:val="00242E05"/>
    <w:rsid w:val="00246E13"/>
    <w:rsid w:val="0030657B"/>
    <w:rsid w:val="003341B5"/>
    <w:rsid w:val="00367824"/>
    <w:rsid w:val="0038027A"/>
    <w:rsid w:val="003A6C20"/>
    <w:rsid w:val="003D3B0A"/>
    <w:rsid w:val="003E0004"/>
    <w:rsid w:val="004F3D04"/>
    <w:rsid w:val="0051584A"/>
    <w:rsid w:val="00527FE5"/>
    <w:rsid w:val="005B51B6"/>
    <w:rsid w:val="0063777B"/>
    <w:rsid w:val="006651A5"/>
    <w:rsid w:val="006C2249"/>
    <w:rsid w:val="00816385"/>
    <w:rsid w:val="008907D0"/>
    <w:rsid w:val="00896125"/>
    <w:rsid w:val="008A7D2E"/>
    <w:rsid w:val="008D70B8"/>
    <w:rsid w:val="00A91CD0"/>
    <w:rsid w:val="00AC4F94"/>
    <w:rsid w:val="00AE43B5"/>
    <w:rsid w:val="00B74BB7"/>
    <w:rsid w:val="00BF1879"/>
    <w:rsid w:val="00CC3B38"/>
    <w:rsid w:val="00D11ED1"/>
    <w:rsid w:val="00DB3BCF"/>
    <w:rsid w:val="00DE75D8"/>
    <w:rsid w:val="00DF0910"/>
    <w:rsid w:val="00E15AE0"/>
    <w:rsid w:val="00EC07FD"/>
    <w:rsid w:val="00F06F60"/>
    <w:rsid w:val="00F825F1"/>
    <w:rsid w:val="00F94898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8E6A-3B39-4F8B-9DA5-2695FF1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CD0"/>
  </w:style>
  <w:style w:type="paragraph" w:styleId="Zpat">
    <w:name w:val="footer"/>
    <w:basedOn w:val="Normln"/>
    <w:link w:val="ZpatChar"/>
    <w:uiPriority w:val="99"/>
    <w:unhideWhenUsed/>
    <w:rsid w:val="00A9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CD0"/>
  </w:style>
  <w:style w:type="paragraph" w:styleId="Textbubliny">
    <w:name w:val="Balloon Text"/>
    <w:basedOn w:val="Normln"/>
    <w:link w:val="TextbublinyChar"/>
    <w:uiPriority w:val="99"/>
    <w:semiHidden/>
    <w:unhideWhenUsed/>
    <w:rsid w:val="00AC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CF55-E8EB-4758-98D5-0724204B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2749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Bacíková</dc:creator>
  <cp:keywords/>
  <dc:description/>
  <cp:lastModifiedBy>Markéta Otavová</cp:lastModifiedBy>
  <cp:revision>2</cp:revision>
  <cp:lastPrinted>2018-12-17T14:41:00Z</cp:lastPrinted>
  <dcterms:created xsi:type="dcterms:W3CDTF">2019-01-21T08:13:00Z</dcterms:created>
  <dcterms:modified xsi:type="dcterms:W3CDTF">2019-01-21T08:16:00Z</dcterms:modified>
</cp:coreProperties>
</file>