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64" w:rsidRDefault="00F42564" w:rsidP="00F42564">
      <w:pPr>
        <w:pStyle w:val="Default"/>
        <w:rPr>
          <w:sz w:val="23"/>
          <w:szCs w:val="23"/>
        </w:rPr>
      </w:pPr>
      <w:r>
        <w:rPr>
          <w:b/>
          <w:bCs/>
          <w:sz w:val="23"/>
          <w:szCs w:val="23"/>
        </w:rPr>
        <w:t xml:space="preserve">                                                     Rámcová kupní smlouva </w:t>
      </w:r>
    </w:p>
    <w:p w:rsidR="00F42564" w:rsidRDefault="00F42564" w:rsidP="00F42564">
      <w:pPr>
        <w:rPr>
          <w:b/>
          <w:u w:val="single"/>
        </w:rPr>
      </w:pPr>
      <w:r>
        <w:rPr>
          <w:i/>
          <w:iCs/>
          <w:sz w:val="16"/>
          <w:szCs w:val="16"/>
        </w:rPr>
        <w:t xml:space="preserve">                                                                                                                     uzavřená mezi:</w:t>
      </w:r>
    </w:p>
    <w:p w:rsidR="00F42564" w:rsidRPr="00F42564" w:rsidRDefault="00F42564" w:rsidP="00F42564">
      <w:pPr>
        <w:rPr>
          <w:b/>
          <w:u w:val="single"/>
        </w:rPr>
      </w:pPr>
    </w:p>
    <w:p w:rsidR="00F42564" w:rsidRDefault="00F42564" w:rsidP="00F42564">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706"/>
        <w:gridCol w:w="4706"/>
      </w:tblGrid>
      <w:tr w:rsidR="00F42564">
        <w:trPr>
          <w:trHeight w:val="93"/>
        </w:trPr>
        <w:tc>
          <w:tcPr>
            <w:tcW w:w="4706" w:type="dxa"/>
          </w:tcPr>
          <w:p w:rsidR="00F42564" w:rsidRDefault="00F42564">
            <w:pPr>
              <w:pStyle w:val="Default"/>
              <w:rPr>
                <w:sz w:val="20"/>
                <w:szCs w:val="20"/>
              </w:rPr>
            </w:pPr>
            <w:r>
              <w:rPr>
                <w:b/>
                <w:bCs/>
                <w:sz w:val="20"/>
                <w:szCs w:val="20"/>
              </w:rPr>
              <w:t xml:space="preserve">AG FOODS Group a.s. </w:t>
            </w:r>
          </w:p>
        </w:tc>
        <w:tc>
          <w:tcPr>
            <w:tcW w:w="4706" w:type="dxa"/>
          </w:tcPr>
          <w:p w:rsidR="00F42564" w:rsidRDefault="00F42564">
            <w:pPr>
              <w:pStyle w:val="Default"/>
              <w:rPr>
                <w:sz w:val="20"/>
                <w:szCs w:val="20"/>
              </w:rPr>
            </w:pPr>
            <w:r>
              <w:rPr>
                <w:b/>
                <w:bCs/>
                <w:sz w:val="20"/>
                <w:szCs w:val="20"/>
              </w:rPr>
              <w:t xml:space="preserve">Sociální služby města Moravská Třebová </w:t>
            </w:r>
          </w:p>
        </w:tc>
      </w:tr>
      <w:tr w:rsidR="00F42564">
        <w:trPr>
          <w:trHeight w:val="602"/>
        </w:trPr>
        <w:tc>
          <w:tcPr>
            <w:tcW w:w="4706" w:type="dxa"/>
          </w:tcPr>
          <w:p w:rsidR="00F42564" w:rsidRDefault="00F42564">
            <w:pPr>
              <w:pStyle w:val="Default"/>
              <w:rPr>
                <w:sz w:val="18"/>
                <w:szCs w:val="18"/>
              </w:rPr>
            </w:pPr>
            <w:r>
              <w:rPr>
                <w:sz w:val="18"/>
                <w:szCs w:val="18"/>
              </w:rPr>
              <w:t xml:space="preserve">se sídlem v Brně, Škrobárenská 506/2, PSČ 617 00 </w:t>
            </w:r>
          </w:p>
          <w:p w:rsidR="00F42564" w:rsidRDefault="00F42564">
            <w:pPr>
              <w:pStyle w:val="Default"/>
              <w:rPr>
                <w:sz w:val="18"/>
                <w:szCs w:val="18"/>
              </w:rPr>
            </w:pPr>
            <w:r>
              <w:rPr>
                <w:sz w:val="18"/>
                <w:szCs w:val="18"/>
              </w:rPr>
              <w:t xml:space="preserve">IČ: 05651531 </w:t>
            </w:r>
          </w:p>
          <w:p w:rsidR="00F42564" w:rsidRDefault="00F42564">
            <w:pPr>
              <w:pStyle w:val="Default"/>
              <w:rPr>
                <w:sz w:val="18"/>
                <w:szCs w:val="18"/>
              </w:rPr>
            </w:pPr>
            <w:r>
              <w:rPr>
                <w:sz w:val="18"/>
                <w:szCs w:val="18"/>
              </w:rPr>
              <w:t xml:space="preserve">bankovní spojení: KB, a.s. </w:t>
            </w:r>
          </w:p>
          <w:p w:rsidR="00F42564" w:rsidRDefault="00F42564">
            <w:pPr>
              <w:pStyle w:val="Default"/>
              <w:rPr>
                <w:sz w:val="18"/>
                <w:szCs w:val="18"/>
              </w:rPr>
            </w:pPr>
            <w:proofErr w:type="spellStart"/>
            <w:proofErr w:type="gramStart"/>
            <w:r>
              <w:rPr>
                <w:sz w:val="18"/>
                <w:szCs w:val="18"/>
              </w:rPr>
              <w:t>č.ú</w:t>
            </w:r>
            <w:proofErr w:type="spellEnd"/>
            <w:r>
              <w:rPr>
                <w:sz w:val="18"/>
                <w:szCs w:val="18"/>
              </w:rPr>
              <w:t>.</w:t>
            </w:r>
            <w:proofErr w:type="gramEnd"/>
            <w:r>
              <w:rPr>
                <w:sz w:val="18"/>
                <w:szCs w:val="18"/>
              </w:rPr>
              <w:t xml:space="preserve">: </w:t>
            </w:r>
            <w:bookmarkStart w:id="0" w:name="_GoBack"/>
            <w:bookmarkEnd w:id="0"/>
          </w:p>
          <w:p w:rsidR="00F42564" w:rsidRDefault="00F42564">
            <w:pPr>
              <w:pStyle w:val="Default"/>
              <w:rPr>
                <w:sz w:val="18"/>
                <w:szCs w:val="18"/>
              </w:rPr>
            </w:pPr>
            <w:r>
              <w:rPr>
                <w:sz w:val="18"/>
                <w:szCs w:val="18"/>
              </w:rPr>
              <w:t xml:space="preserve">zastoupena: Liborem </w:t>
            </w:r>
            <w:proofErr w:type="spellStart"/>
            <w:r>
              <w:rPr>
                <w:sz w:val="18"/>
                <w:szCs w:val="18"/>
              </w:rPr>
              <w:t>Vymyslickým</w:t>
            </w:r>
            <w:proofErr w:type="spellEnd"/>
            <w:r>
              <w:rPr>
                <w:sz w:val="18"/>
                <w:szCs w:val="18"/>
              </w:rPr>
              <w:t xml:space="preserve"> </w:t>
            </w:r>
          </w:p>
          <w:p w:rsidR="00F42564" w:rsidRDefault="00F42564">
            <w:pPr>
              <w:pStyle w:val="Default"/>
              <w:rPr>
                <w:sz w:val="18"/>
                <w:szCs w:val="18"/>
              </w:rPr>
            </w:pPr>
            <w:r>
              <w:rPr>
                <w:sz w:val="18"/>
                <w:szCs w:val="18"/>
              </w:rPr>
              <w:t xml:space="preserve">regionálním manažerem prodeje </w:t>
            </w:r>
          </w:p>
          <w:p w:rsidR="00F42564" w:rsidRDefault="00F42564">
            <w:pPr>
              <w:pStyle w:val="Default"/>
              <w:rPr>
                <w:sz w:val="18"/>
                <w:szCs w:val="18"/>
              </w:rPr>
            </w:pPr>
          </w:p>
        </w:tc>
        <w:tc>
          <w:tcPr>
            <w:tcW w:w="4706" w:type="dxa"/>
          </w:tcPr>
          <w:p w:rsidR="00F42564" w:rsidRDefault="00F42564">
            <w:pPr>
              <w:pStyle w:val="Default"/>
              <w:rPr>
                <w:sz w:val="18"/>
                <w:szCs w:val="18"/>
              </w:rPr>
            </w:pPr>
            <w:r>
              <w:rPr>
                <w:sz w:val="18"/>
                <w:szCs w:val="18"/>
              </w:rPr>
              <w:t xml:space="preserve">se sídlem v Moravské Třebové, Svitavská 8, PSČ 571 01 </w:t>
            </w:r>
          </w:p>
          <w:p w:rsidR="00F42564" w:rsidRDefault="00F42564">
            <w:pPr>
              <w:pStyle w:val="Default"/>
              <w:rPr>
                <w:sz w:val="18"/>
                <w:szCs w:val="18"/>
              </w:rPr>
            </w:pPr>
            <w:r>
              <w:rPr>
                <w:sz w:val="18"/>
                <w:szCs w:val="18"/>
              </w:rPr>
              <w:t xml:space="preserve">IČ: 00194263 </w:t>
            </w:r>
          </w:p>
          <w:p w:rsidR="00F42564" w:rsidRDefault="00F42564">
            <w:pPr>
              <w:pStyle w:val="Default"/>
              <w:rPr>
                <w:sz w:val="18"/>
                <w:szCs w:val="18"/>
              </w:rPr>
            </w:pPr>
            <w:r>
              <w:rPr>
                <w:sz w:val="18"/>
                <w:szCs w:val="18"/>
              </w:rPr>
              <w:t xml:space="preserve">bankovní spojení: </w:t>
            </w:r>
          </w:p>
          <w:p w:rsidR="00F42564" w:rsidRDefault="00F42564">
            <w:pPr>
              <w:pStyle w:val="Default"/>
              <w:rPr>
                <w:sz w:val="18"/>
                <w:szCs w:val="18"/>
              </w:rPr>
            </w:pPr>
            <w:proofErr w:type="spellStart"/>
            <w:proofErr w:type="gramStart"/>
            <w:r>
              <w:rPr>
                <w:sz w:val="18"/>
                <w:szCs w:val="18"/>
              </w:rPr>
              <w:t>č.ú</w:t>
            </w:r>
            <w:proofErr w:type="spellEnd"/>
            <w:r>
              <w:rPr>
                <w:sz w:val="18"/>
                <w:szCs w:val="18"/>
              </w:rPr>
              <w:t>.:</w:t>
            </w:r>
            <w:proofErr w:type="gramEnd"/>
            <w:r>
              <w:rPr>
                <w:sz w:val="18"/>
                <w:szCs w:val="18"/>
              </w:rPr>
              <w:t xml:space="preserve"> </w:t>
            </w:r>
          </w:p>
          <w:p w:rsidR="00F42564" w:rsidRDefault="00F42564">
            <w:pPr>
              <w:pStyle w:val="Default"/>
              <w:rPr>
                <w:sz w:val="18"/>
                <w:szCs w:val="18"/>
              </w:rPr>
            </w:pPr>
            <w:r>
              <w:rPr>
                <w:sz w:val="18"/>
                <w:szCs w:val="18"/>
              </w:rPr>
              <w:t xml:space="preserve">zastoupena: Mgr. Milanem Janouškem </w:t>
            </w:r>
          </w:p>
        </w:tc>
      </w:tr>
      <w:tr w:rsidR="00F42564">
        <w:trPr>
          <w:trHeight w:val="75"/>
        </w:trPr>
        <w:tc>
          <w:tcPr>
            <w:tcW w:w="4706" w:type="dxa"/>
          </w:tcPr>
          <w:p w:rsidR="00F42564" w:rsidRDefault="00F42564">
            <w:pPr>
              <w:pStyle w:val="Default"/>
              <w:rPr>
                <w:sz w:val="16"/>
                <w:szCs w:val="16"/>
              </w:rPr>
            </w:pPr>
            <w:r>
              <w:rPr>
                <w:b/>
                <w:bCs/>
                <w:sz w:val="16"/>
                <w:szCs w:val="16"/>
              </w:rPr>
              <w:t xml:space="preserve">(dále jako „prodávající“) </w:t>
            </w:r>
          </w:p>
        </w:tc>
        <w:tc>
          <w:tcPr>
            <w:tcW w:w="4706" w:type="dxa"/>
          </w:tcPr>
          <w:p w:rsidR="00F42564" w:rsidRDefault="00F42564">
            <w:pPr>
              <w:pStyle w:val="Default"/>
              <w:rPr>
                <w:b/>
                <w:bCs/>
                <w:sz w:val="16"/>
                <w:szCs w:val="16"/>
              </w:rPr>
            </w:pPr>
            <w:r>
              <w:rPr>
                <w:b/>
                <w:bCs/>
                <w:sz w:val="16"/>
                <w:szCs w:val="16"/>
              </w:rPr>
              <w:t xml:space="preserve">(dále jako „kupující“) </w:t>
            </w:r>
          </w:p>
          <w:p w:rsidR="00F42564" w:rsidRDefault="00F42564">
            <w:pPr>
              <w:pStyle w:val="Default"/>
              <w:rPr>
                <w:sz w:val="16"/>
                <w:szCs w:val="16"/>
              </w:rPr>
            </w:pPr>
          </w:p>
        </w:tc>
      </w:tr>
    </w:tbl>
    <w:p w:rsidR="00F42564" w:rsidRPr="00D21106" w:rsidRDefault="00F42564" w:rsidP="00F42564">
      <w:pPr>
        <w:tabs>
          <w:tab w:val="left" w:pos="4470"/>
        </w:tabs>
        <w:rPr>
          <w:rFonts w:ascii="Arial" w:hAnsi="Arial" w:cs="Arial"/>
          <w:b/>
          <w:sz w:val="16"/>
          <w:szCs w:val="16"/>
        </w:rPr>
      </w:pPr>
      <w:r w:rsidRPr="00D21106">
        <w:rPr>
          <w:rFonts w:ascii="Arial" w:hAnsi="Arial" w:cs="Arial"/>
          <w:b/>
          <w:sz w:val="16"/>
          <w:szCs w:val="16"/>
        </w:rPr>
        <w:t xml:space="preserve">                                                                              </w:t>
      </w:r>
      <w:r w:rsidR="00D21106">
        <w:rPr>
          <w:rFonts w:ascii="Arial" w:hAnsi="Arial" w:cs="Arial"/>
          <w:b/>
          <w:sz w:val="16"/>
          <w:szCs w:val="16"/>
        </w:rPr>
        <w:t xml:space="preserve">                      </w:t>
      </w:r>
      <w:r w:rsidRPr="00D21106">
        <w:rPr>
          <w:rFonts w:ascii="Arial" w:hAnsi="Arial" w:cs="Arial"/>
          <w:b/>
          <w:sz w:val="16"/>
          <w:szCs w:val="16"/>
        </w:rPr>
        <w:t xml:space="preserve">    </w:t>
      </w:r>
      <w:proofErr w:type="spellStart"/>
      <w:proofErr w:type="gramStart"/>
      <w:r w:rsidRPr="00D21106">
        <w:rPr>
          <w:rFonts w:ascii="Arial" w:hAnsi="Arial" w:cs="Arial"/>
          <w:b/>
          <w:sz w:val="16"/>
          <w:szCs w:val="16"/>
        </w:rPr>
        <w:t>I.Předmět</w:t>
      </w:r>
      <w:proofErr w:type="spellEnd"/>
      <w:proofErr w:type="gramEnd"/>
      <w:r w:rsidRPr="00D21106">
        <w:rPr>
          <w:rFonts w:ascii="Arial" w:hAnsi="Arial" w:cs="Arial"/>
          <w:b/>
          <w:sz w:val="16"/>
          <w:szCs w:val="16"/>
        </w:rPr>
        <w:t xml:space="preserve"> smlouvy</w:t>
      </w:r>
    </w:p>
    <w:p w:rsidR="00F42564" w:rsidRDefault="00F42564" w:rsidP="00F42564">
      <w:pPr>
        <w:pStyle w:val="Default"/>
        <w:rPr>
          <w:sz w:val="16"/>
          <w:szCs w:val="16"/>
        </w:rPr>
      </w:pPr>
      <w:r>
        <w:rPr>
          <w:sz w:val="16"/>
          <w:szCs w:val="16"/>
        </w:rPr>
        <w:t>Tato smlouva upravuje vzájemná práva a povinnosti prodávajícího a kupujícího (dále jen „</w:t>
      </w:r>
      <w:r>
        <w:rPr>
          <w:b/>
          <w:bCs/>
          <w:sz w:val="16"/>
          <w:szCs w:val="16"/>
        </w:rPr>
        <w:t>smluvní strany</w:t>
      </w:r>
      <w:r>
        <w:rPr>
          <w:sz w:val="16"/>
          <w:szCs w:val="16"/>
        </w:rPr>
        <w:t>“) při prodeji výrobků prodávajícího, které jsou blíže specifikovány v e-</w:t>
      </w:r>
      <w:proofErr w:type="spellStart"/>
      <w:r>
        <w:rPr>
          <w:sz w:val="16"/>
          <w:szCs w:val="16"/>
        </w:rPr>
        <w:t>shopu</w:t>
      </w:r>
      <w:proofErr w:type="spellEnd"/>
      <w:r>
        <w:rPr>
          <w:sz w:val="16"/>
          <w:szCs w:val="16"/>
        </w:rPr>
        <w:t xml:space="preserve"> prodávajícího (dále jen „</w:t>
      </w:r>
      <w:r>
        <w:rPr>
          <w:b/>
          <w:bCs/>
          <w:sz w:val="16"/>
          <w:szCs w:val="16"/>
        </w:rPr>
        <w:t>zboží</w:t>
      </w:r>
      <w:r>
        <w:rPr>
          <w:sz w:val="16"/>
          <w:szCs w:val="16"/>
        </w:rPr>
        <w:t xml:space="preserve">“). </w:t>
      </w:r>
    </w:p>
    <w:p w:rsidR="00F42564" w:rsidRDefault="00F42564" w:rsidP="00F42564">
      <w:pPr>
        <w:pStyle w:val="Default"/>
        <w:rPr>
          <w:sz w:val="16"/>
          <w:szCs w:val="16"/>
        </w:rPr>
      </w:pPr>
      <w:r>
        <w:rPr>
          <w:sz w:val="16"/>
          <w:szCs w:val="16"/>
        </w:rPr>
        <w:t xml:space="preserve">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 </w:t>
      </w:r>
    </w:p>
    <w:p w:rsidR="00F42564" w:rsidRDefault="00F42564" w:rsidP="00F42564">
      <w:pPr>
        <w:pStyle w:val="Default"/>
        <w:rPr>
          <w:sz w:val="16"/>
          <w:szCs w:val="16"/>
        </w:rPr>
      </w:pPr>
      <w:r>
        <w:rPr>
          <w:b/>
          <w:bCs/>
          <w:sz w:val="16"/>
          <w:szCs w:val="16"/>
        </w:rPr>
        <w:t xml:space="preserve">                                                                                                II. Jednotlivé kupní smlouvy </w:t>
      </w:r>
    </w:p>
    <w:p w:rsidR="00F42564" w:rsidRDefault="00F42564" w:rsidP="00F42564">
      <w:pPr>
        <w:pStyle w:val="Default"/>
        <w:rPr>
          <w:sz w:val="16"/>
          <w:szCs w:val="16"/>
        </w:rPr>
      </w:pPr>
      <w:r>
        <w:rPr>
          <w:sz w:val="16"/>
          <w:szCs w:val="16"/>
        </w:rPr>
        <w:t xml:space="preserve">Na základě této smlouvy budou mezi prodávajícím a kupujícím uzavírány jednotlivé kupní smlouvy na dodávky zboží. </w:t>
      </w:r>
    </w:p>
    <w:p w:rsidR="00F42564" w:rsidRDefault="00F42564" w:rsidP="00F42564">
      <w:pPr>
        <w:pStyle w:val="Default"/>
        <w:rPr>
          <w:sz w:val="16"/>
          <w:szCs w:val="16"/>
        </w:rPr>
      </w:pPr>
      <w:r>
        <w:rPr>
          <w:sz w:val="16"/>
          <w:szCs w:val="16"/>
        </w:rPr>
        <w:t>Kupní smlouva vzniká na základě (i) objednávky kupujícího učiněné u obchodního zástupce (reprezentanta), příp. pověřeného prodejce prodávajícího, či na centrále prodávajícího (faxem, e-mailem, telefonicky či osobně) a (</w:t>
      </w:r>
      <w:proofErr w:type="spellStart"/>
      <w:r>
        <w:rPr>
          <w:sz w:val="16"/>
          <w:szCs w:val="16"/>
        </w:rPr>
        <w:t>ii</w:t>
      </w:r>
      <w:proofErr w:type="spellEnd"/>
      <w:r>
        <w:rPr>
          <w:sz w:val="16"/>
          <w:szCs w:val="16"/>
        </w:rPr>
        <w:t xml:space="preserve">) přijetí (akceptace) objednávky prodávajícím, přičemž za potvrzení objednávky se považuje též odeslání objednaného zboží prodávajícím. </w:t>
      </w:r>
    </w:p>
    <w:p w:rsidR="00F42564" w:rsidRDefault="00F42564" w:rsidP="00F42564">
      <w:pPr>
        <w:pStyle w:val="Default"/>
        <w:rPr>
          <w:sz w:val="16"/>
          <w:szCs w:val="16"/>
        </w:rPr>
      </w:pPr>
      <w:r>
        <w:rPr>
          <w:b/>
          <w:bCs/>
          <w:sz w:val="16"/>
          <w:szCs w:val="16"/>
        </w:rPr>
        <w:t xml:space="preserve">                                                                                       III. Kupní cena a platební podmínky </w:t>
      </w:r>
    </w:p>
    <w:p w:rsidR="00F42564" w:rsidRDefault="00F42564" w:rsidP="00F42564">
      <w:pPr>
        <w:pStyle w:val="Default"/>
        <w:rPr>
          <w:sz w:val="16"/>
          <w:szCs w:val="16"/>
        </w:rPr>
      </w:pPr>
      <w:r>
        <w:rPr>
          <w:sz w:val="16"/>
          <w:szCs w:val="16"/>
        </w:rPr>
        <w:t xml:space="preserve">Kupní ceny zboží pro jednotlivé kupní smlouvy uzavírané na základě této smlouvy se stanoví jako součin ceny za měrnou jednotku objednaného zboží (kilogramy, litry, kusy, palety apod.) dle platného ceníku a počtu měrných jednotek uvedených v objednávce. Ceník zboží je dostupný v elektronickém katalogu na internetových stránkách prodávajícího na adrese http://shop.agfoods.eu/. Pro jednotlivé kupní smlouvy je rozhodující cena uvedená v elektronickém katalogu prodávajícího k datu objednávky. </w:t>
      </w:r>
    </w:p>
    <w:p w:rsidR="00F42564" w:rsidRDefault="00F42564" w:rsidP="00F42564">
      <w:pPr>
        <w:pStyle w:val="Default"/>
        <w:rPr>
          <w:sz w:val="16"/>
          <w:szCs w:val="16"/>
        </w:rPr>
      </w:pPr>
      <w:r>
        <w:rPr>
          <w:sz w:val="16"/>
          <w:szCs w:val="16"/>
        </w:rPr>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rsidR="00F42564" w:rsidRDefault="00F42564" w:rsidP="00F42564">
      <w:pPr>
        <w:pStyle w:val="Default"/>
        <w:rPr>
          <w:sz w:val="16"/>
          <w:szCs w:val="16"/>
        </w:rPr>
      </w:pPr>
      <w:r>
        <w:rPr>
          <w:sz w:val="16"/>
          <w:szCs w:val="16"/>
        </w:rPr>
        <w:t xml:space="preserve">Ke kupní ceně bude připočteno DPH dle platných a účinných právních předpisů. Dnem uskutečnění zdanitelného plnění je den dodání zboží. </w:t>
      </w:r>
    </w:p>
    <w:p w:rsidR="00F42564" w:rsidRDefault="00F42564" w:rsidP="00F42564">
      <w:pPr>
        <w:pStyle w:val="Default"/>
        <w:rPr>
          <w:sz w:val="16"/>
          <w:szCs w:val="16"/>
        </w:rPr>
      </w:pPr>
      <w:r>
        <w:rPr>
          <w:sz w:val="16"/>
          <w:szCs w:val="16"/>
        </w:rPr>
        <w:t xml:space="preserve">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 </w:t>
      </w:r>
    </w:p>
    <w:p w:rsidR="00F42564" w:rsidRDefault="00F42564" w:rsidP="00F42564">
      <w:pPr>
        <w:pStyle w:val="Default"/>
        <w:rPr>
          <w:sz w:val="16"/>
          <w:szCs w:val="16"/>
        </w:rPr>
      </w:pPr>
      <w:r>
        <w:rPr>
          <w:sz w:val="16"/>
          <w:szCs w:val="16"/>
        </w:rPr>
        <w:t xml:space="preserve">V případě, že kupující odebere od prodávajícího za období od uzavření této smlouvy do </w:t>
      </w:r>
      <w:proofErr w:type="gramStart"/>
      <w:r>
        <w:rPr>
          <w:b/>
          <w:bCs/>
          <w:sz w:val="16"/>
          <w:szCs w:val="16"/>
        </w:rPr>
        <w:t>31.12.2019</w:t>
      </w:r>
      <w:proofErr w:type="gramEnd"/>
      <w:r>
        <w:rPr>
          <w:b/>
          <w:bCs/>
          <w:sz w:val="16"/>
          <w:szCs w:val="16"/>
        </w:rPr>
        <w:t xml:space="preserve"> </w:t>
      </w:r>
      <w:r>
        <w:rPr>
          <w:sz w:val="16"/>
          <w:szCs w:val="16"/>
        </w:rPr>
        <w:t>(dále jen „</w:t>
      </w:r>
      <w:r>
        <w:rPr>
          <w:b/>
          <w:bCs/>
          <w:sz w:val="16"/>
          <w:szCs w:val="16"/>
        </w:rPr>
        <w:t>rozhodné období</w:t>
      </w:r>
      <w:r>
        <w:rPr>
          <w:sz w:val="16"/>
          <w:szCs w:val="16"/>
        </w:rPr>
        <w:t xml:space="preserve">“) zboží v minimální výši 30.000 Kč bez DPH, prodávající poskytne kupujícímu bonus ve výši 8 % z celkové kupní ceny zboží odebraného za rozhodné období (bez DPH). </w:t>
      </w:r>
    </w:p>
    <w:p w:rsidR="00F42564" w:rsidRDefault="00F42564" w:rsidP="00F42564">
      <w:pPr>
        <w:pStyle w:val="Default"/>
        <w:rPr>
          <w:sz w:val="16"/>
          <w:szCs w:val="16"/>
        </w:rPr>
      </w:pPr>
      <w:r>
        <w:rPr>
          <w:sz w:val="16"/>
          <w:szCs w:val="16"/>
        </w:rPr>
        <w:t xml:space="preserve">V případě, že kupující za rozhodné období odebere od prodávajícího zboží v minimální výši 45.000 Kč bez DPH, přičemž v rozhodném období od prodávajícího odebere rovněž zboží ze sortimentu značky </w:t>
      </w:r>
      <w:proofErr w:type="spellStart"/>
      <w:r>
        <w:rPr>
          <w:sz w:val="16"/>
          <w:szCs w:val="16"/>
        </w:rPr>
        <w:t>Biogena</w:t>
      </w:r>
      <w:proofErr w:type="spellEnd"/>
      <w:r>
        <w:rPr>
          <w:sz w:val="16"/>
          <w:szCs w:val="16"/>
        </w:rPr>
        <w:t xml:space="preserve"> (tj. odebere jak zboží vyráběné prodávajícím a/nebo pod jeho značkou, tak zboží vyráběné společností BIOGENA CB spol. s r.o.), prodávající poskytne kupujícímu bonus ve výši 10 %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 </w:t>
      </w:r>
    </w:p>
    <w:p w:rsidR="00F42564" w:rsidRDefault="00F42564" w:rsidP="00F42564">
      <w:pPr>
        <w:pStyle w:val="Default"/>
        <w:rPr>
          <w:sz w:val="16"/>
          <w:szCs w:val="16"/>
        </w:rPr>
      </w:pPr>
      <w:r>
        <w:rPr>
          <w:sz w:val="16"/>
          <w:szCs w:val="16"/>
        </w:rPr>
        <w:t>Bonus podle odst. 5 nebo odst. 6 tohoto článku bude kupujícímu poskytnut ve formě dodání pomůcek a vybavení školy nebo kuchyně, a to dle výběru kupujícího z nabídky následujících e-</w:t>
      </w:r>
      <w:proofErr w:type="spellStart"/>
      <w:r>
        <w:rPr>
          <w:sz w:val="16"/>
          <w:szCs w:val="16"/>
        </w:rPr>
        <w:t>shopů</w:t>
      </w:r>
      <w:proofErr w:type="spellEnd"/>
      <w:r>
        <w:rPr>
          <w:sz w:val="16"/>
          <w:szCs w:val="16"/>
        </w:rPr>
        <w:t xml:space="preserve">: http://www.sevt.cz/; http://activacek.cz/; http://sportovni-potreby.eod.cz/skolni-sport.htm ; http://eshop.jipast.cz/; http://www.agrgastro.cz. </w:t>
      </w:r>
    </w:p>
    <w:p w:rsidR="00F42564" w:rsidRDefault="00F42564" w:rsidP="00F42564">
      <w:pPr>
        <w:pStyle w:val="Default"/>
        <w:rPr>
          <w:sz w:val="16"/>
          <w:szCs w:val="16"/>
        </w:rPr>
      </w:pPr>
      <w:r>
        <w:rPr>
          <w:sz w:val="16"/>
          <w:szCs w:val="16"/>
        </w:rPr>
        <w:t xml:space="preserve">Pokud kupujícímu za rozhodné období vzniklo právo na bonus podle odst. 5 nebo odst. 6 tohoto článku, oznámí mu tuto skutečnost a výši přiznaného bonusu prodávající do 14 dnů po skončení rozhodného období. Kupující poté do 14 dnů sdělí prodávajícímu specifikaci vybraných pomůcek a vybavení školy v celkové hodnotě (bez DPH) do výše poskytovaného bonusu. Prodávající kupujícímu dodá vybrané pomůcky a vybavení školy nejpozději do konce druhého kalendářního měsíce následujícího po skončení rozhodného období, a to spolu s fakturou vystavenou na částku 1 Kč + DPH. </w:t>
      </w:r>
    </w:p>
    <w:p w:rsidR="00F42564" w:rsidRDefault="00F42564" w:rsidP="00F42564">
      <w:pPr>
        <w:pStyle w:val="Default"/>
        <w:rPr>
          <w:sz w:val="16"/>
          <w:szCs w:val="16"/>
        </w:rPr>
      </w:pPr>
      <w:r>
        <w:rPr>
          <w:b/>
          <w:bCs/>
          <w:sz w:val="16"/>
          <w:szCs w:val="16"/>
        </w:rPr>
        <w:t xml:space="preserve">                                                                                                      IV. Dodací podmínky </w:t>
      </w:r>
    </w:p>
    <w:p w:rsidR="00F42564" w:rsidRDefault="00F42564" w:rsidP="00F42564">
      <w:pPr>
        <w:pStyle w:val="Default"/>
        <w:rPr>
          <w:sz w:val="16"/>
          <w:szCs w:val="16"/>
        </w:rPr>
      </w:pPr>
      <w:r>
        <w:rPr>
          <w:sz w:val="16"/>
          <w:szCs w:val="16"/>
        </w:rPr>
        <w:t xml:space="preserve">Místem dodání zboží je místo stanovené v jednotlivých kupních smlouvách. Přepravu do místa dodání zajišťuje a hradí prodávající. </w:t>
      </w:r>
    </w:p>
    <w:p w:rsidR="00F42564" w:rsidRDefault="00F42564" w:rsidP="00F42564">
      <w:pPr>
        <w:pStyle w:val="Default"/>
        <w:rPr>
          <w:sz w:val="16"/>
          <w:szCs w:val="16"/>
        </w:rPr>
      </w:pPr>
      <w:r>
        <w:rPr>
          <w:sz w:val="16"/>
          <w:szCs w:val="16"/>
        </w:rPr>
        <w:t xml:space="preserve">Prodávající je povinen objednané zboží na základě kupní smlouvy dodat do 5 pracovních dnů ode dne obdržení objednávky, není-li v jednotlivé kupní smlouvě sjednáno jinak. </w:t>
      </w:r>
    </w:p>
    <w:p w:rsidR="00F42564" w:rsidRDefault="00F42564" w:rsidP="00F42564">
      <w:pPr>
        <w:pStyle w:val="Default"/>
        <w:rPr>
          <w:sz w:val="16"/>
          <w:szCs w:val="16"/>
        </w:rPr>
      </w:pPr>
      <w:r>
        <w:rPr>
          <w:sz w:val="16"/>
          <w:szCs w:val="16"/>
        </w:rPr>
        <w:t xml:space="preserve">Při převzetí zboží obdrží kupující fakturu a dodací list. V případě, že je zboží dodáváno kupujícímu prostřednictvím reprezentanta prodávajícího, slouží jako dodací list jedno vyhotovení faktury potvrzené kupujícím. </w:t>
      </w:r>
    </w:p>
    <w:p w:rsidR="00F42564" w:rsidRDefault="00F42564" w:rsidP="00F42564">
      <w:pPr>
        <w:pStyle w:val="Default"/>
        <w:rPr>
          <w:sz w:val="16"/>
          <w:szCs w:val="16"/>
        </w:rPr>
      </w:pPr>
      <w:r>
        <w:rPr>
          <w:sz w:val="16"/>
          <w:szCs w:val="16"/>
        </w:rPr>
        <w:t xml:space="preserve">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 </w:t>
      </w:r>
    </w:p>
    <w:p w:rsidR="00F42564" w:rsidRPr="00DD628B" w:rsidRDefault="00F42564" w:rsidP="00F42564">
      <w:r>
        <w:rPr>
          <w:sz w:val="16"/>
          <w:szCs w:val="16"/>
        </w:rPr>
        <w:t>Vlastnické právo ke zboží přechází na kupujícího až okamžikem úplného zaplacení kupní ceny.</w:t>
      </w:r>
    </w:p>
    <w:sectPr w:rsidR="00F42564" w:rsidRPr="00DD628B" w:rsidSect="0032423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1783" w:right="706" w:bottom="1134" w:left="709" w:header="720" w:footer="6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FDC" w:rsidRDefault="00EC7FDC">
      <w:r>
        <w:separator/>
      </w:r>
    </w:p>
  </w:endnote>
  <w:endnote w:type="continuationSeparator" w:id="0">
    <w:p w:rsidR="00EC7FDC" w:rsidRDefault="00EC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Pr="005C4379" w:rsidRDefault="00546706" w:rsidP="005C4379">
    <w:pPr>
      <w:pStyle w:val="Zpat"/>
    </w:pPr>
    <w:r>
      <w:rPr>
        <w:noProof/>
        <w:lang w:eastAsia="cs-CZ"/>
      </w:rPr>
      <w:drawing>
        <wp:inline distT="0" distB="0" distL="0" distR="0">
          <wp:extent cx="6657975" cy="742950"/>
          <wp:effectExtent l="0" t="0" r="0" b="0"/>
          <wp:docPr id="3" name="obrázek 3" descr="hlavickovy-papir-zapati-footer-cz-new-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ickovy-papir-zapati-footer-cz-new-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742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FDC" w:rsidRDefault="00EC7FDC">
      <w:r>
        <w:separator/>
      </w:r>
    </w:p>
  </w:footnote>
  <w:footnote w:type="continuationSeparator" w:id="0">
    <w:p w:rsidR="00EC7FDC" w:rsidRDefault="00EC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Default="00546706">
    <w:pPr>
      <w:pStyle w:val="Zhlav"/>
      <w:tabs>
        <w:tab w:val="left" w:pos="3585"/>
      </w:tabs>
    </w:pPr>
    <w:r>
      <w:rPr>
        <w:noProof/>
        <w:lang w:eastAsia="cs-CZ"/>
      </w:rPr>
      <w:drawing>
        <wp:inline distT="0" distB="0" distL="0" distR="0">
          <wp:extent cx="1800225" cy="4667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F9" w:rsidRDefault="00546706">
    <w:pPr>
      <w:pStyle w:val="Zhlav"/>
      <w:tabs>
        <w:tab w:val="left" w:pos="3585"/>
      </w:tabs>
    </w:pPr>
    <w:r>
      <w:rPr>
        <w:noProof/>
        <w:lang w:eastAsia="cs-CZ"/>
      </w:rPr>
      <w:drawing>
        <wp:inline distT="0" distB="0" distL="0" distR="0">
          <wp:extent cx="2924175" cy="885825"/>
          <wp:effectExtent l="0" t="0" r="0" b="0"/>
          <wp:docPr id="2" name="obrázek 2"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85825"/>
                  </a:xfrm>
                  <a:prstGeom prst="rect">
                    <a:avLst/>
                  </a:prstGeom>
                  <a:noFill/>
                  <a:ln>
                    <a:noFill/>
                  </a:ln>
                </pic:spPr>
              </pic:pic>
            </a:graphicData>
          </a:graphic>
        </wp:inline>
      </w:drawing>
    </w:r>
    <w:r w:rsidR="00EE13F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236" w:rsidRDefault="003242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2AA5A67"/>
    <w:multiLevelType w:val="hybridMultilevel"/>
    <w:tmpl w:val="9F8435E0"/>
    <w:lvl w:ilvl="0" w:tplc="C5A61A06">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12" w15:restartNumberingAfterBreak="0">
    <w:nsid w:val="039401C9"/>
    <w:multiLevelType w:val="hybridMultilevel"/>
    <w:tmpl w:val="BCF8F466"/>
    <w:lvl w:ilvl="0" w:tplc="E0C81082">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13"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4"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165024B7"/>
    <w:multiLevelType w:val="hybridMultilevel"/>
    <w:tmpl w:val="FC76BEF4"/>
    <w:lvl w:ilvl="0" w:tplc="0A0AA59C">
      <w:start w:val="1"/>
      <w:numFmt w:val="upperRoman"/>
      <w:lvlText w:val="%1."/>
      <w:lvlJc w:val="left"/>
      <w:pPr>
        <w:ind w:left="5235" w:hanging="720"/>
      </w:pPr>
      <w:rPr>
        <w:rFonts w:hint="default"/>
      </w:rPr>
    </w:lvl>
    <w:lvl w:ilvl="1" w:tplc="04050019" w:tentative="1">
      <w:start w:val="1"/>
      <w:numFmt w:val="lowerLetter"/>
      <w:lvlText w:val="%2."/>
      <w:lvlJc w:val="left"/>
      <w:pPr>
        <w:ind w:left="5595" w:hanging="360"/>
      </w:pPr>
    </w:lvl>
    <w:lvl w:ilvl="2" w:tplc="0405001B" w:tentative="1">
      <w:start w:val="1"/>
      <w:numFmt w:val="lowerRoman"/>
      <w:lvlText w:val="%3."/>
      <w:lvlJc w:val="right"/>
      <w:pPr>
        <w:ind w:left="6315" w:hanging="180"/>
      </w:pPr>
    </w:lvl>
    <w:lvl w:ilvl="3" w:tplc="0405000F" w:tentative="1">
      <w:start w:val="1"/>
      <w:numFmt w:val="decimal"/>
      <w:lvlText w:val="%4."/>
      <w:lvlJc w:val="left"/>
      <w:pPr>
        <w:ind w:left="7035" w:hanging="360"/>
      </w:pPr>
    </w:lvl>
    <w:lvl w:ilvl="4" w:tplc="04050019" w:tentative="1">
      <w:start w:val="1"/>
      <w:numFmt w:val="lowerLetter"/>
      <w:lvlText w:val="%5."/>
      <w:lvlJc w:val="left"/>
      <w:pPr>
        <w:ind w:left="7755" w:hanging="360"/>
      </w:pPr>
    </w:lvl>
    <w:lvl w:ilvl="5" w:tplc="0405001B" w:tentative="1">
      <w:start w:val="1"/>
      <w:numFmt w:val="lowerRoman"/>
      <w:lvlText w:val="%6."/>
      <w:lvlJc w:val="right"/>
      <w:pPr>
        <w:ind w:left="8475" w:hanging="180"/>
      </w:pPr>
    </w:lvl>
    <w:lvl w:ilvl="6" w:tplc="0405000F" w:tentative="1">
      <w:start w:val="1"/>
      <w:numFmt w:val="decimal"/>
      <w:lvlText w:val="%7."/>
      <w:lvlJc w:val="left"/>
      <w:pPr>
        <w:ind w:left="9195" w:hanging="360"/>
      </w:pPr>
    </w:lvl>
    <w:lvl w:ilvl="7" w:tplc="04050019" w:tentative="1">
      <w:start w:val="1"/>
      <w:numFmt w:val="lowerLetter"/>
      <w:lvlText w:val="%8."/>
      <w:lvlJc w:val="left"/>
      <w:pPr>
        <w:ind w:left="9915" w:hanging="360"/>
      </w:pPr>
    </w:lvl>
    <w:lvl w:ilvl="8" w:tplc="0405001B" w:tentative="1">
      <w:start w:val="1"/>
      <w:numFmt w:val="lowerRoman"/>
      <w:lvlText w:val="%9."/>
      <w:lvlJc w:val="right"/>
      <w:pPr>
        <w:ind w:left="10635" w:hanging="180"/>
      </w:pPr>
    </w:lvl>
  </w:abstractNum>
  <w:abstractNum w:abstractNumId="16"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7" w15:restartNumberingAfterBreak="0">
    <w:nsid w:val="42370443"/>
    <w:multiLevelType w:val="hybridMultilevel"/>
    <w:tmpl w:val="1AA220CA"/>
    <w:lvl w:ilvl="0" w:tplc="5796AE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9"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7AC7D6C"/>
    <w:multiLevelType w:val="hybridMultilevel"/>
    <w:tmpl w:val="E4869848"/>
    <w:lvl w:ilvl="0" w:tplc="F11E99CE">
      <w:start w:val="1"/>
      <w:numFmt w:val="upperRoman"/>
      <w:lvlText w:val="%1."/>
      <w:lvlJc w:val="left"/>
      <w:pPr>
        <w:ind w:left="5235" w:hanging="720"/>
      </w:pPr>
      <w:rPr>
        <w:rFonts w:hint="default"/>
      </w:rPr>
    </w:lvl>
    <w:lvl w:ilvl="1" w:tplc="04050019" w:tentative="1">
      <w:start w:val="1"/>
      <w:numFmt w:val="lowerLetter"/>
      <w:lvlText w:val="%2."/>
      <w:lvlJc w:val="left"/>
      <w:pPr>
        <w:ind w:left="5595" w:hanging="360"/>
      </w:pPr>
    </w:lvl>
    <w:lvl w:ilvl="2" w:tplc="0405001B" w:tentative="1">
      <w:start w:val="1"/>
      <w:numFmt w:val="lowerRoman"/>
      <w:lvlText w:val="%3."/>
      <w:lvlJc w:val="right"/>
      <w:pPr>
        <w:ind w:left="6315" w:hanging="180"/>
      </w:pPr>
    </w:lvl>
    <w:lvl w:ilvl="3" w:tplc="0405000F" w:tentative="1">
      <w:start w:val="1"/>
      <w:numFmt w:val="decimal"/>
      <w:lvlText w:val="%4."/>
      <w:lvlJc w:val="left"/>
      <w:pPr>
        <w:ind w:left="7035" w:hanging="360"/>
      </w:pPr>
    </w:lvl>
    <w:lvl w:ilvl="4" w:tplc="04050019" w:tentative="1">
      <w:start w:val="1"/>
      <w:numFmt w:val="lowerLetter"/>
      <w:lvlText w:val="%5."/>
      <w:lvlJc w:val="left"/>
      <w:pPr>
        <w:ind w:left="7755" w:hanging="360"/>
      </w:pPr>
    </w:lvl>
    <w:lvl w:ilvl="5" w:tplc="0405001B" w:tentative="1">
      <w:start w:val="1"/>
      <w:numFmt w:val="lowerRoman"/>
      <w:lvlText w:val="%6."/>
      <w:lvlJc w:val="right"/>
      <w:pPr>
        <w:ind w:left="8475" w:hanging="180"/>
      </w:pPr>
    </w:lvl>
    <w:lvl w:ilvl="6" w:tplc="0405000F" w:tentative="1">
      <w:start w:val="1"/>
      <w:numFmt w:val="decimal"/>
      <w:lvlText w:val="%7."/>
      <w:lvlJc w:val="left"/>
      <w:pPr>
        <w:ind w:left="9195" w:hanging="360"/>
      </w:pPr>
    </w:lvl>
    <w:lvl w:ilvl="7" w:tplc="04050019" w:tentative="1">
      <w:start w:val="1"/>
      <w:numFmt w:val="lowerLetter"/>
      <w:lvlText w:val="%8."/>
      <w:lvlJc w:val="left"/>
      <w:pPr>
        <w:ind w:left="9915" w:hanging="360"/>
      </w:pPr>
    </w:lvl>
    <w:lvl w:ilvl="8" w:tplc="0405001B" w:tentative="1">
      <w:start w:val="1"/>
      <w:numFmt w:val="lowerRoman"/>
      <w:lvlText w:val="%9."/>
      <w:lvlJc w:val="right"/>
      <w:pPr>
        <w:ind w:left="10635" w:hanging="180"/>
      </w:pPr>
    </w:lvl>
  </w:abstractNum>
  <w:abstractNum w:abstractNumId="23"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6FD74E2C"/>
    <w:multiLevelType w:val="hybridMultilevel"/>
    <w:tmpl w:val="253CD7EE"/>
    <w:lvl w:ilvl="0" w:tplc="1700D2CA">
      <w:start w:val="1"/>
      <w:numFmt w:val="upperRoman"/>
      <w:lvlText w:val="%1."/>
      <w:lvlJc w:val="left"/>
      <w:pPr>
        <w:ind w:left="5205" w:hanging="720"/>
      </w:pPr>
      <w:rPr>
        <w:rFonts w:hint="default"/>
      </w:rPr>
    </w:lvl>
    <w:lvl w:ilvl="1" w:tplc="04050019" w:tentative="1">
      <w:start w:val="1"/>
      <w:numFmt w:val="lowerLetter"/>
      <w:lvlText w:val="%2."/>
      <w:lvlJc w:val="left"/>
      <w:pPr>
        <w:ind w:left="5565" w:hanging="360"/>
      </w:pPr>
    </w:lvl>
    <w:lvl w:ilvl="2" w:tplc="0405001B" w:tentative="1">
      <w:start w:val="1"/>
      <w:numFmt w:val="lowerRoman"/>
      <w:lvlText w:val="%3."/>
      <w:lvlJc w:val="right"/>
      <w:pPr>
        <w:ind w:left="6285" w:hanging="180"/>
      </w:pPr>
    </w:lvl>
    <w:lvl w:ilvl="3" w:tplc="0405000F" w:tentative="1">
      <w:start w:val="1"/>
      <w:numFmt w:val="decimal"/>
      <w:lvlText w:val="%4."/>
      <w:lvlJc w:val="left"/>
      <w:pPr>
        <w:ind w:left="7005" w:hanging="360"/>
      </w:pPr>
    </w:lvl>
    <w:lvl w:ilvl="4" w:tplc="04050019" w:tentative="1">
      <w:start w:val="1"/>
      <w:numFmt w:val="lowerLetter"/>
      <w:lvlText w:val="%5."/>
      <w:lvlJc w:val="left"/>
      <w:pPr>
        <w:ind w:left="7725" w:hanging="360"/>
      </w:pPr>
    </w:lvl>
    <w:lvl w:ilvl="5" w:tplc="0405001B" w:tentative="1">
      <w:start w:val="1"/>
      <w:numFmt w:val="lowerRoman"/>
      <w:lvlText w:val="%6."/>
      <w:lvlJc w:val="right"/>
      <w:pPr>
        <w:ind w:left="8445" w:hanging="180"/>
      </w:pPr>
    </w:lvl>
    <w:lvl w:ilvl="6" w:tplc="0405000F" w:tentative="1">
      <w:start w:val="1"/>
      <w:numFmt w:val="decimal"/>
      <w:lvlText w:val="%7."/>
      <w:lvlJc w:val="left"/>
      <w:pPr>
        <w:ind w:left="9165" w:hanging="360"/>
      </w:pPr>
    </w:lvl>
    <w:lvl w:ilvl="7" w:tplc="04050019" w:tentative="1">
      <w:start w:val="1"/>
      <w:numFmt w:val="lowerLetter"/>
      <w:lvlText w:val="%8."/>
      <w:lvlJc w:val="left"/>
      <w:pPr>
        <w:ind w:left="9885" w:hanging="360"/>
      </w:pPr>
    </w:lvl>
    <w:lvl w:ilvl="8" w:tplc="0405001B" w:tentative="1">
      <w:start w:val="1"/>
      <w:numFmt w:val="lowerRoman"/>
      <w:lvlText w:val="%9."/>
      <w:lvlJc w:val="right"/>
      <w:pPr>
        <w:ind w:left="10605" w:hanging="180"/>
      </w:pPr>
    </w:lvl>
  </w:abstractNum>
  <w:abstractNum w:abstractNumId="25"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9"/>
  </w:num>
  <w:num w:numId="4">
    <w:abstractNumId w:val="25"/>
  </w:num>
  <w:num w:numId="5">
    <w:abstractNumId w:val="13"/>
  </w:num>
  <w:num w:numId="6">
    <w:abstractNumId w:val="18"/>
  </w:num>
  <w:num w:numId="7">
    <w:abstractNumId w:val="23"/>
  </w:num>
  <w:num w:numId="8">
    <w:abstractNumId w:val="21"/>
  </w:num>
  <w:num w:numId="9">
    <w:abstractNumId w:val="20"/>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2"/>
  </w:num>
  <w:num w:numId="23">
    <w:abstractNumId w:val="22"/>
  </w:num>
  <w:num w:numId="24">
    <w:abstractNumId w:val="15"/>
  </w:num>
  <w:num w:numId="25">
    <w:abstractNumId w:val="24"/>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42"/>
    <w:rsid w:val="0004099A"/>
    <w:rsid w:val="0005449C"/>
    <w:rsid w:val="00056E8C"/>
    <w:rsid w:val="0006771C"/>
    <w:rsid w:val="00073E61"/>
    <w:rsid w:val="000812A1"/>
    <w:rsid w:val="000813D8"/>
    <w:rsid w:val="00081567"/>
    <w:rsid w:val="00095D4C"/>
    <w:rsid w:val="000A20E7"/>
    <w:rsid w:val="000A552F"/>
    <w:rsid w:val="000C2516"/>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B60FD"/>
    <w:rsid w:val="001E6120"/>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D6DCB"/>
    <w:rsid w:val="00300E1A"/>
    <w:rsid w:val="00302CB1"/>
    <w:rsid w:val="003048C1"/>
    <w:rsid w:val="00316240"/>
    <w:rsid w:val="00324236"/>
    <w:rsid w:val="003342E6"/>
    <w:rsid w:val="00356557"/>
    <w:rsid w:val="00373B27"/>
    <w:rsid w:val="00387F25"/>
    <w:rsid w:val="003B004E"/>
    <w:rsid w:val="003C6E39"/>
    <w:rsid w:val="003C7A9E"/>
    <w:rsid w:val="003D2F9D"/>
    <w:rsid w:val="003E59AF"/>
    <w:rsid w:val="003F0CBB"/>
    <w:rsid w:val="004112B1"/>
    <w:rsid w:val="00413295"/>
    <w:rsid w:val="004145B0"/>
    <w:rsid w:val="0044445F"/>
    <w:rsid w:val="004657C6"/>
    <w:rsid w:val="00465D90"/>
    <w:rsid w:val="004674F3"/>
    <w:rsid w:val="00474571"/>
    <w:rsid w:val="004B0A26"/>
    <w:rsid w:val="004B21F3"/>
    <w:rsid w:val="004C3A6A"/>
    <w:rsid w:val="004C6B45"/>
    <w:rsid w:val="004D5740"/>
    <w:rsid w:val="004E33E9"/>
    <w:rsid w:val="004F06CD"/>
    <w:rsid w:val="005207C4"/>
    <w:rsid w:val="00546706"/>
    <w:rsid w:val="00565FE4"/>
    <w:rsid w:val="00570BBF"/>
    <w:rsid w:val="00572E21"/>
    <w:rsid w:val="00590C62"/>
    <w:rsid w:val="005A31B0"/>
    <w:rsid w:val="005A7E12"/>
    <w:rsid w:val="005B0D6C"/>
    <w:rsid w:val="005B3B8E"/>
    <w:rsid w:val="005C19C1"/>
    <w:rsid w:val="005C4379"/>
    <w:rsid w:val="005C4C6D"/>
    <w:rsid w:val="005C612C"/>
    <w:rsid w:val="005D04DC"/>
    <w:rsid w:val="005D5A7D"/>
    <w:rsid w:val="005E7A3A"/>
    <w:rsid w:val="005F593B"/>
    <w:rsid w:val="005F61A7"/>
    <w:rsid w:val="006166D7"/>
    <w:rsid w:val="00625346"/>
    <w:rsid w:val="0063055F"/>
    <w:rsid w:val="00643F05"/>
    <w:rsid w:val="00657E69"/>
    <w:rsid w:val="00665512"/>
    <w:rsid w:val="0068094E"/>
    <w:rsid w:val="00685C97"/>
    <w:rsid w:val="00691A61"/>
    <w:rsid w:val="00696CBC"/>
    <w:rsid w:val="006B18E6"/>
    <w:rsid w:val="006B4E6A"/>
    <w:rsid w:val="006C1388"/>
    <w:rsid w:val="006E05E9"/>
    <w:rsid w:val="006E0E21"/>
    <w:rsid w:val="006E3241"/>
    <w:rsid w:val="006F65BD"/>
    <w:rsid w:val="00706BFA"/>
    <w:rsid w:val="0071594E"/>
    <w:rsid w:val="007466B2"/>
    <w:rsid w:val="0075071D"/>
    <w:rsid w:val="00752599"/>
    <w:rsid w:val="00754FF4"/>
    <w:rsid w:val="007B542B"/>
    <w:rsid w:val="007B7E9A"/>
    <w:rsid w:val="007D1778"/>
    <w:rsid w:val="007D3C06"/>
    <w:rsid w:val="007D6C5B"/>
    <w:rsid w:val="007F769E"/>
    <w:rsid w:val="00825EAF"/>
    <w:rsid w:val="008352D8"/>
    <w:rsid w:val="00852919"/>
    <w:rsid w:val="00871456"/>
    <w:rsid w:val="00894EFA"/>
    <w:rsid w:val="008A793B"/>
    <w:rsid w:val="008B4B6A"/>
    <w:rsid w:val="008B604C"/>
    <w:rsid w:val="008E4EE0"/>
    <w:rsid w:val="00914890"/>
    <w:rsid w:val="00915DDC"/>
    <w:rsid w:val="00924532"/>
    <w:rsid w:val="00943019"/>
    <w:rsid w:val="00961F59"/>
    <w:rsid w:val="00993F35"/>
    <w:rsid w:val="00996135"/>
    <w:rsid w:val="009A2AAC"/>
    <w:rsid w:val="009A71C3"/>
    <w:rsid w:val="009B73E8"/>
    <w:rsid w:val="009C2EF6"/>
    <w:rsid w:val="009D17B2"/>
    <w:rsid w:val="009E200F"/>
    <w:rsid w:val="009E62E0"/>
    <w:rsid w:val="009F4263"/>
    <w:rsid w:val="009F5668"/>
    <w:rsid w:val="00A031DD"/>
    <w:rsid w:val="00A20095"/>
    <w:rsid w:val="00A2178A"/>
    <w:rsid w:val="00A33CBD"/>
    <w:rsid w:val="00A60C47"/>
    <w:rsid w:val="00A938A6"/>
    <w:rsid w:val="00A94B87"/>
    <w:rsid w:val="00AB320C"/>
    <w:rsid w:val="00AB6342"/>
    <w:rsid w:val="00AC5678"/>
    <w:rsid w:val="00AD1381"/>
    <w:rsid w:val="00AE042E"/>
    <w:rsid w:val="00AE2352"/>
    <w:rsid w:val="00AF0CB4"/>
    <w:rsid w:val="00AF0CBE"/>
    <w:rsid w:val="00AF1A14"/>
    <w:rsid w:val="00AF3059"/>
    <w:rsid w:val="00B02CE5"/>
    <w:rsid w:val="00B0728F"/>
    <w:rsid w:val="00B12168"/>
    <w:rsid w:val="00B1325A"/>
    <w:rsid w:val="00B55688"/>
    <w:rsid w:val="00B75AD6"/>
    <w:rsid w:val="00B8428D"/>
    <w:rsid w:val="00B96094"/>
    <w:rsid w:val="00BA4AF2"/>
    <w:rsid w:val="00BB6494"/>
    <w:rsid w:val="00BC1D57"/>
    <w:rsid w:val="00BD01A6"/>
    <w:rsid w:val="00BF37F4"/>
    <w:rsid w:val="00BF466C"/>
    <w:rsid w:val="00BF7CB9"/>
    <w:rsid w:val="00C000FD"/>
    <w:rsid w:val="00C13CFE"/>
    <w:rsid w:val="00C40188"/>
    <w:rsid w:val="00C421B4"/>
    <w:rsid w:val="00C466D8"/>
    <w:rsid w:val="00C648F2"/>
    <w:rsid w:val="00C92123"/>
    <w:rsid w:val="00CA3329"/>
    <w:rsid w:val="00CB72B3"/>
    <w:rsid w:val="00CB75CA"/>
    <w:rsid w:val="00CC08BF"/>
    <w:rsid w:val="00CC294C"/>
    <w:rsid w:val="00CD673B"/>
    <w:rsid w:val="00CE2044"/>
    <w:rsid w:val="00CE3C46"/>
    <w:rsid w:val="00CE48E5"/>
    <w:rsid w:val="00CE76A4"/>
    <w:rsid w:val="00CF5CDB"/>
    <w:rsid w:val="00CF6D1B"/>
    <w:rsid w:val="00D17790"/>
    <w:rsid w:val="00D21106"/>
    <w:rsid w:val="00D2281F"/>
    <w:rsid w:val="00D320D5"/>
    <w:rsid w:val="00D60944"/>
    <w:rsid w:val="00D6711D"/>
    <w:rsid w:val="00D80E75"/>
    <w:rsid w:val="00D8240B"/>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5731"/>
    <w:rsid w:val="00EA54CB"/>
    <w:rsid w:val="00EB4EA3"/>
    <w:rsid w:val="00EC46B7"/>
    <w:rsid w:val="00EC7FDC"/>
    <w:rsid w:val="00EE13F9"/>
    <w:rsid w:val="00EE3EEE"/>
    <w:rsid w:val="00EE5EA1"/>
    <w:rsid w:val="00EF3F2B"/>
    <w:rsid w:val="00F01258"/>
    <w:rsid w:val="00F22876"/>
    <w:rsid w:val="00F24BB0"/>
    <w:rsid w:val="00F30BF1"/>
    <w:rsid w:val="00F337EC"/>
    <w:rsid w:val="00F40AE8"/>
    <w:rsid w:val="00F42564"/>
    <w:rsid w:val="00F42BA7"/>
    <w:rsid w:val="00F569A3"/>
    <w:rsid w:val="00F60A95"/>
    <w:rsid w:val="00F77EE5"/>
    <w:rsid w:val="00FA4970"/>
    <w:rsid w:val="00FC0E99"/>
    <w:rsid w:val="00FF16A9"/>
    <w:rsid w:val="00FF448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430692-4AE2-4922-893A-14D08CB4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titul"/>
    <w:qFormat/>
    <w:rsid w:val="00127497"/>
    <w:pPr>
      <w:widowControl/>
      <w:pBdr>
        <w:top w:val="single" w:sz="1" w:space="1" w:color="000000"/>
        <w:bottom w:val="single" w:sz="1" w:space="1" w:color="000000"/>
      </w:pBdr>
      <w:jc w:val="center"/>
    </w:pPr>
    <w:rPr>
      <w:rFonts w:eastAsia="Times New Roman"/>
      <w:b/>
      <w:sz w:val="48"/>
    </w:rPr>
  </w:style>
  <w:style w:type="paragraph" w:styleId="Podtitul">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paragraph" w:customStyle="1" w:styleId="Default">
    <w:name w:val="Default"/>
    <w:rsid w:val="00F425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 Hlavičkový papír - šablona.dot</Template>
  <TotalTime>0</TotalTime>
  <Pages>1</Pages>
  <Words>929</Words>
  <Characters>5484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Eva</cp:lastModifiedBy>
  <cp:revision>2</cp:revision>
  <cp:lastPrinted>2014-05-05T08:12:00Z</cp:lastPrinted>
  <dcterms:created xsi:type="dcterms:W3CDTF">2019-01-18T10:04:00Z</dcterms:created>
  <dcterms:modified xsi:type="dcterms:W3CDTF">2019-01-18T10:04:00Z</dcterms:modified>
</cp:coreProperties>
</file>