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8F72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8F72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8F72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8F72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8F72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254D4F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8F7267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8F7267">
        <w:rPr>
          <w:b/>
          <w:snapToGrid w:val="0"/>
          <w:sz w:val="28"/>
          <w:szCs w:val="28"/>
        </w:rPr>
        <w:t>7</w:t>
      </w:r>
      <w:r w:rsidR="00254D4F">
        <w:rPr>
          <w:b/>
          <w:snapToGrid w:val="0"/>
          <w:sz w:val="28"/>
          <w:szCs w:val="28"/>
        </w:rPr>
        <w:t>4</w:t>
      </w:r>
      <w:r w:rsidR="008F536D">
        <w:rPr>
          <w:b/>
          <w:snapToGrid w:val="0"/>
          <w:sz w:val="28"/>
          <w:szCs w:val="28"/>
        </w:rPr>
        <w:t>/201</w:t>
      </w:r>
      <w:r w:rsidR="008F7267">
        <w:rPr>
          <w:b/>
          <w:snapToGrid w:val="0"/>
          <w:sz w:val="28"/>
          <w:szCs w:val="28"/>
        </w:rPr>
        <w:t>4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C358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54D4F">
        <w:rPr>
          <w:snapToGrid w:val="0"/>
          <w:sz w:val="24"/>
        </w:rPr>
        <w:t>398496001</w:t>
      </w:r>
    </w:p>
    <w:p w:rsidR="00A07879" w:rsidRPr="008F7267" w:rsidRDefault="00166910" w:rsidP="008F72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166910">
        <w:rPr>
          <w:rFonts w:ascii="Times New Roman" w:hAnsi="Times New Roman"/>
          <w:b/>
          <w:snapToGrid w:val="0"/>
          <w:sz w:val="24"/>
        </w:rPr>
        <w:t>BYTY TURGENĚVOVA a.s.</w:t>
      </w:r>
    </w:p>
    <w:p w:rsidR="00A07879" w:rsidRPr="00166910" w:rsidRDefault="00A07879" w:rsidP="0016691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66910" w:rsidRPr="00166910">
        <w:rPr>
          <w:rFonts w:ascii="Times New Roman" w:hAnsi="Times New Roman"/>
          <w:b/>
          <w:snapToGrid w:val="0"/>
          <w:sz w:val="24"/>
        </w:rPr>
        <w:t>Panelová 289/6, Satalice, 190 15 Praha 9</w:t>
      </w:r>
    </w:p>
    <w:p w:rsidR="008F7267" w:rsidRPr="008F7267" w:rsidRDefault="008F7267" w:rsidP="008F726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166910">
        <w:rPr>
          <w:rFonts w:ascii="Times New Roman" w:hAnsi="Times New Roman"/>
          <w:snapToGrid w:val="0"/>
          <w:sz w:val="24"/>
        </w:rPr>
        <w:t xml:space="preserve">Ing. </w:t>
      </w:r>
      <w:proofErr w:type="spellStart"/>
      <w:r w:rsidR="00166910">
        <w:rPr>
          <w:rFonts w:ascii="Times New Roman" w:hAnsi="Times New Roman"/>
          <w:snapToGrid w:val="0"/>
          <w:sz w:val="24"/>
        </w:rPr>
        <w:t>Michealou</w:t>
      </w:r>
      <w:proofErr w:type="spellEnd"/>
      <w:r w:rsidR="00166910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66910">
        <w:rPr>
          <w:rFonts w:ascii="Times New Roman" w:hAnsi="Times New Roman"/>
          <w:snapToGrid w:val="0"/>
          <w:sz w:val="24"/>
        </w:rPr>
        <w:t>Vachutovou</w:t>
      </w:r>
      <w:proofErr w:type="spellEnd"/>
      <w:r>
        <w:rPr>
          <w:rFonts w:ascii="Times New Roman" w:hAnsi="Times New Roman"/>
          <w:snapToGrid w:val="0"/>
          <w:sz w:val="24"/>
        </w:rPr>
        <w:t>, statutárním ředitelem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66910">
        <w:rPr>
          <w:rFonts w:ascii="Times New Roman" w:hAnsi="Times New Roman"/>
          <w:snapToGrid w:val="0"/>
          <w:sz w:val="24"/>
        </w:rPr>
        <w:t>07752075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166910">
        <w:rPr>
          <w:rFonts w:ascii="Times New Roman" w:hAnsi="Times New Roman"/>
          <w:snapToGrid w:val="0"/>
          <w:sz w:val="24"/>
        </w:rPr>
        <w:t>07752075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8F7267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8F7267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8F72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166910">
        <w:rPr>
          <w:rFonts w:ascii="Times New Roman" w:hAnsi="Times New Roman"/>
          <w:snapToGrid w:val="0"/>
          <w:sz w:val="24"/>
        </w:rPr>
        <w:t>Městským</w:t>
      </w:r>
      <w:r>
        <w:rPr>
          <w:rFonts w:ascii="Times New Roman" w:hAnsi="Times New Roman"/>
          <w:snapToGrid w:val="0"/>
          <w:sz w:val="24"/>
        </w:rPr>
        <w:t xml:space="preserve"> soudem v</w:t>
      </w:r>
      <w:r w:rsidR="00166910">
        <w:rPr>
          <w:rFonts w:ascii="Times New Roman" w:hAnsi="Times New Roman"/>
          <w:snapToGrid w:val="0"/>
          <w:sz w:val="24"/>
        </w:rPr>
        <w:t> Praze,</w:t>
      </w:r>
      <w:r w:rsidR="008F7267">
        <w:rPr>
          <w:rFonts w:ascii="Times New Roman" w:hAnsi="Times New Roman"/>
          <w:snapToGrid w:val="0"/>
          <w:sz w:val="24"/>
        </w:rPr>
        <w:t xml:space="preserve"> od</w:t>
      </w:r>
      <w:r>
        <w:rPr>
          <w:rFonts w:ascii="Times New Roman" w:hAnsi="Times New Roman"/>
          <w:snapToGrid w:val="0"/>
          <w:sz w:val="24"/>
        </w:rPr>
        <w:t xml:space="preserve">díl </w:t>
      </w:r>
      <w:r w:rsidR="008F7267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166910">
        <w:rPr>
          <w:rFonts w:ascii="Times New Roman" w:hAnsi="Times New Roman"/>
          <w:snapToGrid w:val="0"/>
          <w:sz w:val="24"/>
        </w:rPr>
        <w:t>24068</w:t>
      </w:r>
    </w:p>
    <w:p w:rsidR="007C328F" w:rsidRDefault="00A07879" w:rsidP="00A07879">
      <w:pPr>
        <w:tabs>
          <w:tab w:val="left" w:pos="284"/>
          <w:tab w:val="left" w:pos="851"/>
          <w:tab w:val="left" w:pos="2835"/>
          <w:tab w:val="left" w:pos="3544"/>
        </w:tabs>
        <w:spacing w:before="240" w:line="300" w:lineRule="exact"/>
        <w:ind w:left="2836" w:right="-851" w:hanging="2552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>ko</w:t>
      </w:r>
      <w:r w:rsidRPr="00814721">
        <w:rPr>
          <w:b/>
          <w:snapToGrid w:val="0"/>
          <w:sz w:val="24"/>
        </w:rPr>
        <w:t>respondenční adresa:</w:t>
      </w:r>
      <w:r>
        <w:rPr>
          <w:snapToGrid w:val="0"/>
          <w:sz w:val="24"/>
        </w:rPr>
        <w:t xml:space="preserve"> </w:t>
      </w:r>
      <w:r w:rsidR="00A65C5D">
        <w:rPr>
          <w:snapToGrid w:val="0"/>
          <w:sz w:val="24"/>
        </w:rPr>
        <w:tab/>
      </w:r>
      <w:r w:rsidR="00166910" w:rsidRPr="00166910">
        <w:rPr>
          <w:snapToGrid w:val="0"/>
          <w:sz w:val="24"/>
          <w:u w:val="single"/>
        </w:rPr>
        <w:t>BYTY TURGENĚVOVA a.s.</w:t>
      </w:r>
      <w:r w:rsidR="008F7267">
        <w:rPr>
          <w:snapToGrid w:val="0"/>
          <w:sz w:val="24"/>
          <w:u w:val="single"/>
        </w:rPr>
        <w:t xml:space="preserve">, třída Tomáše Bati 258, </w:t>
      </w:r>
      <w:r w:rsidR="00A65C5D">
        <w:rPr>
          <w:snapToGrid w:val="0"/>
          <w:sz w:val="24"/>
          <w:u w:val="single"/>
        </w:rPr>
        <w:br/>
      </w:r>
      <w:r w:rsidR="008F7267">
        <w:rPr>
          <w:snapToGrid w:val="0"/>
          <w:sz w:val="24"/>
          <w:u w:val="single"/>
        </w:rPr>
        <w:t>764 23 Zlín</w:t>
      </w:r>
      <w:r w:rsidR="00A65C5D">
        <w:rPr>
          <w:snapToGrid w:val="0"/>
          <w:sz w:val="24"/>
          <w:u w:val="single"/>
        </w:rPr>
        <w:t>-Louky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7C3586">
        <w:rPr>
          <w:b/>
          <w:snapToGrid w:val="0"/>
          <w:sz w:val="24"/>
        </w:rPr>
        <w:t>xxx</w:t>
      </w:r>
      <w:proofErr w:type="spellEnd"/>
    </w:p>
    <w:p w:rsidR="007C328F" w:rsidRPr="007C328F" w:rsidRDefault="007C328F" w:rsidP="00A07879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166910" w:rsidRPr="00166910">
        <w:rPr>
          <w:snapToGrid w:val="0"/>
          <w:sz w:val="24"/>
        </w:rPr>
        <w:t>2</w:t>
      </w:r>
      <w:r w:rsidR="008F7267">
        <w:rPr>
          <w:snapToGrid w:val="0"/>
          <w:sz w:val="24"/>
        </w:rPr>
        <w:t>001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F7267">
        <w:rPr>
          <w:rFonts w:ascii="Times New Roman" w:hAnsi="Times New Roman"/>
          <w:b/>
          <w:sz w:val="24"/>
        </w:rPr>
        <w:t>25</w:t>
      </w:r>
      <w:r w:rsidR="00A07879">
        <w:rPr>
          <w:rFonts w:ascii="Times New Roman" w:hAnsi="Times New Roman"/>
          <w:b/>
          <w:sz w:val="24"/>
        </w:rPr>
        <w:t>.</w:t>
      </w:r>
      <w:r w:rsidR="008F7267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8F7267">
        <w:rPr>
          <w:rFonts w:ascii="Times New Roman" w:hAnsi="Times New Roman"/>
          <w:b/>
          <w:sz w:val="24"/>
        </w:rPr>
        <w:t>4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8F7267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F7267">
        <w:rPr>
          <w:rFonts w:ascii="Times New Roman" w:hAnsi="Times New Roman"/>
          <w:b/>
          <w:snapToGrid w:val="0"/>
          <w:sz w:val="24"/>
          <w:szCs w:val="24"/>
        </w:rPr>
        <w:t>7</w:t>
      </w:r>
      <w:r w:rsidR="00166910">
        <w:rPr>
          <w:rFonts w:ascii="Times New Roman" w:hAnsi="Times New Roman"/>
          <w:b/>
          <w:snapToGrid w:val="0"/>
          <w:sz w:val="24"/>
          <w:szCs w:val="24"/>
        </w:rPr>
        <w:t>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8F7267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65C5D" w:rsidRDefault="00A65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A930C1" w:rsidRDefault="00A930C1" w:rsidP="00A07879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A65C5D">
        <w:rPr>
          <w:rFonts w:ascii="Times New Roman" w:hAnsi="Times New Roman"/>
          <w:b/>
          <w:sz w:val="24"/>
          <w:u w:val="single"/>
        </w:rPr>
        <w:t>záhlaví</w:t>
      </w:r>
      <w:r w:rsidR="007D2664">
        <w:rPr>
          <w:rFonts w:ascii="Times New Roman" w:hAnsi="Times New Roman"/>
          <w:b/>
          <w:sz w:val="24"/>
        </w:rPr>
        <w:t xml:space="preserve">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:rsidR="00A65C5D" w:rsidRDefault="007D2664" w:rsidP="003D3C27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A65C5D" w:rsidRPr="002D570B">
        <w:rPr>
          <w:rFonts w:ascii="Times New Roman" w:hAnsi="Times New Roman"/>
          <w:b/>
          <w:sz w:val="24"/>
        </w:rPr>
        <w:t xml:space="preserve">Dosavadní ustanovení </w:t>
      </w:r>
      <w:r w:rsidR="00A65C5D">
        <w:rPr>
          <w:rFonts w:ascii="Times New Roman" w:hAnsi="Times New Roman"/>
          <w:b/>
          <w:sz w:val="24"/>
        </w:rPr>
        <w:t>čl. III. Převody plateb</w:t>
      </w:r>
      <w:r w:rsidR="00A65C5D" w:rsidRPr="002D570B">
        <w:rPr>
          <w:rFonts w:ascii="Times New Roman" w:hAnsi="Times New Roman"/>
          <w:b/>
          <w:sz w:val="24"/>
        </w:rPr>
        <w:t xml:space="preserve">, </w:t>
      </w:r>
      <w:r w:rsidR="00A65C5D">
        <w:rPr>
          <w:rFonts w:ascii="Times New Roman" w:hAnsi="Times New Roman"/>
          <w:b/>
          <w:sz w:val="24"/>
        </w:rPr>
        <w:t xml:space="preserve">odst. 3.3, </w:t>
      </w:r>
      <w:r w:rsidR="00A65C5D" w:rsidRPr="002D570B">
        <w:rPr>
          <w:rFonts w:ascii="Times New Roman" w:hAnsi="Times New Roman"/>
          <w:b/>
          <w:sz w:val="24"/>
        </w:rPr>
        <w:t xml:space="preserve">Smlouvy </w:t>
      </w:r>
      <w:r w:rsidR="00A65C5D" w:rsidRPr="002D570B">
        <w:rPr>
          <w:rFonts w:ascii="Times New Roman" w:hAnsi="Times New Roman"/>
          <w:b/>
          <w:sz w:val="24"/>
          <w:u w:val="single"/>
        </w:rPr>
        <w:t>se ruší</w:t>
      </w:r>
      <w:r w:rsidR="00A65C5D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A65C5D" w:rsidRDefault="00A65C5D" w:rsidP="00A65C5D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napToGrid w:val="0"/>
          <w:sz w:val="24"/>
        </w:rPr>
        <w:t>3.3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B12DA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8B12DA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8B12DA">
        <w:rPr>
          <w:rFonts w:ascii="Times New Roman" w:hAnsi="Times New Roman"/>
          <w:snapToGrid w:val="0"/>
          <w:sz w:val="24"/>
        </w:rPr>
        <w:t xml:space="preserve">) </w:t>
      </w:r>
      <w:r w:rsidRPr="008B12DA">
        <w:rPr>
          <w:rFonts w:ascii="Times New Roman" w:hAnsi="Times New Roman"/>
          <w:b/>
          <w:snapToGrid w:val="0"/>
          <w:sz w:val="24"/>
        </w:rPr>
        <w:t>na adresu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8B12DA">
        <w:rPr>
          <w:rFonts w:ascii="Times New Roman" w:hAnsi="Times New Roman"/>
          <w:b/>
          <w:snapToGrid w:val="0"/>
          <w:sz w:val="24"/>
        </w:rPr>
        <w:t>BYTSERVIS Brno a.s., Tř. T. Bati 258, 764 23 Zlín - Louky</w:t>
      </w:r>
    </w:p>
    <w:p w:rsidR="00A65C5D" w:rsidRDefault="00A65C5D" w:rsidP="003D3C27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III. Převody plateb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3.3,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:rsidR="00A65C5D" w:rsidRDefault="00A65C5D" w:rsidP="00A65C5D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napToGrid w:val="0"/>
          <w:sz w:val="24"/>
        </w:rPr>
        <w:t>3.3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B12DA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8B12DA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8B12DA">
        <w:rPr>
          <w:rFonts w:ascii="Times New Roman" w:hAnsi="Times New Roman"/>
          <w:snapToGrid w:val="0"/>
          <w:sz w:val="24"/>
        </w:rPr>
        <w:t xml:space="preserve">) </w:t>
      </w:r>
      <w:r w:rsidRPr="008B12DA">
        <w:rPr>
          <w:rFonts w:ascii="Times New Roman" w:hAnsi="Times New Roman"/>
          <w:b/>
          <w:snapToGrid w:val="0"/>
          <w:sz w:val="24"/>
        </w:rPr>
        <w:t>na adresu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166910" w:rsidRPr="00166910">
        <w:rPr>
          <w:rFonts w:ascii="Times New Roman" w:hAnsi="Times New Roman"/>
          <w:b/>
          <w:snapToGrid w:val="0"/>
          <w:sz w:val="24"/>
        </w:rPr>
        <w:t>BYTY TURGENĚVOVA a.s.</w:t>
      </w:r>
      <w:r>
        <w:rPr>
          <w:rFonts w:ascii="Times New Roman" w:hAnsi="Times New Roman"/>
          <w:b/>
          <w:snapToGrid w:val="0"/>
          <w:sz w:val="24"/>
        </w:rPr>
        <w:t>, třída Tomáše Bati 258, 764 23 Zlín-Louky</w:t>
      </w:r>
    </w:p>
    <w:p w:rsidR="00A07879" w:rsidRDefault="00A65C5D" w:rsidP="003D3C27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>čl. V. Zvláštní ujednání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>odst. 5.</w:t>
      </w: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A07879" w:rsidRDefault="00A07879" w:rsidP="00A07879">
      <w:pPr>
        <w:pStyle w:val="Codstavec"/>
        <w:tabs>
          <w:tab w:val="left" w:pos="0"/>
        </w:tabs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</w:t>
      </w:r>
      <w:r w:rsidR="00692F61">
        <w:rPr>
          <w:rFonts w:ascii="Times New Roman" w:hAnsi="Times New Roman"/>
          <w:snapToGrid w:val="0"/>
          <w:sz w:val="24"/>
        </w:rPr>
        <w:t>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</w:t>
      </w:r>
      <w:r w:rsidR="00692F61">
        <w:rPr>
          <w:rFonts w:ascii="Times New Roman" w:hAnsi="Times New Roman"/>
          <w:snapToGrid w:val="0"/>
          <w:sz w:val="24"/>
        </w:rPr>
        <w:t>3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A07879" w:rsidRDefault="00692F61" w:rsidP="003D3C27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>čl. V. Zvláštní ujednání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>odst. 5.</w:t>
      </w: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:rsidR="00A07879" w:rsidRDefault="00ED7DF5" w:rsidP="00692F61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5.</w:t>
      </w:r>
      <w:r w:rsidR="00692F61">
        <w:rPr>
          <w:rFonts w:ascii="Times New Roman" w:hAnsi="Times New Roman"/>
          <w:snapToGrid w:val="0"/>
          <w:sz w:val="24"/>
          <w:szCs w:val="24"/>
        </w:rPr>
        <w:t>3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  <w:szCs w:val="24"/>
        </w:rPr>
        <w:t>D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ůvěrnými informacemi a obchodním tajemstvím zejména zápisy z jednání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mluvních stran a jakékoliv dokumenty, které budou zpracovány na základě této Smlouvy, jakož i další podklady a informace, které jsou předmětem obchodního tajemství a budou předávány mezi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mluvními stranami při plnění povinností ze Smlouvy. Povinnost mlčenlivosti trvá až do doby, kdy se Důvěrné informace stanou obecně známými za předpokladu, že se tak nestane porušením povinnosti mlčenlivosti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strany.  </w:t>
      </w:r>
      <w:r w:rsidRPr="007E0297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7E0297">
        <w:rPr>
          <w:rFonts w:ascii="Times New Roman" w:hAnsi="Times New Roman"/>
          <w:kern w:val="28"/>
          <w:sz w:val="24"/>
          <w:szCs w:val="24"/>
        </w:rPr>
        <w:t>mluvní strany.</w:t>
      </w:r>
    </w:p>
    <w:p w:rsidR="00A07879" w:rsidRDefault="00A07879" w:rsidP="00A07879">
      <w:pPr>
        <w:pStyle w:val="Codstavec"/>
        <w:tabs>
          <w:tab w:val="left" w:pos="0"/>
        </w:tabs>
        <w:ind w:left="425" w:right="529" w:hanging="425"/>
        <w:jc w:val="both"/>
        <w:rPr>
          <w:rFonts w:ascii="Times New Roman" w:hAnsi="Times New Roman"/>
          <w:snapToGrid w:val="0"/>
          <w:sz w:val="24"/>
        </w:rPr>
      </w:pPr>
    </w:p>
    <w:p w:rsidR="00C57379" w:rsidRPr="0090644A" w:rsidRDefault="00692F61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7C3586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692F61" w:rsidP="003D3C27">
      <w:pPr>
        <w:pStyle w:val="Codstavec"/>
        <w:tabs>
          <w:tab w:val="left" w:pos="426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7C3586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90644A" w:rsidRDefault="00692F61" w:rsidP="003D3C27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527" w:hanging="425"/>
        <w:rPr>
          <w:b/>
        </w:rPr>
      </w:pPr>
      <w:r>
        <w:rPr>
          <w:b/>
        </w:rPr>
        <w:t>9</w:t>
      </w:r>
      <w:r w:rsidR="0090644A">
        <w:rPr>
          <w:b/>
        </w:rPr>
        <w:t>.</w:t>
      </w:r>
      <w:r w:rsidR="0090644A">
        <w:rPr>
          <w:b/>
        </w:rPr>
        <w:tab/>
      </w:r>
      <w:r w:rsidR="00D56D8B">
        <w:t>Tento dodatek se stává platným dnem jeho podpisu oběma smluvními stranami</w:t>
      </w:r>
      <w:r w:rsidR="00D56D8B">
        <w:rPr>
          <w:b/>
          <w:szCs w:val="24"/>
        </w:rPr>
        <w:t xml:space="preserve"> a účinným 1. </w:t>
      </w:r>
      <w:r w:rsidR="00D56D8B" w:rsidRPr="00764A27">
        <w:rPr>
          <w:b/>
          <w:szCs w:val="24"/>
        </w:rPr>
        <w:t xml:space="preserve">kalendářním dnem měsíce následujícího po měsíci, v </w:t>
      </w:r>
      <w:r w:rsidR="00D56D8B">
        <w:rPr>
          <w:b/>
          <w:szCs w:val="24"/>
        </w:rPr>
        <w:t>němž byl zveřejněn</w:t>
      </w:r>
      <w:r w:rsidR="00D56D8B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56D8B">
        <w:rPr>
          <w:b/>
          <w:szCs w:val="24"/>
        </w:rPr>
        <w:t xml:space="preserve">tohoto dodatku </w:t>
      </w:r>
      <w:r w:rsidR="00D56D8B" w:rsidRPr="00764A27">
        <w:rPr>
          <w:b/>
          <w:szCs w:val="24"/>
        </w:rPr>
        <w:t>správci registru smluv Příkazník.</w:t>
      </w:r>
    </w:p>
    <w:p w:rsidR="00922CA7" w:rsidRDefault="00692F61" w:rsidP="003D3C27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527" w:hanging="425"/>
      </w:pPr>
      <w:r>
        <w:rPr>
          <w:b/>
        </w:rPr>
        <w:t>10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692F61" w:rsidP="003D3C27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D3C27">
        <w:rPr>
          <w:rFonts w:ascii="Times New Roman" w:hAnsi="Times New Roman"/>
          <w:sz w:val="24"/>
        </w:rPr>
        <w:t> </w:t>
      </w:r>
      <w:r w:rsidR="00166910">
        <w:rPr>
          <w:rFonts w:ascii="Times New Roman" w:hAnsi="Times New Roman"/>
          <w:sz w:val="24"/>
        </w:rPr>
        <w:t>Praze</w:t>
      </w:r>
      <w:r w:rsidR="003D3C27"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166910">
        <w:rPr>
          <w:rFonts w:ascii="Times New Roman" w:hAnsi="Times New Roman"/>
          <w:snapToGrid w:val="0"/>
          <w:sz w:val="24"/>
        </w:rPr>
        <w:t>Ing. Michaela Vachutová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3D3C27">
        <w:rPr>
          <w:rFonts w:ascii="Times New Roman" w:hAnsi="Times New Roman"/>
          <w:snapToGrid w:val="0"/>
          <w:sz w:val="24"/>
        </w:rPr>
        <w:t>statutární ředitel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8F7267">
      <w:rPr>
        <w:sz w:val="16"/>
      </w:rPr>
      <w:t>6</w:t>
    </w:r>
    <w:r w:rsidR="002F71B9">
      <w:rPr>
        <w:sz w:val="16"/>
      </w:rPr>
      <w:t xml:space="preserve"> – </w:t>
    </w:r>
    <w:r w:rsidR="008F7267">
      <w:rPr>
        <w:sz w:val="16"/>
      </w:rPr>
      <w:t>7</w:t>
    </w:r>
    <w:r w:rsidR="00166910">
      <w:rPr>
        <w:sz w:val="16"/>
      </w:rPr>
      <w:t>4</w:t>
    </w:r>
    <w:r w:rsidR="008F7267">
      <w:rPr>
        <w:sz w:val="16"/>
      </w:rPr>
      <w:t>/2014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7C3586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6910"/>
    <w:rsid w:val="0017193C"/>
    <w:rsid w:val="0019355D"/>
    <w:rsid w:val="001A6699"/>
    <w:rsid w:val="001A7BAE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4F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D3C27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2F61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77EED"/>
    <w:rsid w:val="00781E97"/>
    <w:rsid w:val="007935FB"/>
    <w:rsid w:val="007979FB"/>
    <w:rsid w:val="007B3416"/>
    <w:rsid w:val="007B6DF1"/>
    <w:rsid w:val="007C328F"/>
    <w:rsid w:val="007C3586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8F7267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5C5D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286C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56D8B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3D04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B40E8D"/>
  <w15:docId w15:val="{072D79B9-BED6-4541-A684-C0DD0F05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793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2019-01-15T10:37:00Z</cp:lastPrinted>
  <dcterms:created xsi:type="dcterms:W3CDTF">2019-01-15T10:44:00Z</dcterms:created>
  <dcterms:modified xsi:type="dcterms:W3CDTF">2019-01-17T13:24:00Z</dcterms:modified>
</cp:coreProperties>
</file>