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905" w:rsidRDefault="004B4CF1">
      <w:pPr>
        <w:spacing w:after="302"/>
        <w:ind w:left="-266" w:right="-518"/>
      </w:pPr>
      <w:bookmarkStart w:id="0" w:name="_GoBack"/>
      <w:r>
        <w:rPr>
          <w:noProof/>
        </w:rPr>
        <w:drawing>
          <wp:inline distT="0" distB="0" distL="0" distR="0">
            <wp:extent cx="3159252" cy="873252"/>
            <wp:effectExtent l="0" t="0" r="0" b="0"/>
            <wp:docPr id="4969" name="Picture 4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9" name="Picture 49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9252" cy="87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84905" w:rsidRDefault="004B4CF1">
      <w:pPr>
        <w:spacing w:after="10" w:line="250" w:lineRule="auto"/>
        <w:ind w:left="-5" w:hanging="3"/>
        <w:jc w:val="both"/>
      </w:pPr>
      <w:r>
        <w:rPr>
          <w:sz w:val="18"/>
        </w:rPr>
        <w:t>Objednavatel</w:t>
      </w:r>
    </w:p>
    <w:p w:rsidR="00F84905" w:rsidRDefault="004B4CF1">
      <w:pPr>
        <w:spacing w:after="0"/>
        <w:ind w:left="2" w:hanging="10"/>
      </w:pPr>
      <w:r>
        <w:rPr>
          <w:sz w:val="28"/>
        </w:rPr>
        <w:t>LB MINERALS, s r o</w:t>
      </w:r>
      <w:r>
        <w:rPr>
          <w:noProof/>
        </w:rPr>
        <w:drawing>
          <wp:inline distT="0" distB="0" distL="0" distR="0">
            <wp:extent cx="27432" cy="27432"/>
            <wp:effectExtent l="0" t="0" r="0" b="0"/>
            <wp:docPr id="2110" name="Picture 2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" name="Picture 21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905" w:rsidRDefault="004B4CF1">
      <w:pPr>
        <w:spacing w:after="3" w:line="265" w:lineRule="auto"/>
        <w:ind w:left="9" w:hanging="10"/>
        <w:jc w:val="both"/>
      </w:pPr>
      <w:r>
        <w:rPr>
          <w:sz w:val="20"/>
        </w:rPr>
        <w:t>Tovární 431</w:t>
      </w:r>
    </w:p>
    <w:p w:rsidR="00F84905" w:rsidRDefault="004B4CF1">
      <w:pPr>
        <w:spacing w:after="3" w:line="265" w:lineRule="auto"/>
        <w:ind w:left="9" w:hanging="10"/>
        <w:jc w:val="both"/>
      </w:pPr>
      <w:r>
        <w:rPr>
          <w:sz w:val="20"/>
        </w:rPr>
        <w:t>330 12 Horní Bříza</w:t>
      </w:r>
    </w:p>
    <w:p w:rsidR="00F84905" w:rsidRDefault="004B4CF1">
      <w:pPr>
        <w:spacing w:after="3" w:line="265" w:lineRule="auto"/>
        <w:ind w:left="9" w:hanging="10"/>
        <w:jc w:val="both"/>
      </w:pPr>
      <w:r>
        <w:rPr>
          <w:sz w:val="20"/>
        </w:rPr>
        <w:t>Česká republika</w:t>
      </w:r>
    </w:p>
    <w:p w:rsidR="00F84905" w:rsidRDefault="004B4CF1">
      <w:pPr>
        <w:spacing w:after="3" w:line="265" w:lineRule="auto"/>
        <w:ind w:left="9" w:hanging="10"/>
        <w:jc w:val="both"/>
      </w:pPr>
      <w:r>
        <w:rPr>
          <w:sz w:val="20"/>
        </w:rPr>
        <w:t>Tel ++420 378 071 1 11</w:t>
      </w:r>
    </w:p>
    <w:p w:rsidR="00F84905" w:rsidRDefault="004B4CF1">
      <w:pPr>
        <w:spacing w:after="3" w:line="265" w:lineRule="auto"/>
        <w:ind w:left="2" w:hanging="3"/>
      </w:pPr>
      <w:r>
        <w:t xml:space="preserve">IC 27994929 </w:t>
      </w:r>
      <w:proofErr w:type="spellStart"/>
      <w:r>
        <w:t>Dič</w:t>
      </w:r>
      <w:proofErr w:type="spellEnd"/>
      <w:r>
        <w:t xml:space="preserve"> CZ27994929</w:t>
      </w:r>
    </w:p>
    <w:p w:rsidR="00F84905" w:rsidRPr="004B4CF1" w:rsidRDefault="004B4CF1">
      <w:pPr>
        <w:spacing w:after="3" w:line="265" w:lineRule="auto"/>
        <w:ind w:left="9" w:hanging="10"/>
        <w:jc w:val="both"/>
        <w:rPr>
          <w:highlight w:val="black"/>
        </w:rPr>
      </w:pPr>
      <w:proofErr w:type="spellStart"/>
      <w:r>
        <w:rPr>
          <w:sz w:val="20"/>
        </w:rPr>
        <w:t>Bank.spoj</w:t>
      </w:r>
      <w:proofErr w:type="spellEnd"/>
      <w:r>
        <w:rPr>
          <w:sz w:val="20"/>
        </w:rPr>
        <w:t xml:space="preserve">: </w:t>
      </w:r>
      <w:r w:rsidRPr="004B4CF1">
        <w:rPr>
          <w:sz w:val="20"/>
          <w:highlight w:val="black"/>
        </w:rPr>
        <w:t>8010-0304232513 / 0300</w:t>
      </w:r>
    </w:p>
    <w:p w:rsidR="00F84905" w:rsidRDefault="004B4CF1">
      <w:pPr>
        <w:spacing w:after="618" w:line="265" w:lineRule="auto"/>
        <w:ind w:left="2" w:hanging="3"/>
      </w:pPr>
      <w:r w:rsidRPr="004B4CF1">
        <w:rPr>
          <w:highlight w:val="black"/>
        </w:rPr>
        <w:t>Internet. www.lb-minerals.cz</w:t>
      </w:r>
    </w:p>
    <w:p w:rsidR="00F84905" w:rsidRPr="004B4CF1" w:rsidRDefault="004B4CF1">
      <w:pPr>
        <w:spacing w:after="3" w:line="265" w:lineRule="auto"/>
        <w:ind w:left="2" w:hanging="3"/>
        <w:rPr>
          <w:highlight w:val="black"/>
        </w:rPr>
      </w:pPr>
      <w:proofErr w:type="spellStart"/>
      <w:r>
        <w:t>Kontaktni</w:t>
      </w:r>
      <w:proofErr w:type="spellEnd"/>
      <w:r>
        <w:t xml:space="preserve"> osoba: </w:t>
      </w:r>
      <w:r w:rsidRPr="004B4CF1">
        <w:rPr>
          <w:highlight w:val="black"/>
        </w:rPr>
        <w:t xml:space="preserve">Veronika </w:t>
      </w:r>
      <w:proofErr w:type="spellStart"/>
      <w:r w:rsidRPr="004B4CF1">
        <w:rPr>
          <w:highlight w:val="black"/>
        </w:rPr>
        <w:t>Mičundová</w:t>
      </w:r>
      <w:proofErr w:type="spellEnd"/>
    </w:p>
    <w:p w:rsidR="00F84905" w:rsidRPr="004B4CF1" w:rsidRDefault="004B4CF1">
      <w:pPr>
        <w:tabs>
          <w:tab w:val="center" w:pos="1296"/>
        </w:tabs>
        <w:spacing w:after="0"/>
        <w:rPr>
          <w:highlight w:val="black"/>
        </w:rPr>
      </w:pPr>
      <w:r w:rsidRPr="004B4CF1">
        <w:rPr>
          <w:sz w:val="20"/>
          <w:highlight w:val="black"/>
        </w:rPr>
        <w:t>Tel:</w:t>
      </w:r>
      <w:r w:rsidRPr="004B4CF1">
        <w:rPr>
          <w:sz w:val="20"/>
          <w:highlight w:val="black"/>
        </w:rPr>
        <w:tab/>
      </w:r>
      <w:r w:rsidRPr="004B4CF1">
        <w:rPr>
          <w:sz w:val="20"/>
          <w:highlight w:val="black"/>
        </w:rPr>
        <w:t>+420 378 072 287</w:t>
      </w:r>
    </w:p>
    <w:p w:rsidR="00F84905" w:rsidRDefault="004B4CF1">
      <w:pPr>
        <w:spacing w:after="955" w:line="265" w:lineRule="auto"/>
        <w:ind w:left="9" w:hanging="10"/>
        <w:jc w:val="both"/>
      </w:pPr>
      <w:proofErr w:type="gramStart"/>
      <w:r w:rsidRPr="004B4CF1">
        <w:rPr>
          <w:sz w:val="20"/>
          <w:highlight w:val="black"/>
        </w:rPr>
        <w:t>E-Mail:Veronika.Micundova@cz.lasselsberger.com</w:t>
      </w:r>
      <w:proofErr w:type="gramEnd"/>
    </w:p>
    <w:p w:rsidR="00F84905" w:rsidRDefault="004B4CF1">
      <w:pPr>
        <w:spacing w:after="10" w:line="250" w:lineRule="auto"/>
        <w:ind w:left="-5" w:hanging="3"/>
        <w:jc w:val="both"/>
      </w:pPr>
      <w:r>
        <w:rPr>
          <w:sz w:val="18"/>
        </w:rPr>
        <w:t>Dodejte do:</w:t>
      </w:r>
    </w:p>
    <w:p w:rsidR="00F84905" w:rsidRDefault="004B4CF1">
      <w:pPr>
        <w:spacing w:after="0"/>
        <w:ind w:left="9" w:hanging="10"/>
      </w:pPr>
      <w:r>
        <w:rPr>
          <w:sz w:val="24"/>
        </w:rPr>
        <w:t>LB MINERALS, s.r.o.</w:t>
      </w:r>
    </w:p>
    <w:p w:rsidR="00F84905" w:rsidRDefault="004B4CF1">
      <w:pPr>
        <w:spacing w:after="0"/>
        <w:ind w:left="9" w:hanging="10"/>
      </w:pPr>
      <w:r>
        <w:rPr>
          <w:sz w:val="24"/>
        </w:rPr>
        <w:t>LB MINERALS CZ</w:t>
      </w:r>
    </w:p>
    <w:p w:rsidR="00F84905" w:rsidRDefault="004B4CF1">
      <w:pPr>
        <w:spacing w:after="3" w:line="265" w:lineRule="auto"/>
        <w:ind w:left="2" w:hanging="3"/>
      </w:pPr>
      <w:r>
        <w:t>Tovární 431</w:t>
      </w:r>
    </w:p>
    <w:p w:rsidR="00F84905" w:rsidRDefault="004B4CF1">
      <w:pPr>
        <w:spacing w:after="3" w:line="265" w:lineRule="auto"/>
        <w:ind w:left="9" w:hanging="10"/>
        <w:jc w:val="both"/>
      </w:pPr>
      <w:r>
        <w:rPr>
          <w:sz w:val="20"/>
        </w:rPr>
        <w:t>330 12 Horní Bříza</w:t>
      </w:r>
    </w:p>
    <w:p w:rsidR="00F84905" w:rsidRDefault="004B4CF1">
      <w:pPr>
        <w:spacing w:after="170" w:line="265" w:lineRule="auto"/>
        <w:ind w:left="2" w:hanging="3"/>
      </w:pPr>
      <w:proofErr w:type="spellStart"/>
      <w:r>
        <w:t>Plat.podm</w:t>
      </w:r>
      <w:proofErr w:type="spellEnd"/>
      <w:r>
        <w:t>.: 30 dnů ode dne vystavení</w:t>
      </w:r>
    </w:p>
    <w:p w:rsidR="00F84905" w:rsidRDefault="004B4CF1">
      <w:pPr>
        <w:spacing w:after="3" w:line="265" w:lineRule="auto"/>
        <w:ind w:left="809" w:hanging="3"/>
      </w:pPr>
      <w:r>
        <w:t>Váženi,</w:t>
      </w:r>
    </w:p>
    <w:p w:rsidR="00F84905" w:rsidRDefault="004B4CF1">
      <w:pPr>
        <w:spacing w:after="0"/>
        <w:ind w:right="79"/>
        <w:jc w:val="right"/>
      </w:pPr>
      <w:r>
        <w:rPr>
          <w:sz w:val="30"/>
        </w:rPr>
        <w:t>ZUCRPO@25KFB</w:t>
      </w:r>
    </w:p>
    <w:p w:rsidR="00F84905" w:rsidRDefault="004B4CF1">
      <w:pPr>
        <w:spacing w:after="369"/>
        <w:ind w:left="2" w:hanging="10"/>
      </w:pPr>
      <w:r>
        <w:rPr>
          <w:sz w:val="28"/>
        </w:rPr>
        <w:t xml:space="preserve">4500674811 MN8 / </w:t>
      </w:r>
    </w:p>
    <w:p w:rsidR="00F84905" w:rsidRDefault="004B4CF1">
      <w:pPr>
        <w:spacing w:after="3" w:line="265" w:lineRule="auto"/>
        <w:ind w:left="420" w:hanging="10"/>
        <w:jc w:val="both"/>
      </w:pPr>
      <w:r>
        <w:rPr>
          <w:sz w:val="20"/>
        </w:rPr>
        <w:t>Dodavatel</w:t>
      </w:r>
    </w:p>
    <w:p w:rsidR="00F84905" w:rsidRDefault="004B4CF1">
      <w:pPr>
        <w:spacing w:after="3" w:line="265" w:lineRule="auto"/>
        <w:ind w:left="420" w:right="2174" w:hanging="10"/>
        <w:jc w:val="both"/>
      </w:pPr>
      <w:r>
        <w:rPr>
          <w:sz w:val="20"/>
        </w:rPr>
        <w:t xml:space="preserve">Zdravotní ústav se </w:t>
      </w:r>
      <w:proofErr w:type="spellStart"/>
      <w:r>
        <w:rPr>
          <w:sz w:val="20"/>
        </w:rPr>
        <w:t>sídlern</w:t>
      </w:r>
      <w:proofErr w:type="spellEnd"/>
      <w:r>
        <w:rPr>
          <w:sz w:val="20"/>
        </w:rPr>
        <w:t xml:space="preserve"> v Ústí nad Labem </w:t>
      </w:r>
      <w:proofErr w:type="spellStart"/>
      <w:r>
        <w:rPr>
          <w:sz w:val="20"/>
        </w:rPr>
        <w:t>pracovišté</w:t>
      </w:r>
      <w:proofErr w:type="spellEnd"/>
      <w:r>
        <w:rPr>
          <w:sz w:val="20"/>
        </w:rPr>
        <w:t xml:space="preserve"> Plzeň 17. listopadu 1926/1</w:t>
      </w:r>
    </w:p>
    <w:p w:rsidR="00F84905" w:rsidRDefault="004B4CF1">
      <w:pPr>
        <w:spacing w:after="1499" w:line="265" w:lineRule="auto"/>
        <w:ind w:left="421" w:hanging="3"/>
      </w:pPr>
      <w:r>
        <w:t xml:space="preserve">301 00 </w:t>
      </w:r>
      <w:proofErr w:type="gramStart"/>
      <w:r>
        <w:t>Plzeň - Jižní</w:t>
      </w:r>
      <w:proofErr w:type="gramEnd"/>
      <w:r>
        <w:t xml:space="preserve"> Předměstí</w:t>
      </w:r>
    </w:p>
    <w:p w:rsidR="00F84905" w:rsidRDefault="004B4CF1">
      <w:pPr>
        <w:spacing w:after="1149" w:line="265" w:lineRule="auto"/>
        <w:ind w:left="413" w:hanging="3"/>
      </w:pPr>
      <w:r>
        <w:t>Vaše číslo dodavatele u nás: ECZ1037600</w:t>
      </w:r>
    </w:p>
    <w:p w:rsidR="00F84905" w:rsidRDefault="004B4CF1">
      <w:pPr>
        <w:spacing w:after="961" w:line="265" w:lineRule="auto"/>
        <w:ind w:left="1220" w:hanging="3"/>
      </w:pPr>
      <w:r>
        <w:t>Termín dodávky Měsíc 12.2019</w:t>
      </w:r>
    </w:p>
    <w:p w:rsidR="00F84905" w:rsidRDefault="004B4CF1">
      <w:pPr>
        <w:spacing w:after="0"/>
        <w:jc w:val="right"/>
      </w:pPr>
      <w:r>
        <w:rPr>
          <w:sz w:val="20"/>
        </w:rPr>
        <w:t>Měna: CZK</w:t>
      </w:r>
    </w:p>
    <w:p w:rsidR="00F84905" w:rsidRDefault="00F84905">
      <w:pPr>
        <w:sectPr w:rsidR="00F84905">
          <w:pgSz w:w="11866" w:h="16819"/>
          <w:pgMar w:top="583" w:right="1397" w:bottom="1440" w:left="950" w:header="708" w:footer="708" w:gutter="0"/>
          <w:cols w:num="2" w:space="708" w:equalWidth="0">
            <w:col w:w="4190" w:space="605"/>
            <w:col w:w="4723"/>
          </w:cols>
        </w:sectPr>
      </w:pPr>
    </w:p>
    <w:p w:rsidR="00F84905" w:rsidRDefault="004B4CF1">
      <w:pPr>
        <w:spacing w:after="3" w:line="265" w:lineRule="auto"/>
        <w:ind w:left="802" w:hanging="10"/>
        <w:jc w:val="both"/>
      </w:pPr>
      <w:r>
        <w:rPr>
          <w:sz w:val="20"/>
        </w:rPr>
        <w:t>posíláme Vám celoroční objednávku na rok 2019:</w:t>
      </w:r>
    </w:p>
    <w:tbl>
      <w:tblPr>
        <w:tblStyle w:val="TableGrid"/>
        <w:tblW w:w="9900" w:type="dxa"/>
        <w:tblInd w:w="-14" w:type="dxa"/>
        <w:tblCellMar>
          <w:top w:w="126" w:type="dxa"/>
          <w:left w:w="0" w:type="dxa"/>
          <w:bottom w:w="101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2045"/>
        <w:gridCol w:w="5867"/>
        <w:gridCol w:w="1174"/>
      </w:tblGrid>
      <w:tr w:rsidR="00F84905">
        <w:trPr>
          <w:trHeight w:val="677"/>
        </w:trPr>
        <w:tc>
          <w:tcPr>
            <w:tcW w:w="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4905" w:rsidRDefault="004B4CF1">
            <w:pPr>
              <w:spacing w:after="0"/>
              <w:ind w:left="14"/>
            </w:pPr>
            <w:r>
              <w:t>Pol.</w:t>
            </w:r>
          </w:p>
        </w:tc>
        <w:tc>
          <w:tcPr>
            <w:tcW w:w="20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84905" w:rsidRDefault="004B4CF1">
            <w:pPr>
              <w:spacing w:after="0"/>
              <w:ind w:left="14"/>
            </w:pPr>
            <w:proofErr w:type="gramStart"/>
            <w:r>
              <w:rPr>
                <w:sz w:val="20"/>
              </w:rPr>
              <w:t>Materiál(</w:t>
            </w:r>
            <w:proofErr w:type="spellStart"/>
            <w:proofErr w:type="gramEnd"/>
            <w:r>
              <w:rPr>
                <w:sz w:val="20"/>
              </w:rPr>
              <w:t>internĺ</w:t>
            </w:r>
            <w:proofErr w:type="spellEnd"/>
            <w:r>
              <w:rPr>
                <w:sz w:val="20"/>
              </w:rPr>
              <w:t xml:space="preserve"> kód)</w:t>
            </w:r>
          </w:p>
          <w:p w:rsidR="00F84905" w:rsidRDefault="004B4CF1">
            <w:pPr>
              <w:spacing w:after="0"/>
              <w:ind w:left="670"/>
            </w:pPr>
            <w:proofErr w:type="spellStart"/>
            <w:r>
              <w:rPr>
                <w:sz w:val="20"/>
              </w:rPr>
              <w:t>Obj.množství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84905" w:rsidRDefault="004B4CF1">
            <w:pPr>
              <w:spacing w:after="29"/>
              <w:ind w:left="554"/>
            </w:pPr>
            <w:r>
              <w:t>Popis(označení)</w:t>
            </w:r>
          </w:p>
          <w:p w:rsidR="00F84905" w:rsidRDefault="004B4CF1">
            <w:pPr>
              <w:tabs>
                <w:tab w:val="center" w:pos="3060"/>
              </w:tabs>
              <w:spacing w:after="0"/>
            </w:pPr>
            <w:r>
              <w:rPr>
                <w:sz w:val="20"/>
              </w:rPr>
              <w:t>TJ</w:t>
            </w:r>
            <w:r>
              <w:rPr>
                <w:sz w:val="20"/>
              </w:rPr>
              <w:tab/>
              <w:t>Cena za jednotku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84905" w:rsidRDefault="004B4CF1">
            <w:pPr>
              <w:spacing w:after="0"/>
            </w:pPr>
            <w:r>
              <w:t>Šarže</w:t>
            </w:r>
          </w:p>
          <w:p w:rsidR="00F84905" w:rsidRDefault="004B4CF1">
            <w:pPr>
              <w:spacing w:after="0"/>
              <w:ind w:left="29"/>
              <w:jc w:val="both"/>
            </w:pPr>
            <w:r>
              <w:rPr>
                <w:sz w:val="20"/>
              </w:rPr>
              <w:t>Hodnota netto</w:t>
            </w:r>
          </w:p>
        </w:tc>
      </w:tr>
      <w:tr w:rsidR="00F84905">
        <w:trPr>
          <w:trHeight w:val="1469"/>
        </w:trPr>
        <w:tc>
          <w:tcPr>
            <w:tcW w:w="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4905" w:rsidRDefault="004B4CF1">
            <w:pPr>
              <w:spacing w:after="0"/>
              <w:ind w:left="14"/>
            </w:pPr>
            <w:r>
              <w:rPr>
                <w:sz w:val="20"/>
              </w:rPr>
              <w:t>00010</w:t>
            </w:r>
          </w:p>
        </w:tc>
        <w:tc>
          <w:tcPr>
            <w:tcW w:w="20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84905" w:rsidRDefault="004B4CF1">
            <w:pPr>
              <w:spacing w:after="0"/>
              <w:ind w:left="7"/>
            </w:pPr>
            <w:r>
              <w:rPr>
                <w:sz w:val="20"/>
              </w:rPr>
              <w:t>SMN.S 5130_01</w:t>
            </w:r>
          </w:p>
          <w:p w:rsidR="00F84905" w:rsidRDefault="004B4CF1">
            <w:pPr>
              <w:spacing w:after="247"/>
              <w:ind w:right="295"/>
              <w:jc w:val="right"/>
            </w:pPr>
            <w:proofErr w:type="gramStart"/>
            <w:r>
              <w:rPr>
                <w:sz w:val="16"/>
              </w:rPr>
              <w:t>1 ,OOO</w:t>
            </w:r>
            <w:proofErr w:type="gramEnd"/>
            <w:r>
              <w:rPr>
                <w:sz w:val="16"/>
              </w:rPr>
              <w:t xml:space="preserve"> </w:t>
            </w:r>
          </w:p>
          <w:p w:rsidR="00F84905" w:rsidRDefault="004B4CF1">
            <w:pPr>
              <w:spacing w:after="0"/>
            </w:pPr>
            <w:r>
              <w:rPr>
                <w:sz w:val="18"/>
              </w:rPr>
              <w:t xml:space="preserve">na základě jednotlivých </w:t>
            </w:r>
          </w:p>
        </w:tc>
        <w:tc>
          <w:tcPr>
            <w:tcW w:w="5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84905" w:rsidRDefault="004B4CF1">
            <w:pPr>
              <w:spacing w:after="221" w:line="216" w:lineRule="auto"/>
              <w:ind w:right="2758" w:firstLine="547"/>
            </w:pPr>
            <w:r>
              <w:t xml:space="preserve">zkoušky + protokoly </w:t>
            </w:r>
            <w:proofErr w:type="spellStart"/>
            <w:r>
              <w:t>Jedn.výk</w:t>
            </w:r>
            <w:proofErr w:type="spellEnd"/>
            <w:r>
              <w:t>.</w:t>
            </w:r>
          </w:p>
          <w:p w:rsidR="00F84905" w:rsidRDefault="004B4CF1">
            <w:pPr>
              <w:spacing w:after="0"/>
              <w:ind w:left="-238" w:right="-58"/>
              <w:jc w:val="right"/>
            </w:pPr>
            <w:r>
              <w:rPr>
                <w:sz w:val="20"/>
              </w:rPr>
              <w:t xml:space="preserve">e-mailových či telefonických odvolávek pana Ing. Pelikána a </w:t>
            </w:r>
            <w:proofErr w:type="spellStart"/>
            <w:r>
              <w:rPr>
                <w:sz w:val="20"/>
              </w:rPr>
              <w:t>pani</w:t>
            </w:r>
            <w:proofErr w:type="spellEnd"/>
            <w:r>
              <w:rPr>
                <w:sz w:val="20"/>
              </w:rPr>
              <w:t xml:space="preserve"> Ing. Soukupové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4905" w:rsidRDefault="00F84905"/>
        </w:tc>
      </w:tr>
    </w:tbl>
    <w:p w:rsidR="00F84905" w:rsidRDefault="004B4CF1">
      <w:pPr>
        <w:spacing w:after="3" w:line="265" w:lineRule="auto"/>
        <w:ind w:left="536" w:right="7445" w:hanging="3"/>
      </w:pPr>
      <w:r>
        <w:t>Dodací podmínky kontaktní osoba pro LBM:</w:t>
      </w:r>
    </w:p>
    <w:p w:rsidR="00F84905" w:rsidRDefault="004B4CF1">
      <w:pPr>
        <w:spacing w:after="3" w:line="265" w:lineRule="auto"/>
        <w:ind w:left="536" w:hanging="3"/>
      </w:pPr>
      <w:r w:rsidRPr="004B4CF1">
        <w:rPr>
          <w:highlight w:val="black"/>
        </w:rPr>
        <w:t>Ing. Jitka Soukupová, vedoucí manažer jakosti</w:t>
      </w:r>
    </w:p>
    <w:p w:rsidR="00F84905" w:rsidRDefault="004B4CF1">
      <w:pPr>
        <w:spacing w:after="3" w:line="265" w:lineRule="auto"/>
        <w:ind w:left="536" w:hanging="3"/>
      </w:pPr>
      <w:r>
        <w:t>LB MINERALS, s.r.o.,</w:t>
      </w:r>
    </w:p>
    <w:p w:rsidR="00F84905" w:rsidRDefault="004B4CF1">
      <w:pPr>
        <w:spacing w:after="3" w:line="265" w:lineRule="auto"/>
        <w:ind w:left="543" w:hanging="10"/>
        <w:jc w:val="both"/>
      </w:pPr>
      <w:r>
        <w:rPr>
          <w:sz w:val="20"/>
        </w:rPr>
        <w:t>Tovární 431</w:t>
      </w:r>
    </w:p>
    <w:p w:rsidR="00F84905" w:rsidRDefault="004B4CF1">
      <w:pPr>
        <w:spacing w:after="3" w:line="265" w:lineRule="auto"/>
        <w:ind w:left="543" w:hanging="10"/>
        <w:jc w:val="both"/>
      </w:pPr>
      <w:r>
        <w:rPr>
          <w:sz w:val="20"/>
        </w:rPr>
        <w:t>330 12 Horní Bříza</w:t>
      </w:r>
    </w:p>
    <w:p w:rsidR="00F84905" w:rsidRPr="004B4CF1" w:rsidRDefault="004B4CF1">
      <w:pPr>
        <w:spacing w:after="3" w:line="265" w:lineRule="auto"/>
        <w:ind w:left="543" w:hanging="10"/>
        <w:jc w:val="both"/>
        <w:rPr>
          <w:highlight w:val="black"/>
        </w:rPr>
      </w:pPr>
      <w:r>
        <w:rPr>
          <w:sz w:val="20"/>
        </w:rPr>
        <w:t>T: +</w:t>
      </w:r>
      <w:r w:rsidRPr="004B4CF1">
        <w:rPr>
          <w:sz w:val="20"/>
          <w:highlight w:val="black"/>
        </w:rPr>
        <w:t>420 378 072 256 M: +420 724 112 185</w:t>
      </w:r>
    </w:p>
    <w:p w:rsidR="00F84905" w:rsidRDefault="004B4CF1">
      <w:pPr>
        <w:spacing w:after="3" w:line="265" w:lineRule="auto"/>
        <w:ind w:left="536" w:hanging="3"/>
      </w:pPr>
      <w:r w:rsidRPr="004B4CF1">
        <w:rPr>
          <w:highlight w:val="black"/>
        </w:rPr>
        <w:t>Jitka.Soukupova@cz.lasselsberger.com</w:t>
      </w:r>
    </w:p>
    <w:p w:rsidR="00F84905" w:rsidRDefault="004B4CF1">
      <w:pPr>
        <w:spacing w:after="250"/>
      </w:pPr>
      <w:r>
        <w:rPr>
          <w:noProof/>
        </w:rPr>
        <mc:AlternateContent>
          <mc:Choice Requires="wpg">
            <w:drawing>
              <wp:inline distT="0" distB="0" distL="0" distR="0">
                <wp:extent cx="6277357" cy="9144"/>
                <wp:effectExtent l="0" t="0" r="0" b="0"/>
                <wp:docPr id="4977" name="Group 4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7357" cy="9144"/>
                          <a:chOff x="0" y="0"/>
                          <a:chExt cx="6277357" cy="9144"/>
                        </a:xfrm>
                      </wpg:grpSpPr>
                      <wps:wsp>
                        <wps:cNvPr id="4976" name="Shape 4976"/>
                        <wps:cNvSpPr/>
                        <wps:spPr>
                          <a:xfrm>
                            <a:off x="0" y="0"/>
                            <a:ext cx="6277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7357" h="9144">
                                <a:moveTo>
                                  <a:pt x="0" y="4572"/>
                                </a:moveTo>
                                <a:lnTo>
                                  <a:pt x="627735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77" style="width:494.28pt;height:0.719971pt;mso-position-horizontal-relative:char;mso-position-vertical-relative:line" coordsize="62773,91">
                <v:shape id="Shape 4976" style="position:absolute;width:62773;height:91;left:0;top:0;" coordsize="6277357,9144" path="m0,4572l6277357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84905" w:rsidRDefault="004B4CF1">
      <w:pPr>
        <w:spacing w:after="670" w:line="250" w:lineRule="auto"/>
        <w:ind w:left="-5" w:hanging="3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717804</wp:posOffset>
            </wp:positionH>
            <wp:positionV relativeFrom="paragraph">
              <wp:posOffset>1409454</wp:posOffset>
            </wp:positionV>
            <wp:extent cx="128016" cy="64008"/>
            <wp:effectExtent l="0" t="0" r="0" b="0"/>
            <wp:wrapSquare wrapText="bothSides"/>
            <wp:docPr id="4974" name="Picture 4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" name="Picture 49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Povinnou náležitosti každé faktury je číslo objednávky </w:t>
      </w:r>
      <w:proofErr w:type="spellStart"/>
      <w:r>
        <w:rPr>
          <w:sz w:val="18"/>
        </w:rPr>
        <w:t>kupujiciho</w:t>
      </w:r>
      <w:proofErr w:type="spellEnd"/>
      <w:r>
        <w:rPr>
          <w:sz w:val="18"/>
        </w:rPr>
        <w:t xml:space="preserve">. Bez této identifikace bude faktura vrácena zpět dodavateli. </w:t>
      </w:r>
      <w:proofErr w:type="spellStart"/>
      <w:r>
        <w:rPr>
          <w:sz w:val="18"/>
        </w:rPr>
        <w:t>Potvrzenoł</w:t>
      </w:r>
      <w:proofErr w:type="spellEnd"/>
      <w:r>
        <w:rPr>
          <w:sz w:val="18"/>
        </w:rPr>
        <w:t xml:space="preserve"> objednávku vraťte obratem na výš</w:t>
      </w:r>
      <w:r>
        <w:rPr>
          <w:sz w:val="18"/>
        </w:rPr>
        <w:t>e uvedenou adresu, Potvrzeni objednávky je podmínkou pro uzavřeni kupní smlouvy. Adresa pro elektronické zasíláni faktur: fakturylbm@cz.lasselsberger.com</w:t>
      </w:r>
    </w:p>
    <w:p w:rsidR="00F84905" w:rsidRDefault="004B4CF1">
      <w:pPr>
        <w:spacing w:after="215" w:line="250" w:lineRule="auto"/>
        <w:ind w:left="-5" w:hanging="3"/>
        <w:jc w:val="both"/>
      </w:pPr>
      <w:r>
        <w:rPr>
          <w:sz w:val="18"/>
        </w:rPr>
        <w:t>Za dodavatele</w:t>
      </w:r>
    </w:p>
    <w:p w:rsidR="00F84905" w:rsidRDefault="004B4CF1">
      <w:pPr>
        <w:spacing w:after="69" w:line="265" w:lineRule="auto"/>
        <w:ind w:left="9" w:hanging="10"/>
        <w:jc w:val="both"/>
      </w:pPr>
      <w:r>
        <w:rPr>
          <w:sz w:val="20"/>
        </w:rPr>
        <w:t>LB MINERALS, s.r.o. zapsaná v obchodním rejstříku Krajského soudu v Plzni, oddíl C, vlož</w:t>
      </w:r>
    </w:p>
    <w:p w:rsidR="00F84905" w:rsidRDefault="004B4CF1">
      <w:pPr>
        <w:spacing w:after="0"/>
        <w:ind w:left="1130"/>
      </w:pPr>
      <w:proofErr w:type="spellStart"/>
      <w:r>
        <w:rPr>
          <w:sz w:val="38"/>
        </w:rPr>
        <w:t>soumai</w:t>
      </w:r>
      <w:proofErr w:type="spellEnd"/>
      <w:r>
        <w:rPr>
          <w:sz w:val="38"/>
        </w:rPr>
        <w:t>:</w:t>
      </w:r>
    </w:p>
    <w:p w:rsidR="00F84905" w:rsidRDefault="004B4CF1">
      <w:pPr>
        <w:spacing w:after="0"/>
        <w:ind w:left="1130"/>
      </w:pPr>
      <w:proofErr w:type="spellStart"/>
      <w:r>
        <w:rPr>
          <w:sz w:val="24"/>
        </w:rPr>
        <w:t>Ibercziková</w:t>
      </w:r>
      <w:proofErr w:type="spellEnd"/>
      <w:r>
        <w:rPr>
          <w:sz w:val="24"/>
        </w:rPr>
        <w:t xml:space="preserve"> Lenka</w:t>
      </w:r>
    </w:p>
    <w:p w:rsidR="00F84905" w:rsidRDefault="004B4CF1">
      <w:pPr>
        <w:spacing w:after="3" w:line="265" w:lineRule="auto"/>
        <w:ind w:left="3524" w:hanging="10"/>
        <w:jc w:val="both"/>
      </w:pPr>
      <w:r>
        <w:rPr>
          <w:sz w:val="20"/>
        </w:rPr>
        <w:t>OLS Plzeň Strana: 1</w:t>
      </w:r>
    </w:p>
    <w:p w:rsidR="00F84905" w:rsidRDefault="00F84905">
      <w:pPr>
        <w:sectPr w:rsidR="00F84905">
          <w:type w:val="continuous"/>
          <w:pgSz w:w="11866" w:h="16819"/>
          <w:pgMar w:top="1440" w:right="619" w:bottom="913" w:left="972" w:header="708" w:footer="708" w:gutter="0"/>
          <w:cols w:space="708"/>
        </w:sectPr>
      </w:pPr>
    </w:p>
    <w:p w:rsidR="00F84905" w:rsidRDefault="00F84905">
      <w:pPr>
        <w:spacing w:after="0"/>
        <w:ind w:left="-1440" w:right="10426"/>
      </w:pPr>
    </w:p>
    <w:sectPr w:rsidR="00F84905">
      <w:pgSz w:w="11866" w:h="1681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905"/>
    <w:rsid w:val="004B4CF1"/>
    <w:rsid w:val="00F8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5D487-8AC4-44F7-9663-B5C0EFC2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2019-01-17T06:24:00Z</dcterms:created>
  <dcterms:modified xsi:type="dcterms:W3CDTF">2019-01-17T06:24:00Z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-727479864</vt:i4>
  </property>
</Properties>
</file>