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0B" w:rsidRPr="00DA00C8" w:rsidRDefault="002D0D0B" w:rsidP="002D0D0B">
      <w:r w:rsidRPr="00DA00C8">
        <w:t xml:space="preserve">                                                                                                              </w:t>
      </w:r>
      <w:r w:rsidR="00CB2226">
        <w:rPr>
          <w:noProof/>
          <w:color w:val="1F497D"/>
        </w:rPr>
        <w:fldChar w:fldCharType="begin"/>
      </w:r>
      <w:r w:rsidR="00CB2226">
        <w:rPr>
          <w:noProof/>
          <w:color w:val="1F497D"/>
        </w:rPr>
        <w:instrText xml:space="preserve"> INCLUDEPICTURE  "cid:image001.jpg@01D3BD08.B1026AB0" \* MERGEFORMATINET </w:instrText>
      </w:r>
      <w:r w:rsidR="00CB2226">
        <w:rPr>
          <w:noProof/>
          <w:color w:val="1F497D"/>
        </w:rPr>
        <w:fldChar w:fldCharType="separate"/>
      </w:r>
      <w:r w:rsidR="00322917">
        <w:rPr>
          <w:noProof/>
          <w:color w:val="1F497D"/>
        </w:rPr>
        <w:fldChar w:fldCharType="begin"/>
      </w:r>
      <w:r w:rsidR="00322917">
        <w:rPr>
          <w:noProof/>
          <w:color w:val="1F497D"/>
        </w:rPr>
        <w:instrText xml:space="preserve"> INCLUDEPICTURE  "cid:image001.jpg@01D3BD08.B1026AB0" \* MERGEFORMATINET </w:instrText>
      </w:r>
      <w:r w:rsidR="00322917">
        <w:rPr>
          <w:noProof/>
          <w:color w:val="1F497D"/>
        </w:rPr>
        <w:fldChar w:fldCharType="separate"/>
      </w:r>
      <w:r w:rsidR="00F44AA3">
        <w:rPr>
          <w:noProof/>
          <w:color w:val="1F497D"/>
        </w:rPr>
        <w:fldChar w:fldCharType="begin"/>
      </w:r>
      <w:r w:rsidR="00F44AA3">
        <w:rPr>
          <w:noProof/>
          <w:color w:val="1F497D"/>
        </w:rPr>
        <w:instrText xml:space="preserve"> INCLUDEPICTURE  "cid:image001.jpg@01D3BD08.B1026AB0" \* MERGEFORMATINET </w:instrText>
      </w:r>
      <w:r w:rsidR="00F44AA3">
        <w:rPr>
          <w:noProof/>
          <w:color w:val="1F497D"/>
        </w:rPr>
        <w:fldChar w:fldCharType="separate"/>
      </w:r>
      <w:r w:rsidR="003F1E04">
        <w:rPr>
          <w:noProof/>
          <w:color w:val="1F497D"/>
        </w:rPr>
        <w:fldChar w:fldCharType="begin"/>
      </w:r>
      <w:r w:rsidR="003F1E04">
        <w:rPr>
          <w:noProof/>
          <w:color w:val="1F497D"/>
        </w:rPr>
        <w:instrText xml:space="preserve"> INCLUDEPICTURE  "cid:image001.jpg@01D3BD08.B1026AB0" \* MERGEFORMATINET </w:instrText>
      </w:r>
      <w:r w:rsidR="003F1E04">
        <w:rPr>
          <w:noProof/>
          <w:color w:val="1F497D"/>
        </w:rPr>
        <w:fldChar w:fldCharType="separate"/>
      </w:r>
      <w:r w:rsidR="00C803F2">
        <w:rPr>
          <w:noProof/>
          <w:color w:val="1F497D"/>
        </w:rPr>
        <w:fldChar w:fldCharType="begin"/>
      </w:r>
      <w:r w:rsidR="00C803F2">
        <w:rPr>
          <w:noProof/>
          <w:color w:val="1F497D"/>
        </w:rPr>
        <w:instrText xml:space="preserve"> INCLUDEPICTURE  "cid:image001.jpg@01D3BD08.B1026AB0" \* MERGEFORMATINET </w:instrText>
      </w:r>
      <w:r w:rsidR="00C803F2">
        <w:rPr>
          <w:noProof/>
          <w:color w:val="1F497D"/>
        </w:rPr>
        <w:fldChar w:fldCharType="separate"/>
      </w:r>
      <w:r w:rsidR="003F7757">
        <w:rPr>
          <w:noProof/>
          <w:color w:val="1F497D"/>
        </w:rPr>
        <w:fldChar w:fldCharType="begin"/>
      </w:r>
      <w:r w:rsidR="003F7757">
        <w:rPr>
          <w:noProof/>
          <w:color w:val="1F497D"/>
        </w:rPr>
        <w:instrText xml:space="preserve"> INCLUDEPICTURE  "cid:image001.jpg@01D3BD08.B1026AB0" \* MERGEFORMATINET </w:instrText>
      </w:r>
      <w:r w:rsidR="003F7757">
        <w:rPr>
          <w:noProof/>
          <w:color w:val="1F497D"/>
        </w:rPr>
        <w:fldChar w:fldCharType="separate"/>
      </w:r>
      <w:r w:rsidR="00E01D99">
        <w:rPr>
          <w:noProof/>
          <w:color w:val="1F497D"/>
        </w:rPr>
        <w:fldChar w:fldCharType="begin"/>
      </w:r>
      <w:r w:rsidR="00E01D99">
        <w:rPr>
          <w:noProof/>
          <w:color w:val="1F497D"/>
        </w:rPr>
        <w:instrText xml:space="preserve"> INCLUDEPICTURE  "cid:image001.jpg@01D3BD08.B1026AB0" \* MERGEFORMATINET </w:instrText>
      </w:r>
      <w:r w:rsidR="00E01D99">
        <w:rPr>
          <w:noProof/>
          <w:color w:val="1F497D"/>
        </w:rPr>
        <w:fldChar w:fldCharType="separate"/>
      </w:r>
      <w:r w:rsidR="00930A82">
        <w:rPr>
          <w:noProof/>
          <w:color w:val="1F497D"/>
        </w:rPr>
        <w:fldChar w:fldCharType="begin"/>
      </w:r>
      <w:r w:rsidR="00930A82">
        <w:rPr>
          <w:noProof/>
          <w:color w:val="1F497D"/>
        </w:rPr>
        <w:instrText xml:space="preserve"> INCLUDEPICTURE  "cid:image001.jpg@01D3BD08.B1026AB0" \* MERGEFORMATINET </w:instrText>
      </w:r>
      <w:r w:rsidR="00930A82">
        <w:rPr>
          <w:noProof/>
          <w:color w:val="1F497D"/>
        </w:rPr>
        <w:fldChar w:fldCharType="separate"/>
      </w:r>
      <w:r w:rsidR="006A1F98">
        <w:rPr>
          <w:noProof/>
          <w:color w:val="1F497D"/>
        </w:rPr>
        <w:fldChar w:fldCharType="begin"/>
      </w:r>
      <w:r w:rsidR="006A1F98">
        <w:rPr>
          <w:noProof/>
          <w:color w:val="1F497D"/>
        </w:rPr>
        <w:instrText xml:space="preserve"> INCLUDEPICTURE  "cid:image001.jpg@01D3BD08.B1026AB0" \* MERGEFORMATINET </w:instrText>
      </w:r>
      <w:r w:rsidR="006A1F98">
        <w:rPr>
          <w:noProof/>
          <w:color w:val="1F497D"/>
        </w:rPr>
        <w:fldChar w:fldCharType="separate"/>
      </w:r>
      <w:r w:rsidR="00CC168C">
        <w:rPr>
          <w:noProof/>
          <w:color w:val="1F497D"/>
        </w:rPr>
        <w:fldChar w:fldCharType="begin"/>
      </w:r>
      <w:r w:rsidR="00CC168C">
        <w:rPr>
          <w:noProof/>
          <w:color w:val="1F497D"/>
        </w:rPr>
        <w:instrText xml:space="preserve"> INCLUDEPICTURE  "cid:image001.jpg@01D3BD08.B1026AB0" \* MERGEFORMATINET </w:instrText>
      </w:r>
      <w:r w:rsidR="00CC168C">
        <w:rPr>
          <w:noProof/>
          <w:color w:val="1F497D"/>
        </w:rPr>
        <w:fldChar w:fldCharType="separate"/>
      </w:r>
      <w:r w:rsidR="000D5E29">
        <w:rPr>
          <w:noProof/>
          <w:color w:val="1F497D"/>
        </w:rPr>
        <w:fldChar w:fldCharType="begin"/>
      </w:r>
      <w:r w:rsidR="000D5E29">
        <w:rPr>
          <w:noProof/>
          <w:color w:val="1F497D"/>
        </w:rPr>
        <w:instrText xml:space="preserve"> </w:instrText>
      </w:r>
      <w:r w:rsidR="000D5E29">
        <w:rPr>
          <w:noProof/>
          <w:color w:val="1F497D"/>
        </w:rPr>
        <w:instrText>INCLUDEPICTURE  "cid:image001.jpg@01D3BD08.B1026AB0" \* MERGEFORMATINET</w:instrText>
      </w:r>
      <w:r w:rsidR="000D5E29">
        <w:rPr>
          <w:noProof/>
          <w:color w:val="1F497D"/>
        </w:rPr>
        <w:instrText xml:space="preserve"> </w:instrText>
      </w:r>
      <w:r w:rsidR="000D5E29">
        <w:rPr>
          <w:noProof/>
          <w:color w:val="1F497D"/>
        </w:rPr>
        <w:fldChar w:fldCharType="separate"/>
      </w:r>
      <w:r w:rsidR="000D5E29">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27pt;visibility:visible">
            <v:imagedata r:id="rId8" r:href="rId9"/>
          </v:shape>
        </w:pict>
      </w:r>
      <w:r w:rsidR="000D5E29">
        <w:rPr>
          <w:noProof/>
          <w:color w:val="1F497D"/>
        </w:rPr>
        <w:fldChar w:fldCharType="end"/>
      </w:r>
      <w:r w:rsidR="00CC168C">
        <w:rPr>
          <w:noProof/>
          <w:color w:val="1F497D"/>
        </w:rPr>
        <w:fldChar w:fldCharType="end"/>
      </w:r>
      <w:r w:rsidR="006A1F98">
        <w:rPr>
          <w:noProof/>
          <w:color w:val="1F497D"/>
        </w:rPr>
        <w:fldChar w:fldCharType="end"/>
      </w:r>
      <w:r w:rsidR="00930A82">
        <w:rPr>
          <w:noProof/>
          <w:color w:val="1F497D"/>
        </w:rPr>
        <w:fldChar w:fldCharType="end"/>
      </w:r>
      <w:r w:rsidR="00E01D99">
        <w:rPr>
          <w:noProof/>
          <w:color w:val="1F497D"/>
        </w:rPr>
        <w:fldChar w:fldCharType="end"/>
      </w:r>
      <w:r w:rsidR="003F7757">
        <w:rPr>
          <w:noProof/>
          <w:color w:val="1F497D"/>
        </w:rPr>
        <w:fldChar w:fldCharType="end"/>
      </w:r>
      <w:r w:rsidR="00C803F2">
        <w:rPr>
          <w:noProof/>
          <w:color w:val="1F497D"/>
        </w:rPr>
        <w:fldChar w:fldCharType="end"/>
      </w:r>
      <w:r w:rsidR="003F1E04">
        <w:rPr>
          <w:noProof/>
          <w:color w:val="1F497D"/>
        </w:rPr>
        <w:fldChar w:fldCharType="end"/>
      </w:r>
      <w:r w:rsidR="00F44AA3">
        <w:rPr>
          <w:noProof/>
          <w:color w:val="1F497D"/>
        </w:rPr>
        <w:fldChar w:fldCharType="end"/>
      </w:r>
      <w:r w:rsidR="00322917">
        <w:rPr>
          <w:noProof/>
          <w:color w:val="1F497D"/>
        </w:rPr>
        <w:fldChar w:fldCharType="end"/>
      </w:r>
      <w:r w:rsidR="00CB2226">
        <w:rPr>
          <w:noProof/>
          <w:color w:val="1F497D"/>
        </w:rPr>
        <w:fldChar w:fldCharType="end"/>
      </w:r>
    </w:p>
    <w:p w:rsidR="002D0D0B" w:rsidRDefault="002D0D0B" w:rsidP="002D0D0B">
      <w:pPr>
        <w:pStyle w:val="Nzev"/>
        <w:spacing w:line="360" w:lineRule="auto"/>
        <w:rPr>
          <w:rFonts w:ascii="Arial" w:hAnsi="Arial" w:cs="Arial"/>
          <w:sz w:val="32"/>
          <w:szCs w:val="32"/>
        </w:rPr>
      </w:pPr>
    </w:p>
    <w:p w:rsidR="002D0D0B" w:rsidRPr="00AD65E7" w:rsidRDefault="002D0D0B" w:rsidP="002D0D0B">
      <w:pPr>
        <w:jc w:val="center"/>
        <w:outlineLvl w:val="0"/>
        <w:rPr>
          <w:rFonts w:ascii="Arial" w:hAnsi="Arial" w:cs="Arial"/>
          <w:b/>
          <w:sz w:val="24"/>
          <w:szCs w:val="24"/>
        </w:rPr>
      </w:pPr>
      <w:r w:rsidRPr="00160114">
        <w:rPr>
          <w:rFonts w:ascii="Arial" w:hAnsi="Arial" w:cs="Arial"/>
          <w:sz w:val="32"/>
          <w:szCs w:val="32"/>
        </w:rPr>
        <w:t>Kupní smlouva o sdružených službách dodávky zemního plynu</w:t>
      </w:r>
      <w:r>
        <w:rPr>
          <w:rFonts w:ascii="Arial" w:hAnsi="Arial" w:cs="Arial"/>
          <w:sz w:val="32"/>
          <w:szCs w:val="32"/>
        </w:rPr>
        <w:t xml:space="preserve"> </w:t>
      </w:r>
      <w:r w:rsidRPr="00AD65E7">
        <w:rPr>
          <w:rFonts w:ascii="Arial" w:hAnsi="Arial" w:cs="Arial"/>
          <w:b/>
          <w:sz w:val="24"/>
          <w:szCs w:val="24"/>
        </w:rPr>
        <w:t xml:space="preserve">Číslo Smlouvy: EN/P  </w:t>
      </w:r>
      <w:r w:rsidR="005D0773">
        <w:rPr>
          <w:rFonts w:ascii="Arial" w:hAnsi="Arial" w:cs="Arial"/>
          <w:b/>
          <w:sz w:val="24"/>
          <w:szCs w:val="24"/>
        </w:rPr>
        <w:t>3</w:t>
      </w:r>
      <w:r w:rsidRPr="00AD65E7">
        <w:rPr>
          <w:rFonts w:ascii="Arial" w:hAnsi="Arial" w:cs="Arial"/>
          <w:b/>
          <w:sz w:val="24"/>
          <w:szCs w:val="24"/>
        </w:rPr>
        <w:t>/2019</w:t>
      </w:r>
    </w:p>
    <w:p w:rsidR="002D0D0B" w:rsidRPr="00EB2197" w:rsidRDefault="002D0D0B" w:rsidP="002D0D0B">
      <w:pPr>
        <w:jc w:val="center"/>
        <w:outlineLvl w:val="0"/>
        <w:rPr>
          <w:rFonts w:ascii="Arial" w:hAnsi="Arial" w:cs="Arial"/>
          <w:b/>
          <w:sz w:val="24"/>
          <w:szCs w:val="24"/>
        </w:rPr>
      </w:pPr>
    </w:p>
    <w:p w:rsidR="002D0D0B" w:rsidRPr="00B443C9" w:rsidRDefault="002D0D0B" w:rsidP="002D0D0B">
      <w:pPr>
        <w:pStyle w:val="Bezmezer"/>
        <w:rPr>
          <w:rFonts w:ascii="Arial" w:hAnsi="Arial" w:cs="Arial"/>
          <w:sz w:val="20"/>
          <w:szCs w:val="20"/>
        </w:rPr>
      </w:pPr>
      <w:r w:rsidRPr="00B443C9">
        <w:rPr>
          <w:rFonts w:ascii="Arial" w:hAnsi="Arial" w:cs="Arial"/>
          <w:sz w:val="20"/>
          <w:szCs w:val="20"/>
        </w:rPr>
        <w:t>Níže uvedeného dne, měsíce a roku uzavírají „Smluvní strany“</w:t>
      </w:r>
    </w:p>
    <w:p w:rsidR="002D0D0B" w:rsidRPr="00EB2197" w:rsidRDefault="002D0D0B" w:rsidP="002D0D0B">
      <w:pPr>
        <w:jc w:val="center"/>
        <w:outlineLvl w:val="0"/>
        <w:rPr>
          <w:rFonts w:ascii="Arial" w:hAnsi="Arial" w:cs="Arial"/>
          <w:b/>
          <w:caps/>
          <w:sz w:val="24"/>
          <w:szCs w:val="24"/>
        </w:rPr>
      </w:pPr>
    </w:p>
    <w:p w:rsidR="002D0D0B" w:rsidRPr="009E58E0" w:rsidRDefault="002D0D0B" w:rsidP="002D0D0B">
      <w:pPr>
        <w:numPr>
          <w:ilvl w:val="0"/>
          <w:numId w:val="1"/>
        </w:numPr>
        <w:tabs>
          <w:tab w:val="num" w:pos="360"/>
        </w:tabs>
        <w:spacing w:before="20" w:after="20" w:line="240" w:lineRule="exact"/>
        <w:ind w:left="284" w:hanging="284"/>
        <w:rPr>
          <w:rFonts w:ascii="Arial" w:hAnsi="Arial" w:cs="Arial"/>
          <w:b/>
          <w:sz w:val="22"/>
          <w:szCs w:val="22"/>
        </w:rPr>
      </w:pPr>
      <w:r w:rsidRPr="009E58E0">
        <w:rPr>
          <w:rFonts w:ascii="Arial" w:hAnsi="Arial" w:cs="Arial"/>
          <w:b/>
          <w:sz w:val="22"/>
          <w:szCs w:val="22"/>
        </w:rPr>
        <w:t>Smluvní strany</w:t>
      </w:r>
    </w:p>
    <w:p w:rsidR="002D0D0B" w:rsidRPr="009E58E0" w:rsidRDefault="002D0D0B" w:rsidP="002D0D0B">
      <w:pPr>
        <w:tabs>
          <w:tab w:val="left" w:pos="4111"/>
        </w:tabs>
        <w:spacing w:before="20" w:after="20" w:line="240" w:lineRule="exact"/>
        <w:rPr>
          <w:rFonts w:ascii="Arial" w:hAnsi="Arial" w:cs="Arial"/>
          <w:sz w:val="22"/>
          <w:szCs w:val="22"/>
        </w:rPr>
      </w:pPr>
    </w:p>
    <w:p w:rsidR="002D0D0B" w:rsidRPr="00160114" w:rsidRDefault="002D0D0B" w:rsidP="002D0D0B">
      <w:pPr>
        <w:tabs>
          <w:tab w:val="left" w:pos="3119"/>
        </w:tabs>
        <w:spacing w:before="20" w:after="20" w:line="240" w:lineRule="exact"/>
        <w:rPr>
          <w:rFonts w:ascii="Arial" w:hAnsi="Arial" w:cs="Arial"/>
        </w:rPr>
      </w:pPr>
      <w:r w:rsidRPr="009E58E0">
        <w:rPr>
          <w:rFonts w:ascii="Arial" w:hAnsi="Arial" w:cs="Arial"/>
          <w:b/>
        </w:rPr>
        <w:t>Prodávající:</w:t>
      </w:r>
      <w:r>
        <w:rPr>
          <w:rFonts w:ascii="Arial" w:hAnsi="Arial" w:cs="Arial"/>
          <w:b/>
        </w:rPr>
        <w:t xml:space="preserve"> </w:t>
      </w:r>
      <w:r w:rsidRPr="00160114">
        <w:rPr>
          <w:rFonts w:ascii="Arial" w:hAnsi="Arial" w:cs="Arial"/>
        </w:rPr>
        <w:t>(„Obchodník“)</w:t>
      </w:r>
    </w:p>
    <w:p w:rsidR="002D0D0B" w:rsidRDefault="002D0D0B" w:rsidP="002D0D0B">
      <w:pPr>
        <w:tabs>
          <w:tab w:val="left" w:pos="3119"/>
        </w:tabs>
        <w:spacing w:before="20" w:after="20" w:line="240" w:lineRule="exact"/>
        <w:rPr>
          <w:rFonts w:ascii="Arial" w:hAnsi="Arial" w:cs="Arial"/>
        </w:rPr>
      </w:pPr>
      <w:r w:rsidRPr="009E58E0">
        <w:rPr>
          <w:rFonts w:ascii="Arial" w:hAnsi="Arial" w:cs="Arial"/>
        </w:rPr>
        <w:tab/>
      </w:r>
    </w:p>
    <w:p w:rsidR="002D0D0B" w:rsidRPr="00303988" w:rsidRDefault="002D0D0B" w:rsidP="002D0D0B">
      <w:pPr>
        <w:tabs>
          <w:tab w:val="left" w:pos="3119"/>
        </w:tabs>
        <w:spacing w:before="20" w:after="20" w:line="240" w:lineRule="exact"/>
        <w:rPr>
          <w:rFonts w:ascii="Arial" w:hAnsi="Arial" w:cs="Arial"/>
          <w:b/>
        </w:rPr>
      </w:pPr>
      <w:r>
        <w:rPr>
          <w:rFonts w:ascii="Arial" w:hAnsi="Arial" w:cs="Arial"/>
        </w:rPr>
        <w:t xml:space="preserve">Obchodní firma:                               </w:t>
      </w:r>
      <w:r w:rsidRPr="00303988">
        <w:rPr>
          <w:rFonts w:ascii="Arial" w:hAnsi="Arial" w:cs="Arial"/>
          <w:b/>
        </w:rPr>
        <w:t>GO Steel Frýdek Místek a.s.</w:t>
      </w:r>
    </w:p>
    <w:p w:rsidR="002D0D0B" w:rsidRPr="009E58E0" w:rsidRDefault="002D0D0B" w:rsidP="002D0D0B">
      <w:pPr>
        <w:tabs>
          <w:tab w:val="left" w:pos="3119"/>
        </w:tabs>
        <w:spacing w:before="20" w:after="20" w:line="240" w:lineRule="exact"/>
        <w:rPr>
          <w:rFonts w:ascii="Arial" w:hAnsi="Arial" w:cs="Arial"/>
        </w:rPr>
      </w:pPr>
      <w:r>
        <w:rPr>
          <w:rFonts w:ascii="Arial" w:hAnsi="Arial" w:cs="Arial"/>
        </w:rPr>
        <w:t>se sídlem:</w:t>
      </w:r>
      <w:r w:rsidRPr="009E58E0">
        <w:rPr>
          <w:rFonts w:ascii="Arial" w:hAnsi="Arial" w:cs="Arial"/>
        </w:rPr>
        <w:tab/>
      </w:r>
      <w:r>
        <w:rPr>
          <w:rFonts w:ascii="Arial" w:hAnsi="Arial" w:cs="Arial"/>
        </w:rPr>
        <w:t>Frýdek – Místek, ul. Míru 3777, PSČ 738 01</w:t>
      </w:r>
      <w:r w:rsidRPr="009E58E0">
        <w:rPr>
          <w:rFonts w:ascii="Arial" w:hAnsi="Arial" w:cs="Arial"/>
        </w:rPr>
        <w:tab/>
      </w:r>
    </w:p>
    <w:p w:rsidR="002D0D0B" w:rsidRDefault="002D0D0B" w:rsidP="002D0D0B">
      <w:pPr>
        <w:tabs>
          <w:tab w:val="left" w:pos="3119"/>
        </w:tabs>
        <w:spacing w:before="20" w:after="20" w:line="240" w:lineRule="exact"/>
        <w:rPr>
          <w:rFonts w:ascii="Arial" w:hAnsi="Arial" w:cs="Arial"/>
        </w:rPr>
      </w:pPr>
      <w:r w:rsidRPr="009E58E0">
        <w:rPr>
          <w:rFonts w:ascii="Arial" w:hAnsi="Arial" w:cs="Arial"/>
        </w:rPr>
        <w:t>Zastoupen:</w:t>
      </w:r>
      <w:r w:rsidRPr="009E58E0">
        <w:rPr>
          <w:rFonts w:ascii="Arial" w:hAnsi="Arial" w:cs="Arial"/>
        </w:rPr>
        <w:tab/>
      </w:r>
      <w:r>
        <w:rPr>
          <w:rFonts w:ascii="Arial" w:hAnsi="Arial" w:cs="Arial"/>
        </w:rPr>
        <w:t xml:space="preserve">Ing. Ivo Chmelík, statutární ředitel </w:t>
      </w:r>
    </w:p>
    <w:p w:rsidR="002D0D0B" w:rsidRPr="009E58E0" w:rsidRDefault="002D0D0B" w:rsidP="002D0D0B">
      <w:pPr>
        <w:tabs>
          <w:tab w:val="left" w:pos="3119"/>
        </w:tabs>
        <w:spacing w:before="20" w:after="20" w:line="240" w:lineRule="exact"/>
        <w:rPr>
          <w:rFonts w:ascii="Arial" w:hAnsi="Arial" w:cs="Arial"/>
        </w:rPr>
      </w:pPr>
      <w:r w:rsidRPr="009E58E0">
        <w:rPr>
          <w:rFonts w:ascii="Arial" w:hAnsi="Arial" w:cs="Arial"/>
        </w:rPr>
        <w:t xml:space="preserve">                                                       </w:t>
      </w:r>
    </w:p>
    <w:p w:rsidR="002D0D0B" w:rsidRDefault="002D0D0B" w:rsidP="002D0D0B">
      <w:pPr>
        <w:tabs>
          <w:tab w:val="left" w:pos="3686"/>
        </w:tabs>
        <w:outlineLvl w:val="0"/>
        <w:rPr>
          <w:rFonts w:ascii="Arial" w:hAnsi="Arial" w:cs="Arial"/>
        </w:rPr>
      </w:pPr>
      <w:r>
        <w:rPr>
          <w:rFonts w:ascii="Arial" w:hAnsi="Arial" w:cs="Arial"/>
        </w:rPr>
        <w:t>Oprávněná</w:t>
      </w:r>
      <w:r w:rsidRPr="0063765E">
        <w:rPr>
          <w:rFonts w:ascii="Arial" w:hAnsi="Arial" w:cs="Arial"/>
        </w:rPr>
        <w:t xml:space="preserve"> osoba </w:t>
      </w:r>
      <w:r>
        <w:rPr>
          <w:rFonts w:ascii="Arial" w:hAnsi="Arial" w:cs="Arial"/>
        </w:rPr>
        <w:t xml:space="preserve">k jednání </w:t>
      </w:r>
    </w:p>
    <w:p w:rsidR="002D0D0B" w:rsidRPr="0063765E" w:rsidRDefault="002D0D0B" w:rsidP="002D0D0B">
      <w:pPr>
        <w:tabs>
          <w:tab w:val="left" w:pos="3686"/>
        </w:tabs>
        <w:outlineLvl w:val="0"/>
        <w:rPr>
          <w:rFonts w:ascii="Arial" w:hAnsi="Arial" w:cs="Arial"/>
        </w:rPr>
      </w:pPr>
      <w:r>
        <w:rPr>
          <w:rFonts w:ascii="Arial" w:hAnsi="Arial" w:cs="Arial"/>
        </w:rPr>
        <w:t xml:space="preserve">ve věcech </w:t>
      </w:r>
      <w:r w:rsidRPr="0063765E">
        <w:rPr>
          <w:rFonts w:ascii="Arial" w:hAnsi="Arial" w:cs="Arial"/>
        </w:rPr>
        <w:t>obchodních a techn</w:t>
      </w:r>
      <w:r>
        <w:rPr>
          <w:rFonts w:ascii="Arial" w:hAnsi="Arial" w:cs="Arial"/>
        </w:rPr>
        <w:t>.</w:t>
      </w:r>
      <w:r w:rsidRPr="0063765E">
        <w:rPr>
          <w:rFonts w:ascii="Arial" w:hAnsi="Arial" w:cs="Arial"/>
        </w:rPr>
        <w:t xml:space="preserve">: </w:t>
      </w:r>
      <w:r>
        <w:rPr>
          <w:rFonts w:ascii="Arial" w:hAnsi="Arial" w:cs="Arial"/>
        </w:rPr>
        <w:t xml:space="preserve">     </w:t>
      </w:r>
      <w:r w:rsidRPr="0063765E">
        <w:rPr>
          <w:rFonts w:ascii="Arial" w:hAnsi="Arial" w:cs="Arial"/>
        </w:rPr>
        <w:t xml:space="preserve">Ing. Libor Mikulec, </w:t>
      </w:r>
      <w:r>
        <w:rPr>
          <w:rFonts w:ascii="Arial" w:hAnsi="Arial" w:cs="Arial"/>
        </w:rPr>
        <w:t>v</w:t>
      </w:r>
      <w:r w:rsidRPr="0063765E">
        <w:rPr>
          <w:rFonts w:ascii="Arial" w:hAnsi="Arial" w:cs="Arial"/>
        </w:rPr>
        <w:t xml:space="preserve">edoucí </w:t>
      </w:r>
      <w:r>
        <w:rPr>
          <w:rFonts w:ascii="Arial" w:hAnsi="Arial" w:cs="Arial"/>
        </w:rPr>
        <w:t>úseku</w:t>
      </w:r>
      <w:r w:rsidRPr="0063765E">
        <w:rPr>
          <w:rFonts w:ascii="Arial" w:hAnsi="Arial" w:cs="Arial"/>
        </w:rPr>
        <w:t xml:space="preserve"> </w:t>
      </w:r>
      <w:r>
        <w:rPr>
          <w:rFonts w:ascii="Arial" w:hAnsi="Arial" w:cs="Arial"/>
        </w:rPr>
        <w:t>S</w:t>
      </w:r>
      <w:r w:rsidRPr="0063765E">
        <w:rPr>
          <w:rFonts w:ascii="Arial" w:hAnsi="Arial" w:cs="Arial"/>
        </w:rPr>
        <w:t xml:space="preserve">ervis </w:t>
      </w:r>
    </w:p>
    <w:p w:rsidR="002D0D0B" w:rsidRPr="0063765E" w:rsidRDefault="000D5E29" w:rsidP="002D0D0B">
      <w:pPr>
        <w:widowControl w:val="0"/>
        <w:tabs>
          <w:tab w:val="left" w:pos="0"/>
        </w:tabs>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2005330</wp:posOffset>
                </wp:positionH>
                <wp:positionV relativeFrom="paragraph">
                  <wp:posOffset>19050</wp:posOffset>
                </wp:positionV>
                <wp:extent cx="2847975" cy="314325"/>
                <wp:effectExtent l="0" t="0" r="28575" b="28575"/>
                <wp:wrapNone/>
                <wp:docPr id="1" name="Obdélník 1"/>
                <wp:cNvGraphicFramePr/>
                <a:graphic xmlns:a="http://schemas.openxmlformats.org/drawingml/2006/main">
                  <a:graphicData uri="http://schemas.microsoft.com/office/word/2010/wordprocessingShape">
                    <wps:wsp>
                      <wps:cNvSpPr/>
                      <wps:spPr>
                        <a:xfrm>
                          <a:off x="0" y="0"/>
                          <a:ext cx="2847975" cy="3143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 o:spid="_x0000_s1026" style="position:absolute;margin-left:157.9pt;margin-top:1.5pt;width:224.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" fillcolor="white [3201]" strokecolor="#5b9bd5 [3204]" strokeweight="1pt"/>
            </w:pict>
          </mc:Fallback>
        </mc:AlternateContent>
      </w:r>
      <w:r w:rsidR="002D0D0B" w:rsidRPr="0063765E">
        <w:rPr>
          <w:rFonts w:ascii="Arial" w:hAnsi="Arial" w:cs="Arial"/>
        </w:rPr>
        <w:t>e</w:t>
      </w:r>
      <w:r w:rsidR="002D0D0B" w:rsidRPr="0063765E">
        <w:rPr>
          <w:rFonts w:ascii="Arial" w:hAnsi="Arial" w:cs="Arial"/>
          <w:b/>
        </w:rPr>
        <w:t>-</w:t>
      </w:r>
      <w:r w:rsidR="002D0D0B" w:rsidRPr="0063765E">
        <w:rPr>
          <w:rFonts w:ascii="Arial" w:hAnsi="Arial" w:cs="Arial"/>
        </w:rPr>
        <w:t>mail:</w:t>
      </w:r>
      <w:r w:rsidR="002D0D0B" w:rsidRPr="0063765E">
        <w:rPr>
          <w:rFonts w:ascii="Arial" w:hAnsi="Arial" w:cs="Arial"/>
        </w:rPr>
        <w:tab/>
        <w:t xml:space="preserve">                                        </w:t>
      </w:r>
      <w:r w:rsidR="002D0D0B">
        <w:rPr>
          <w:rFonts w:ascii="Arial" w:hAnsi="Arial" w:cs="Arial"/>
        </w:rPr>
        <w:t xml:space="preserve">    </w:t>
      </w:r>
      <w:hyperlink r:id="rId10" w:history="1">
        <w:r w:rsidR="002D0D0B" w:rsidRPr="00C6659C">
          <w:rPr>
            <w:rStyle w:val="Hypertextovodkaz"/>
            <w:rFonts w:ascii="Arial" w:hAnsi="Arial" w:cs="Arial"/>
          </w:rPr>
          <w:t>libor.mikulec@gosteel.cz</w:t>
        </w:r>
      </w:hyperlink>
      <w:r w:rsidR="002D0D0B" w:rsidRPr="0063765E">
        <w:rPr>
          <w:rFonts w:ascii="Arial" w:hAnsi="Arial" w:cs="Arial"/>
          <w:color w:val="3366FF"/>
          <w:u w:val="single"/>
        </w:rPr>
        <w:t xml:space="preserve"> </w:t>
      </w:r>
    </w:p>
    <w:p w:rsidR="002D0D0B" w:rsidRPr="0063765E" w:rsidRDefault="002D0D0B" w:rsidP="002D0D0B">
      <w:pPr>
        <w:widowControl w:val="0"/>
        <w:tabs>
          <w:tab w:val="left" w:pos="0"/>
        </w:tabs>
        <w:rPr>
          <w:rFonts w:ascii="Arial" w:hAnsi="Arial" w:cs="Arial"/>
        </w:rPr>
      </w:pPr>
      <w:r w:rsidRPr="0063765E">
        <w:rPr>
          <w:rFonts w:ascii="Arial" w:hAnsi="Arial" w:cs="Arial"/>
        </w:rPr>
        <w:t>tel.:</w:t>
      </w:r>
      <w:r w:rsidRPr="0063765E">
        <w:rPr>
          <w:rFonts w:ascii="Arial" w:hAnsi="Arial" w:cs="Arial"/>
        </w:rPr>
        <w:tab/>
        <w:t xml:space="preserve">                                        </w:t>
      </w:r>
      <w:r>
        <w:rPr>
          <w:rFonts w:ascii="Arial" w:hAnsi="Arial" w:cs="Arial"/>
        </w:rPr>
        <w:t xml:space="preserve">    </w:t>
      </w:r>
      <w:r w:rsidRPr="0063765E">
        <w:rPr>
          <w:rFonts w:ascii="Arial" w:hAnsi="Arial" w:cs="Arial"/>
        </w:rPr>
        <w:t xml:space="preserve">558 48 2572, fax: 558 482194, mobil: 606 773 308 </w:t>
      </w:r>
    </w:p>
    <w:p w:rsidR="002D0D0B" w:rsidRPr="0063765E" w:rsidRDefault="002D0D0B" w:rsidP="002D0D0B">
      <w:pPr>
        <w:tabs>
          <w:tab w:val="left" w:pos="3119"/>
        </w:tabs>
        <w:spacing w:before="20" w:after="20" w:line="240" w:lineRule="exact"/>
        <w:rPr>
          <w:rFonts w:ascii="Arial" w:hAnsi="Arial" w:cs="Arial"/>
        </w:rPr>
      </w:pPr>
      <w:r w:rsidRPr="0063765E">
        <w:rPr>
          <w:rFonts w:ascii="Arial" w:hAnsi="Arial" w:cs="Arial"/>
        </w:rPr>
        <w:t xml:space="preserve">                                                              </w:t>
      </w:r>
    </w:p>
    <w:p w:rsidR="002D0D0B" w:rsidRPr="009E58E0" w:rsidRDefault="002D0D0B" w:rsidP="002D0D0B">
      <w:pPr>
        <w:tabs>
          <w:tab w:val="left" w:pos="3119"/>
        </w:tabs>
        <w:spacing w:before="20" w:after="20" w:line="240" w:lineRule="exact"/>
        <w:rPr>
          <w:rFonts w:ascii="Arial" w:hAnsi="Arial" w:cs="Arial"/>
        </w:rPr>
      </w:pPr>
      <w:r w:rsidRPr="009E58E0">
        <w:rPr>
          <w:rFonts w:ascii="Arial" w:hAnsi="Arial" w:cs="Arial"/>
        </w:rPr>
        <w:t>Bankovní spojení:</w:t>
      </w:r>
      <w:r w:rsidRPr="009E58E0">
        <w:rPr>
          <w:rFonts w:ascii="Arial" w:hAnsi="Arial" w:cs="Arial"/>
        </w:rPr>
        <w:tab/>
      </w:r>
      <w:r>
        <w:rPr>
          <w:rFonts w:ascii="Arial" w:hAnsi="Arial" w:cs="Arial"/>
        </w:rPr>
        <w:t>Komerční banka a.s.</w:t>
      </w:r>
    </w:p>
    <w:p w:rsidR="002D0D0B" w:rsidRPr="009E58E0" w:rsidRDefault="000D5E29" w:rsidP="002D0D0B">
      <w:pPr>
        <w:tabs>
          <w:tab w:val="left" w:pos="3119"/>
        </w:tabs>
        <w:spacing w:before="20" w:after="20" w:line="240" w:lineRule="exact"/>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1948180</wp:posOffset>
                </wp:positionH>
                <wp:positionV relativeFrom="paragraph">
                  <wp:posOffset>12700</wp:posOffset>
                </wp:positionV>
                <wp:extent cx="1352550" cy="142875"/>
                <wp:effectExtent l="0" t="0" r="19050" b="28575"/>
                <wp:wrapNone/>
                <wp:docPr id="3" name="Obdélník 3"/>
                <wp:cNvGraphicFramePr/>
                <a:graphic xmlns:a="http://schemas.openxmlformats.org/drawingml/2006/main">
                  <a:graphicData uri="http://schemas.microsoft.com/office/word/2010/wordprocessingShape">
                    <wps:wsp>
                      <wps:cNvSpPr/>
                      <wps:spPr>
                        <a:xfrm>
                          <a:off x="0" y="0"/>
                          <a:ext cx="1352550" cy="1428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153.4pt;margin-top:1pt;width:106.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" fillcolor="white [3201]" strokecolor="#5b9bd5 [3204]" strokeweight="1pt"/>
            </w:pict>
          </mc:Fallback>
        </mc:AlternateContent>
      </w:r>
      <w:r w:rsidR="002D0D0B" w:rsidRPr="009E58E0">
        <w:rPr>
          <w:rFonts w:ascii="Arial" w:hAnsi="Arial" w:cs="Arial"/>
        </w:rPr>
        <w:t>Číslo účtu:</w:t>
      </w:r>
      <w:r w:rsidR="002D0D0B" w:rsidRPr="009E58E0">
        <w:rPr>
          <w:rFonts w:ascii="Arial" w:hAnsi="Arial" w:cs="Arial"/>
        </w:rPr>
        <w:tab/>
      </w:r>
      <w:r w:rsidR="002D0D0B">
        <w:rPr>
          <w:rFonts w:ascii="Arial" w:hAnsi="Arial" w:cs="Arial"/>
        </w:rPr>
        <w:t>27 – 5540220277/0100</w:t>
      </w:r>
    </w:p>
    <w:p w:rsidR="002D0D0B" w:rsidRPr="009E58E0" w:rsidRDefault="002D0D0B" w:rsidP="002D0D0B">
      <w:pPr>
        <w:tabs>
          <w:tab w:val="left" w:pos="3119"/>
        </w:tabs>
        <w:spacing w:before="20" w:after="20" w:line="240" w:lineRule="exact"/>
        <w:rPr>
          <w:rFonts w:ascii="Arial" w:hAnsi="Arial" w:cs="Arial"/>
        </w:rPr>
      </w:pPr>
      <w:r w:rsidRPr="009E58E0">
        <w:rPr>
          <w:rFonts w:ascii="Arial" w:hAnsi="Arial" w:cs="Arial"/>
        </w:rPr>
        <w:t>IČO:</w:t>
      </w:r>
      <w:r w:rsidRPr="009E58E0">
        <w:rPr>
          <w:rFonts w:ascii="Arial" w:hAnsi="Arial" w:cs="Arial"/>
        </w:rPr>
        <w:tab/>
      </w:r>
      <w:r>
        <w:rPr>
          <w:rFonts w:ascii="Arial" w:hAnsi="Arial" w:cs="Arial"/>
        </w:rPr>
        <w:t>047 95 784</w:t>
      </w:r>
    </w:p>
    <w:p w:rsidR="002D0D0B" w:rsidRPr="009E58E0" w:rsidRDefault="002D0D0B" w:rsidP="002D0D0B">
      <w:pPr>
        <w:tabs>
          <w:tab w:val="left" w:pos="3119"/>
        </w:tabs>
        <w:spacing w:before="20" w:after="20" w:line="240" w:lineRule="exact"/>
        <w:rPr>
          <w:rFonts w:ascii="Arial" w:hAnsi="Arial" w:cs="Arial"/>
        </w:rPr>
      </w:pPr>
      <w:r w:rsidRPr="009E58E0">
        <w:rPr>
          <w:rFonts w:ascii="Arial" w:hAnsi="Arial" w:cs="Arial"/>
        </w:rPr>
        <w:t>DIČ:</w:t>
      </w:r>
      <w:r w:rsidRPr="009E58E0">
        <w:rPr>
          <w:rFonts w:ascii="Arial" w:hAnsi="Arial" w:cs="Arial"/>
        </w:rPr>
        <w:tab/>
        <w:t>CZ</w:t>
      </w:r>
      <w:r>
        <w:rPr>
          <w:rFonts w:ascii="Arial" w:hAnsi="Arial" w:cs="Arial"/>
        </w:rPr>
        <w:t>04795784</w:t>
      </w:r>
      <w:r w:rsidRPr="009E58E0">
        <w:rPr>
          <w:rFonts w:ascii="Arial" w:hAnsi="Arial" w:cs="Arial"/>
        </w:rPr>
        <w:t xml:space="preserve"> </w:t>
      </w:r>
    </w:p>
    <w:p w:rsidR="002D0D0B" w:rsidRDefault="002D0D0B" w:rsidP="002D0D0B">
      <w:pPr>
        <w:pStyle w:val="Zkladntext"/>
        <w:tabs>
          <w:tab w:val="clear" w:pos="4111"/>
          <w:tab w:val="clear" w:pos="5245"/>
          <w:tab w:val="clear" w:pos="6521"/>
          <w:tab w:val="clear" w:pos="7938"/>
          <w:tab w:val="left" w:pos="3261"/>
        </w:tabs>
        <w:spacing w:before="20" w:after="20" w:line="240" w:lineRule="exact"/>
        <w:jc w:val="left"/>
        <w:rPr>
          <w:rFonts w:ascii="Arial" w:hAnsi="Arial" w:cs="Arial"/>
          <w:sz w:val="20"/>
        </w:rPr>
      </w:pPr>
      <w:r w:rsidRPr="009E58E0">
        <w:rPr>
          <w:rFonts w:ascii="Arial" w:hAnsi="Arial" w:cs="Arial"/>
          <w:sz w:val="20"/>
        </w:rPr>
        <w:t>Zápis v obchodním rejstříku:</w:t>
      </w:r>
      <w:r w:rsidRPr="009E58E0">
        <w:rPr>
          <w:rFonts w:ascii="Arial" w:hAnsi="Arial" w:cs="Arial"/>
          <w:sz w:val="20"/>
        </w:rPr>
        <w:tab/>
        <w:t>Krajský soud v Ostravě, odd.</w:t>
      </w:r>
      <w:r>
        <w:rPr>
          <w:rFonts w:ascii="Arial" w:hAnsi="Arial" w:cs="Arial"/>
          <w:sz w:val="20"/>
        </w:rPr>
        <w:t xml:space="preserve"> </w:t>
      </w:r>
      <w:r w:rsidRPr="009E58E0">
        <w:rPr>
          <w:rFonts w:ascii="Arial" w:hAnsi="Arial" w:cs="Arial"/>
          <w:sz w:val="20"/>
        </w:rPr>
        <w:t xml:space="preserve">B, vložka </w:t>
      </w:r>
      <w:r>
        <w:rPr>
          <w:rFonts w:ascii="Arial" w:hAnsi="Arial" w:cs="Arial"/>
          <w:sz w:val="20"/>
        </w:rPr>
        <w:t>10956</w:t>
      </w:r>
    </w:p>
    <w:p w:rsidR="002D0D0B" w:rsidRDefault="002D0D0B" w:rsidP="002D0D0B">
      <w:pPr>
        <w:pStyle w:val="Zkladntext"/>
        <w:tabs>
          <w:tab w:val="clear" w:pos="4111"/>
          <w:tab w:val="clear" w:pos="5245"/>
          <w:tab w:val="clear" w:pos="6521"/>
          <w:tab w:val="clear" w:pos="7938"/>
          <w:tab w:val="left" w:pos="3261"/>
        </w:tabs>
        <w:spacing w:before="20" w:after="20" w:line="240" w:lineRule="exact"/>
        <w:jc w:val="left"/>
        <w:rPr>
          <w:rFonts w:ascii="Arial" w:hAnsi="Arial" w:cs="Arial"/>
          <w:sz w:val="20"/>
        </w:rPr>
      </w:pPr>
      <w:r w:rsidRPr="009E58E0">
        <w:rPr>
          <w:rFonts w:ascii="Arial" w:hAnsi="Arial" w:cs="Arial"/>
          <w:sz w:val="20"/>
        </w:rPr>
        <w:tab/>
      </w:r>
    </w:p>
    <w:p w:rsidR="002D0D0B" w:rsidRPr="0084365A" w:rsidRDefault="002D0D0B" w:rsidP="002D0D0B">
      <w:pPr>
        <w:pStyle w:val="Zkladntext"/>
        <w:tabs>
          <w:tab w:val="clear" w:pos="4111"/>
          <w:tab w:val="clear" w:pos="5245"/>
          <w:tab w:val="clear" w:pos="6521"/>
          <w:tab w:val="clear" w:pos="7938"/>
          <w:tab w:val="left" w:pos="3261"/>
        </w:tabs>
        <w:spacing w:before="20" w:after="20" w:line="240" w:lineRule="exact"/>
        <w:jc w:val="left"/>
        <w:rPr>
          <w:rFonts w:ascii="Arial" w:hAnsi="Arial" w:cs="Arial"/>
          <w:b/>
          <w:sz w:val="20"/>
        </w:rPr>
      </w:pPr>
      <w:r w:rsidRPr="0084365A">
        <w:rPr>
          <w:rFonts w:ascii="Arial" w:hAnsi="Arial" w:cs="Arial"/>
          <w:b/>
          <w:sz w:val="20"/>
        </w:rPr>
        <w:t>a</w:t>
      </w:r>
    </w:p>
    <w:p w:rsidR="002D0D0B" w:rsidRPr="009E58E0" w:rsidRDefault="002D0D0B" w:rsidP="002D0D0B">
      <w:pPr>
        <w:tabs>
          <w:tab w:val="left" w:pos="3119"/>
        </w:tabs>
        <w:spacing w:before="20" w:after="20" w:line="240" w:lineRule="exact"/>
        <w:jc w:val="both"/>
        <w:rPr>
          <w:rFonts w:ascii="Arial" w:hAnsi="Arial" w:cs="Arial"/>
        </w:rPr>
      </w:pPr>
      <w:r>
        <w:rPr>
          <w:rFonts w:ascii="Arial" w:hAnsi="Arial" w:cs="Arial"/>
        </w:rPr>
        <w:t xml:space="preserve">    </w:t>
      </w:r>
    </w:p>
    <w:p w:rsidR="005D0773" w:rsidRPr="00160114" w:rsidRDefault="005D0773" w:rsidP="005D0773">
      <w:pPr>
        <w:tabs>
          <w:tab w:val="left" w:pos="3119"/>
        </w:tabs>
        <w:spacing w:before="20" w:after="20" w:line="240" w:lineRule="exact"/>
        <w:rPr>
          <w:rFonts w:ascii="Arial" w:hAnsi="Arial" w:cs="Arial"/>
        </w:rPr>
      </w:pPr>
      <w:r>
        <w:rPr>
          <w:rFonts w:ascii="Arial" w:hAnsi="Arial" w:cs="Arial"/>
          <w:b/>
        </w:rPr>
        <w:t>Kupující</w:t>
      </w:r>
      <w:r w:rsidRPr="009E58E0">
        <w:rPr>
          <w:rFonts w:ascii="Arial" w:hAnsi="Arial" w:cs="Arial"/>
          <w:b/>
        </w:rPr>
        <w:t>:</w:t>
      </w:r>
      <w:r>
        <w:rPr>
          <w:rFonts w:ascii="Arial" w:hAnsi="Arial" w:cs="Arial"/>
          <w:b/>
        </w:rPr>
        <w:t xml:space="preserve"> </w:t>
      </w:r>
      <w:r w:rsidRPr="00160114">
        <w:rPr>
          <w:rFonts w:ascii="Arial" w:hAnsi="Arial" w:cs="Arial"/>
        </w:rPr>
        <w:t>(„</w:t>
      </w:r>
      <w:r>
        <w:rPr>
          <w:rFonts w:ascii="Arial" w:hAnsi="Arial" w:cs="Arial"/>
        </w:rPr>
        <w:t>Zákazník</w:t>
      </w:r>
      <w:r w:rsidRPr="00160114">
        <w:rPr>
          <w:rFonts w:ascii="Arial" w:hAnsi="Arial" w:cs="Arial"/>
        </w:rPr>
        <w:t>“)</w:t>
      </w:r>
    </w:p>
    <w:p w:rsidR="005D0773" w:rsidRPr="009E58E0" w:rsidRDefault="005D0773" w:rsidP="005D0773">
      <w:pPr>
        <w:tabs>
          <w:tab w:val="left" w:pos="3119"/>
        </w:tabs>
        <w:spacing w:before="20" w:after="20" w:line="240" w:lineRule="exact"/>
        <w:jc w:val="both"/>
        <w:rPr>
          <w:rFonts w:ascii="Arial" w:hAnsi="Arial" w:cs="Arial"/>
        </w:rPr>
      </w:pPr>
    </w:p>
    <w:p w:rsidR="005D0773" w:rsidRPr="00C246D4" w:rsidRDefault="005D0773" w:rsidP="005D0773">
      <w:pPr>
        <w:tabs>
          <w:tab w:val="left" w:pos="3119"/>
        </w:tabs>
        <w:spacing w:before="20" w:after="20" w:line="240" w:lineRule="exact"/>
        <w:rPr>
          <w:rFonts w:ascii="Arial" w:hAnsi="Arial" w:cs="Arial"/>
        </w:rPr>
      </w:pPr>
      <w:r w:rsidRPr="00C246D4">
        <w:rPr>
          <w:rFonts w:ascii="Arial" w:hAnsi="Arial" w:cs="Arial"/>
        </w:rPr>
        <w:tab/>
      </w:r>
      <w:r w:rsidRPr="00C246D4">
        <w:rPr>
          <w:rFonts w:ascii="Arial" w:hAnsi="Arial" w:cs="Arial"/>
          <w:b/>
        </w:rPr>
        <w:t>Střední odborná škola, Frýdek -  Místek</w:t>
      </w:r>
    </w:p>
    <w:p w:rsidR="005D0773" w:rsidRPr="00C246D4" w:rsidRDefault="005D0773" w:rsidP="005D0773">
      <w:pPr>
        <w:tabs>
          <w:tab w:val="left" w:pos="3119"/>
        </w:tabs>
        <w:spacing w:before="20" w:after="20" w:line="240" w:lineRule="exact"/>
        <w:rPr>
          <w:rFonts w:ascii="Arial" w:hAnsi="Arial" w:cs="Arial"/>
          <w:b/>
        </w:rPr>
      </w:pPr>
      <w:r w:rsidRPr="00C246D4">
        <w:rPr>
          <w:rFonts w:ascii="Arial" w:hAnsi="Arial" w:cs="Arial"/>
        </w:rPr>
        <w:t xml:space="preserve">                                                        </w:t>
      </w:r>
      <w:r w:rsidRPr="00C246D4">
        <w:rPr>
          <w:rFonts w:ascii="Arial" w:hAnsi="Arial" w:cs="Arial"/>
          <w:b/>
        </w:rPr>
        <w:t>příspěvková organizace</w:t>
      </w:r>
    </w:p>
    <w:p w:rsidR="005D0773" w:rsidRPr="00C246D4" w:rsidRDefault="005D0773" w:rsidP="005D0773">
      <w:pPr>
        <w:tabs>
          <w:tab w:val="left" w:pos="3119"/>
        </w:tabs>
        <w:spacing w:before="20" w:after="20" w:line="240" w:lineRule="exact"/>
        <w:rPr>
          <w:rFonts w:ascii="Arial" w:hAnsi="Arial" w:cs="Arial"/>
        </w:rPr>
      </w:pPr>
      <w:r w:rsidRPr="00C246D4">
        <w:rPr>
          <w:rFonts w:ascii="Arial" w:hAnsi="Arial" w:cs="Arial"/>
        </w:rPr>
        <w:t>se sídlem</w:t>
      </w:r>
      <w:r w:rsidRPr="00C246D4">
        <w:rPr>
          <w:rFonts w:ascii="Arial" w:hAnsi="Arial" w:cs="Arial"/>
        </w:rPr>
        <w:tab/>
        <w:t>Lískovecká 2089, 738 01 Frýdek - Místek</w:t>
      </w:r>
    </w:p>
    <w:p w:rsidR="005D0773" w:rsidRPr="00C246D4" w:rsidRDefault="005D0773" w:rsidP="005D0773">
      <w:pPr>
        <w:tabs>
          <w:tab w:val="left" w:pos="3119"/>
        </w:tabs>
        <w:spacing w:before="20" w:after="20" w:line="240" w:lineRule="exact"/>
        <w:rPr>
          <w:rFonts w:ascii="Arial" w:hAnsi="Arial" w:cs="Arial"/>
        </w:rPr>
      </w:pPr>
    </w:p>
    <w:p w:rsidR="005D0773" w:rsidRPr="00C246D4" w:rsidRDefault="005D0773" w:rsidP="005D0773">
      <w:pPr>
        <w:tabs>
          <w:tab w:val="left" w:pos="3119"/>
        </w:tabs>
        <w:spacing w:before="20" w:after="20" w:line="240" w:lineRule="exact"/>
        <w:rPr>
          <w:rFonts w:ascii="Arial" w:hAnsi="Arial" w:cs="Arial"/>
        </w:rPr>
      </w:pPr>
      <w:r w:rsidRPr="00C246D4">
        <w:rPr>
          <w:rFonts w:ascii="Arial" w:hAnsi="Arial" w:cs="Arial"/>
        </w:rPr>
        <w:t>Jednající:                                         Ing. Pavel Řezníček – ředitel školy</w:t>
      </w:r>
    </w:p>
    <w:p w:rsidR="005D0773" w:rsidRPr="00C246D4" w:rsidRDefault="005D0773" w:rsidP="005D0773">
      <w:pPr>
        <w:tabs>
          <w:tab w:val="left" w:pos="3119"/>
        </w:tabs>
        <w:spacing w:before="20" w:after="20" w:line="240" w:lineRule="exact"/>
        <w:rPr>
          <w:rFonts w:ascii="Arial" w:hAnsi="Arial" w:cs="Arial"/>
        </w:rPr>
      </w:pPr>
    </w:p>
    <w:p w:rsidR="005D0773" w:rsidRPr="00C246D4" w:rsidRDefault="005D0773" w:rsidP="005D0773">
      <w:pPr>
        <w:tabs>
          <w:tab w:val="left" w:pos="3119"/>
        </w:tabs>
        <w:spacing w:before="20" w:after="20" w:line="240" w:lineRule="exact"/>
        <w:rPr>
          <w:rFonts w:ascii="Arial" w:hAnsi="Arial" w:cs="Arial"/>
        </w:rPr>
      </w:pPr>
      <w:r w:rsidRPr="00C246D4">
        <w:rPr>
          <w:rFonts w:ascii="Arial" w:hAnsi="Arial" w:cs="Arial"/>
        </w:rPr>
        <w:t>Bankovní spojení:</w:t>
      </w:r>
      <w:r w:rsidRPr="00C246D4">
        <w:rPr>
          <w:rFonts w:ascii="Arial" w:hAnsi="Arial" w:cs="Arial"/>
        </w:rPr>
        <w:tab/>
        <w:t>Komerční banka, a.s. pobočka F-M</w:t>
      </w:r>
    </w:p>
    <w:p w:rsidR="005D0773" w:rsidRPr="00C246D4" w:rsidRDefault="000D5E29" w:rsidP="005D0773">
      <w:pPr>
        <w:tabs>
          <w:tab w:val="left" w:pos="3119"/>
        </w:tabs>
        <w:spacing w:before="20" w:after="20" w:line="240" w:lineRule="exact"/>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1976755</wp:posOffset>
                </wp:positionH>
                <wp:positionV relativeFrom="paragraph">
                  <wp:posOffset>9525</wp:posOffset>
                </wp:positionV>
                <wp:extent cx="971550" cy="142875"/>
                <wp:effectExtent l="0" t="0" r="19050" b="28575"/>
                <wp:wrapNone/>
                <wp:docPr id="4" name="Obdélník 4"/>
                <wp:cNvGraphicFramePr/>
                <a:graphic xmlns:a="http://schemas.openxmlformats.org/drawingml/2006/main">
                  <a:graphicData uri="http://schemas.microsoft.com/office/word/2010/wordprocessingShape">
                    <wps:wsp>
                      <wps:cNvSpPr/>
                      <wps:spPr>
                        <a:xfrm>
                          <a:off x="0" y="0"/>
                          <a:ext cx="971550" cy="1428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4" o:spid="_x0000_s1026" style="position:absolute;margin-left:155.65pt;margin-top:.75pt;width:76.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" fillcolor="white [3201]" strokecolor="#5b9bd5 [3204]" strokeweight="1pt"/>
            </w:pict>
          </mc:Fallback>
        </mc:AlternateContent>
      </w:r>
      <w:r w:rsidR="005D0773" w:rsidRPr="00C246D4">
        <w:rPr>
          <w:rFonts w:ascii="Arial" w:hAnsi="Arial" w:cs="Arial"/>
        </w:rPr>
        <w:t>Číslo účtu:</w:t>
      </w:r>
      <w:r w:rsidR="005D0773" w:rsidRPr="00C246D4">
        <w:rPr>
          <w:rFonts w:ascii="Arial" w:hAnsi="Arial" w:cs="Arial"/>
        </w:rPr>
        <w:tab/>
        <w:t>31839-781 /0100</w:t>
      </w:r>
    </w:p>
    <w:p w:rsidR="005D0773" w:rsidRPr="00C246D4" w:rsidRDefault="005D0773" w:rsidP="005D0773">
      <w:pPr>
        <w:tabs>
          <w:tab w:val="left" w:pos="3119"/>
        </w:tabs>
        <w:spacing w:before="20" w:after="20" w:line="240" w:lineRule="exact"/>
        <w:rPr>
          <w:rFonts w:ascii="Arial" w:hAnsi="Arial" w:cs="Arial"/>
        </w:rPr>
      </w:pPr>
      <w:r w:rsidRPr="00C246D4">
        <w:rPr>
          <w:rFonts w:ascii="Arial" w:hAnsi="Arial" w:cs="Arial"/>
        </w:rPr>
        <w:t>IČ:</w:t>
      </w:r>
      <w:r w:rsidRPr="00C246D4">
        <w:rPr>
          <w:rFonts w:ascii="Arial" w:hAnsi="Arial" w:cs="Arial"/>
        </w:rPr>
        <w:tab/>
        <w:t>00844691</w:t>
      </w:r>
    </w:p>
    <w:p w:rsidR="005D0773" w:rsidRPr="00C246D4" w:rsidRDefault="005D0773" w:rsidP="005D0773">
      <w:pPr>
        <w:tabs>
          <w:tab w:val="left" w:pos="3119"/>
        </w:tabs>
        <w:spacing w:before="20" w:after="20" w:line="240" w:lineRule="exact"/>
        <w:rPr>
          <w:rFonts w:ascii="Arial" w:hAnsi="Arial" w:cs="Arial"/>
        </w:rPr>
      </w:pPr>
      <w:r w:rsidRPr="00C246D4">
        <w:rPr>
          <w:rFonts w:ascii="Arial" w:hAnsi="Arial" w:cs="Arial"/>
        </w:rPr>
        <w:t>DIČ:</w:t>
      </w:r>
      <w:r w:rsidRPr="00C246D4">
        <w:rPr>
          <w:rFonts w:ascii="Arial" w:hAnsi="Arial" w:cs="Arial"/>
        </w:rPr>
        <w:tab/>
        <w:t>CZ 008 44 691</w:t>
      </w:r>
      <w:bookmarkStart w:id="0" w:name="_GoBack"/>
      <w:bookmarkEnd w:id="0"/>
    </w:p>
    <w:p w:rsidR="005D0773" w:rsidRPr="00C246D4" w:rsidRDefault="005D0773" w:rsidP="005D0773">
      <w:pPr>
        <w:tabs>
          <w:tab w:val="left" w:pos="3119"/>
        </w:tabs>
        <w:spacing w:before="20" w:after="20" w:line="240" w:lineRule="exact"/>
        <w:rPr>
          <w:rFonts w:ascii="Arial" w:hAnsi="Arial" w:cs="Arial"/>
        </w:rPr>
      </w:pPr>
      <w:r w:rsidRPr="00C246D4">
        <w:rPr>
          <w:rFonts w:ascii="Arial" w:hAnsi="Arial" w:cs="Arial"/>
        </w:rPr>
        <w:t>Zápis v obchodním rejstříku:</w:t>
      </w:r>
    </w:p>
    <w:p w:rsidR="005D0773" w:rsidRPr="00C246D4" w:rsidRDefault="005D0773" w:rsidP="005D0773">
      <w:pPr>
        <w:tabs>
          <w:tab w:val="left" w:pos="3119"/>
        </w:tabs>
        <w:spacing w:before="20" w:after="20" w:line="240" w:lineRule="exact"/>
        <w:rPr>
          <w:rFonts w:ascii="Arial" w:hAnsi="Arial" w:cs="Arial"/>
        </w:rPr>
      </w:pPr>
    </w:p>
    <w:p w:rsidR="005D0773" w:rsidRPr="00C246D4" w:rsidRDefault="005D0773" w:rsidP="005D0773">
      <w:pPr>
        <w:tabs>
          <w:tab w:val="left" w:pos="3119"/>
        </w:tabs>
        <w:spacing w:before="20" w:after="20" w:line="240" w:lineRule="exact"/>
        <w:rPr>
          <w:rFonts w:ascii="Arial" w:hAnsi="Arial" w:cs="Arial"/>
        </w:rPr>
      </w:pPr>
    </w:p>
    <w:p w:rsidR="005D0773" w:rsidRPr="00C246D4" w:rsidRDefault="005D0773" w:rsidP="005D0773">
      <w:pPr>
        <w:tabs>
          <w:tab w:val="left" w:pos="3119"/>
        </w:tabs>
        <w:spacing w:before="20" w:after="20" w:line="240" w:lineRule="exact"/>
        <w:rPr>
          <w:rFonts w:ascii="Arial" w:hAnsi="Arial" w:cs="Arial"/>
        </w:rPr>
      </w:pPr>
      <w:r w:rsidRPr="00C246D4">
        <w:rPr>
          <w:rFonts w:ascii="Arial" w:hAnsi="Arial" w:cs="Arial"/>
        </w:rPr>
        <w:t xml:space="preserve">Osoba oprávněná jednat </w:t>
      </w:r>
      <w:r w:rsidRPr="00C246D4">
        <w:rPr>
          <w:rFonts w:ascii="Arial" w:hAnsi="Arial" w:cs="Arial"/>
        </w:rPr>
        <w:tab/>
      </w:r>
    </w:p>
    <w:p w:rsidR="005D0773" w:rsidRPr="00C246D4" w:rsidRDefault="000D5E29" w:rsidP="005D0773">
      <w:pPr>
        <w:widowControl w:val="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1948180</wp:posOffset>
                </wp:positionH>
                <wp:positionV relativeFrom="paragraph">
                  <wp:posOffset>25400</wp:posOffset>
                </wp:positionV>
                <wp:extent cx="2647950" cy="390525"/>
                <wp:effectExtent l="0" t="0" r="19050" b="28575"/>
                <wp:wrapNone/>
                <wp:docPr id="2" name="Obdélník 2"/>
                <wp:cNvGraphicFramePr/>
                <a:graphic xmlns:a="http://schemas.openxmlformats.org/drawingml/2006/main">
                  <a:graphicData uri="http://schemas.microsoft.com/office/word/2010/wordprocessingShape">
                    <wps:wsp>
                      <wps:cNvSpPr/>
                      <wps:spPr>
                        <a:xfrm>
                          <a:off x="0" y="0"/>
                          <a:ext cx="2647950" cy="3905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153.4pt;margin-top:2pt;width:208.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" fillcolor="white [3201]" strokecolor="#5b9bd5 [3204]" strokeweight="1pt"/>
            </w:pict>
          </mc:Fallback>
        </mc:AlternateContent>
      </w:r>
      <w:r w:rsidR="005D0773" w:rsidRPr="00C246D4">
        <w:rPr>
          <w:rFonts w:ascii="Arial" w:hAnsi="Arial" w:cs="Arial"/>
        </w:rPr>
        <w:t xml:space="preserve">v operativním řízení:                      </w:t>
      </w:r>
      <w:r w:rsidR="005D0773">
        <w:rPr>
          <w:rFonts w:ascii="Arial" w:hAnsi="Arial" w:cs="Arial"/>
        </w:rPr>
        <w:t xml:space="preserve"> </w:t>
      </w:r>
      <w:r w:rsidR="005D0773" w:rsidRPr="00C246D4">
        <w:rPr>
          <w:rFonts w:ascii="Arial" w:hAnsi="Arial" w:cs="Arial"/>
        </w:rPr>
        <w:t xml:space="preserve">Mgr. Eduard </w:t>
      </w:r>
      <w:proofErr w:type="spellStart"/>
      <w:r w:rsidR="005D0773" w:rsidRPr="00C246D4">
        <w:rPr>
          <w:rFonts w:ascii="Arial" w:hAnsi="Arial" w:cs="Arial"/>
        </w:rPr>
        <w:t>Boščík</w:t>
      </w:r>
      <w:proofErr w:type="spellEnd"/>
      <w:r w:rsidR="005D0773" w:rsidRPr="00C246D4">
        <w:rPr>
          <w:rFonts w:ascii="Arial" w:hAnsi="Arial" w:cs="Arial"/>
        </w:rPr>
        <w:t xml:space="preserve"> – zástupce ředitele pro PV                                                    </w:t>
      </w:r>
    </w:p>
    <w:p w:rsidR="005D0773" w:rsidRPr="00930A82" w:rsidRDefault="005D0773" w:rsidP="005D0773">
      <w:pPr>
        <w:widowControl w:val="0"/>
        <w:rPr>
          <w:rFonts w:ascii="Arial" w:hAnsi="Arial" w:cs="Arial"/>
        </w:rPr>
      </w:pPr>
      <w:r w:rsidRPr="00C246D4">
        <w:rPr>
          <w:rFonts w:ascii="Arial" w:hAnsi="Arial" w:cs="Arial"/>
        </w:rPr>
        <w:t xml:space="preserve">e-mail:                                            </w:t>
      </w:r>
      <w:r>
        <w:rPr>
          <w:rFonts w:ascii="Arial" w:hAnsi="Arial" w:cs="Arial"/>
        </w:rPr>
        <w:t xml:space="preserve"> </w:t>
      </w:r>
      <w:hyperlink r:id="rId11" w:history="1">
        <w:r w:rsidR="00930A82" w:rsidRPr="00930A82">
          <w:rPr>
            <w:rStyle w:val="Hypertextovodkaz"/>
            <w:rFonts w:ascii="Arial" w:hAnsi="Arial" w:cs="Arial"/>
          </w:rPr>
          <w:t>boscik@sosfm.cz</w:t>
        </w:r>
      </w:hyperlink>
    </w:p>
    <w:p w:rsidR="005D0773" w:rsidRPr="00C246D4" w:rsidRDefault="005D0773" w:rsidP="005D0773">
      <w:pPr>
        <w:tabs>
          <w:tab w:val="left" w:pos="3045"/>
          <w:tab w:val="center" w:pos="4677"/>
          <w:tab w:val="left" w:pos="4706"/>
          <w:tab w:val="left" w:pos="6124"/>
          <w:tab w:val="left" w:pos="6691"/>
          <w:tab w:val="left" w:pos="7144"/>
          <w:tab w:val="left" w:pos="8108"/>
        </w:tabs>
        <w:rPr>
          <w:rFonts w:ascii="Arial" w:hAnsi="Arial" w:cs="Arial"/>
        </w:rPr>
      </w:pPr>
      <w:r w:rsidRPr="00C246D4">
        <w:rPr>
          <w:rFonts w:ascii="Arial" w:hAnsi="Arial" w:cs="Arial"/>
        </w:rPr>
        <w:t>tel.:</w:t>
      </w:r>
      <w:r w:rsidRPr="00C246D4">
        <w:rPr>
          <w:rFonts w:ascii="Arial" w:hAnsi="Arial" w:cs="Arial"/>
        </w:rPr>
        <w:tab/>
      </w:r>
      <w:r>
        <w:rPr>
          <w:rFonts w:ascii="Arial" w:hAnsi="Arial" w:cs="Arial"/>
        </w:rPr>
        <w:t xml:space="preserve"> </w:t>
      </w:r>
      <w:r w:rsidRPr="00C246D4">
        <w:rPr>
          <w:rFonts w:ascii="Arial" w:hAnsi="Arial" w:cs="Arial"/>
        </w:rPr>
        <w:t xml:space="preserve">558 48 2720                        </w:t>
      </w:r>
    </w:p>
    <w:p w:rsidR="005D0773" w:rsidRPr="00C246D4" w:rsidRDefault="005D0773" w:rsidP="005D0773">
      <w:pPr>
        <w:widowControl w:val="0"/>
        <w:rPr>
          <w:rFonts w:ascii="Arial" w:hAnsi="Arial" w:cs="Arial"/>
        </w:rPr>
      </w:pPr>
      <w:r w:rsidRPr="00C246D4">
        <w:rPr>
          <w:rFonts w:ascii="Arial" w:hAnsi="Arial" w:cs="Arial"/>
        </w:rPr>
        <w:t xml:space="preserve">  </w:t>
      </w:r>
      <w:r w:rsidRPr="00C246D4">
        <w:rPr>
          <w:rFonts w:ascii="Arial" w:hAnsi="Arial" w:cs="Arial"/>
        </w:rPr>
        <w:tab/>
      </w:r>
      <w:r w:rsidRPr="00C246D4">
        <w:rPr>
          <w:rFonts w:ascii="Arial" w:hAnsi="Arial" w:cs="Arial"/>
        </w:rPr>
        <w:tab/>
      </w:r>
      <w:r w:rsidRPr="00C246D4">
        <w:rPr>
          <w:rFonts w:ascii="Arial" w:hAnsi="Arial" w:cs="Arial"/>
        </w:rPr>
        <w:tab/>
        <w:t xml:space="preserve">                                                                                                                                   </w:t>
      </w:r>
    </w:p>
    <w:p w:rsidR="00C803F2" w:rsidRDefault="00C803F2" w:rsidP="00C803F2">
      <w:pPr>
        <w:tabs>
          <w:tab w:val="left" w:pos="3119"/>
        </w:tabs>
        <w:spacing w:before="20" w:after="20" w:line="240" w:lineRule="exact"/>
        <w:rPr>
          <w:rFonts w:ascii="Arial" w:hAnsi="Arial" w:cs="Arial"/>
        </w:rPr>
      </w:pPr>
      <w:r>
        <w:rPr>
          <w:rFonts w:ascii="Arial" w:hAnsi="Arial" w:cs="Arial"/>
        </w:rPr>
        <w:t>Adresy vzájemného písemného styku:</w:t>
      </w:r>
    </w:p>
    <w:p w:rsidR="00C803F2" w:rsidRDefault="00C803F2" w:rsidP="00C803F2">
      <w:pPr>
        <w:tabs>
          <w:tab w:val="left" w:pos="3119"/>
        </w:tabs>
        <w:spacing w:before="20" w:after="20" w:line="240" w:lineRule="exact"/>
        <w:rPr>
          <w:rFonts w:ascii="Arial" w:hAnsi="Arial" w:cs="Arial"/>
        </w:rPr>
      </w:pPr>
      <w:r>
        <w:rPr>
          <w:rFonts w:ascii="Arial" w:hAnsi="Arial" w:cs="Arial"/>
        </w:rPr>
        <w:t>Prodávající: GO Steel Frýdek Místek a.s., Míru 3777, 738 01 Frýdek-Místek</w:t>
      </w:r>
    </w:p>
    <w:p w:rsidR="00C803F2" w:rsidRPr="00C246D4" w:rsidRDefault="00C803F2" w:rsidP="00C803F2">
      <w:pPr>
        <w:tabs>
          <w:tab w:val="left" w:pos="3119"/>
        </w:tabs>
        <w:spacing w:before="20" w:after="20" w:line="240" w:lineRule="exact"/>
        <w:rPr>
          <w:rFonts w:ascii="Arial" w:hAnsi="Arial" w:cs="Arial"/>
        </w:rPr>
      </w:pPr>
      <w:r>
        <w:rPr>
          <w:rFonts w:ascii="Arial" w:hAnsi="Arial" w:cs="Arial"/>
        </w:rPr>
        <w:t xml:space="preserve">Kupující: </w:t>
      </w:r>
      <w:r w:rsidR="003F7757">
        <w:rPr>
          <w:rFonts w:ascii="Arial" w:hAnsi="Arial" w:cs="Arial"/>
        </w:rPr>
        <w:t xml:space="preserve">Střední odborná škola Frýdek – Místek, </w:t>
      </w:r>
      <w:r w:rsidRPr="00C246D4">
        <w:rPr>
          <w:rFonts w:ascii="Arial" w:hAnsi="Arial" w:cs="Arial"/>
        </w:rPr>
        <w:t>Lískovecká 2089, 738 01 Frýdek - Místek</w:t>
      </w:r>
    </w:p>
    <w:p w:rsidR="002D0D0B" w:rsidRDefault="002D0D0B" w:rsidP="002D0D0B">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360" w:lineRule="auto"/>
        <w:ind w:left="0" w:right="0"/>
        <w:jc w:val="both"/>
        <w:rPr>
          <w:sz w:val="20"/>
          <w:szCs w:val="20"/>
        </w:rPr>
      </w:pPr>
      <w:r w:rsidRPr="009E6FC6">
        <w:rPr>
          <w:b w:val="0"/>
          <w:sz w:val="20"/>
          <w:szCs w:val="20"/>
        </w:rPr>
        <w:lastRenderedPageBreak/>
        <w:t xml:space="preserve">uzavírají dnešního dne měsíce a roku, na základě úplného konsensu o všech níže uvedených skutečnostech </w:t>
      </w:r>
      <w:r w:rsidRPr="009E6FC6">
        <w:rPr>
          <w:sz w:val="20"/>
          <w:szCs w:val="20"/>
        </w:rPr>
        <w:t>tuto</w:t>
      </w:r>
    </w:p>
    <w:p w:rsidR="002D0D0B" w:rsidRDefault="002D0D0B" w:rsidP="002D0D0B">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jc w:val="both"/>
        <w:rPr>
          <w:sz w:val="20"/>
          <w:szCs w:val="20"/>
        </w:rPr>
      </w:pPr>
    </w:p>
    <w:p w:rsidR="002D0D0B" w:rsidRDefault="002D0D0B" w:rsidP="002D0D0B">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jc w:val="center"/>
        <w:rPr>
          <w:sz w:val="28"/>
          <w:szCs w:val="28"/>
        </w:rPr>
      </w:pPr>
      <w:r>
        <w:rPr>
          <w:sz w:val="28"/>
          <w:szCs w:val="28"/>
        </w:rPr>
        <w:t>Kupní Smlouvu o sdružených službách dodávky zemního plynu</w:t>
      </w:r>
    </w:p>
    <w:p w:rsidR="002D0D0B" w:rsidRDefault="002D0D0B" w:rsidP="002D0D0B">
      <w:pPr>
        <w:pStyle w:val="8ptreg"/>
        <w:spacing w:line="240" w:lineRule="auto"/>
        <w:ind w:left="0" w:right="0"/>
        <w:jc w:val="center"/>
        <w:rPr>
          <w:b/>
          <w:bCs/>
          <w:sz w:val="20"/>
          <w:szCs w:val="20"/>
        </w:rPr>
      </w:pPr>
      <w:r>
        <w:rPr>
          <w:b/>
          <w:bCs/>
          <w:sz w:val="20"/>
          <w:szCs w:val="20"/>
        </w:rPr>
        <w:t>Č. EN/P 2/2019</w:t>
      </w:r>
    </w:p>
    <w:p w:rsidR="002D0D0B" w:rsidRDefault="002D0D0B" w:rsidP="002D0D0B">
      <w:pPr>
        <w:pStyle w:val="8ptreg"/>
        <w:spacing w:line="240" w:lineRule="auto"/>
        <w:ind w:left="0" w:right="0"/>
        <w:jc w:val="center"/>
        <w:rPr>
          <w:b/>
          <w:bCs/>
          <w:sz w:val="20"/>
          <w:szCs w:val="20"/>
        </w:rPr>
      </w:pPr>
    </w:p>
    <w:p w:rsidR="002D0D0B" w:rsidRDefault="002D0D0B" w:rsidP="002D0D0B">
      <w:pPr>
        <w:jc w:val="center"/>
        <w:rPr>
          <w:rFonts w:ascii="Arial" w:hAnsi="Arial" w:cs="Arial"/>
        </w:rPr>
      </w:pPr>
      <w:r>
        <w:rPr>
          <w:rFonts w:ascii="Arial" w:hAnsi="Arial" w:cs="Arial"/>
        </w:rPr>
        <w:t>Podle ustanovení §1746 odst. 2 zákona č. 89/2016 Sb., Občanský zákoník</w:t>
      </w:r>
    </w:p>
    <w:p w:rsidR="002D0D0B" w:rsidRDefault="002D0D0B" w:rsidP="002D0D0B">
      <w:pPr>
        <w:jc w:val="center"/>
        <w:rPr>
          <w:rFonts w:ascii="Arial" w:hAnsi="Arial" w:cs="Arial"/>
          <w:i/>
          <w:iCs/>
        </w:rPr>
      </w:pPr>
      <w:r>
        <w:rPr>
          <w:rFonts w:ascii="Arial" w:hAnsi="Arial" w:cs="Arial"/>
        </w:rPr>
        <w:t>[dále jen „Smlouva“]</w:t>
      </w:r>
    </w:p>
    <w:p w:rsidR="002D0D0B" w:rsidRDefault="002D0D0B" w:rsidP="002D0D0B">
      <w:pPr>
        <w:pStyle w:val="8ptreg"/>
        <w:spacing w:line="240" w:lineRule="auto"/>
        <w:ind w:left="0" w:right="0"/>
        <w:jc w:val="center"/>
        <w:rPr>
          <w:b/>
          <w:bCs/>
          <w:sz w:val="20"/>
          <w:szCs w:val="20"/>
        </w:rPr>
      </w:pPr>
    </w:p>
    <w:p w:rsidR="002D0D0B" w:rsidRDefault="002D0D0B" w:rsidP="002D0D0B">
      <w:pPr>
        <w:pStyle w:val="8ptreg"/>
        <w:spacing w:line="240" w:lineRule="auto"/>
        <w:ind w:left="0" w:right="0"/>
        <w:jc w:val="center"/>
        <w:rPr>
          <w:b/>
          <w:bCs/>
          <w:sz w:val="20"/>
          <w:szCs w:val="20"/>
        </w:rPr>
      </w:pPr>
    </w:p>
    <w:p w:rsidR="002D0D0B" w:rsidRDefault="002D0D0B" w:rsidP="002D0D0B">
      <w:pPr>
        <w:pStyle w:val="8ptreg"/>
        <w:spacing w:line="240" w:lineRule="auto"/>
        <w:ind w:left="0" w:right="0"/>
        <w:jc w:val="center"/>
        <w:outlineLvl w:val="0"/>
        <w:rPr>
          <w:b/>
          <w:bCs/>
          <w:sz w:val="20"/>
          <w:szCs w:val="20"/>
        </w:rPr>
      </w:pPr>
      <w:r>
        <w:rPr>
          <w:b/>
          <w:bCs/>
          <w:sz w:val="20"/>
          <w:szCs w:val="20"/>
        </w:rPr>
        <w:t xml:space="preserve">Článek I.   </w:t>
      </w:r>
    </w:p>
    <w:p w:rsidR="002D0D0B" w:rsidRDefault="002D0D0B" w:rsidP="002D0D0B">
      <w:pPr>
        <w:pStyle w:val="8ptreg"/>
        <w:spacing w:line="240" w:lineRule="auto"/>
        <w:ind w:left="0" w:right="0"/>
        <w:jc w:val="center"/>
        <w:rPr>
          <w:b/>
          <w:bCs/>
          <w:sz w:val="20"/>
          <w:szCs w:val="20"/>
        </w:rPr>
      </w:pPr>
      <w:r>
        <w:rPr>
          <w:b/>
          <w:bCs/>
          <w:sz w:val="20"/>
          <w:szCs w:val="20"/>
        </w:rPr>
        <w:t>ÚVODNÍ USTANOVENÍ</w:t>
      </w:r>
    </w:p>
    <w:p w:rsidR="002D0D0B" w:rsidRDefault="002D0D0B" w:rsidP="002D0D0B">
      <w:pPr>
        <w:pStyle w:val="8ptreg"/>
        <w:spacing w:line="240" w:lineRule="auto"/>
        <w:ind w:left="0" w:right="0"/>
        <w:jc w:val="center"/>
        <w:rPr>
          <w:b/>
          <w:bCs/>
          <w:sz w:val="20"/>
          <w:szCs w:val="20"/>
        </w:rPr>
      </w:pPr>
    </w:p>
    <w:p w:rsidR="002D0D0B" w:rsidRDefault="002D0D0B" w:rsidP="002D0D0B">
      <w:pPr>
        <w:numPr>
          <w:ilvl w:val="0"/>
          <w:numId w:val="3"/>
        </w:numPr>
        <w:tabs>
          <w:tab w:val="clear" w:pos="2340"/>
          <w:tab w:val="num" w:pos="284"/>
        </w:tabs>
        <w:ind w:left="284" w:hanging="284"/>
        <w:jc w:val="both"/>
        <w:rPr>
          <w:rFonts w:ascii="Arial" w:hAnsi="Arial" w:cs="Arial"/>
          <w:iCs/>
        </w:rPr>
      </w:pPr>
      <w:r>
        <w:rPr>
          <w:rFonts w:ascii="Arial" w:hAnsi="Arial" w:cs="Arial"/>
        </w:rPr>
        <w:t xml:space="preserve">Smlouva uzavřená podle ustanovení § 72, odst. 2 zákona č. 458/2000 Sb., Energetický zákon [dále jen „EZ“] v režimu přenesení odpovědnosti za odchylku na Obchodníka </w:t>
      </w:r>
      <w:r>
        <w:rPr>
          <w:rFonts w:ascii="Arial" w:hAnsi="Arial" w:cs="Arial"/>
          <w:iCs/>
        </w:rPr>
        <w:t xml:space="preserve">podle ustanovení § 26 vyhlášky Energetického regulačního úřadu [dále jen „ERÚ”] č. 349/2015 Sb., o Pravidlech trhu s plynem, zásadách tvorby cen za činnost operátora trhu s elektřinou a provedení některých dalších ustanovení energetického zákona [dále jen „Pravidla trhu s plynem“], má charakter smlouvy o sdružených službách dodávky plynu uzavřené podle ustanovení § 72 odst. 2, EZ. Zákazník podle § 5 odst. 3 „Pravidel trhu s plynem“ vyslovuje souhlas, aby Obchodník dle pokynů Zákazníka sjednal s příslušným provozovatelem distribuční soustavy [dále jen „PDS“] smlouvu o dodávce a distribuci zemního plynu (dále jen plynu) do odběrného místa Zákazníka </w:t>
      </w:r>
      <w:r>
        <w:rPr>
          <w:rFonts w:ascii="Arial" w:hAnsi="Arial" w:cs="Arial"/>
        </w:rPr>
        <w:t>[</w:t>
      </w:r>
      <w:r>
        <w:rPr>
          <w:rFonts w:ascii="Arial" w:hAnsi="Arial" w:cs="Arial"/>
          <w:iCs/>
        </w:rPr>
        <w:t>dále jen „OM“].</w:t>
      </w:r>
    </w:p>
    <w:p w:rsidR="002D0D0B" w:rsidRDefault="002D0D0B" w:rsidP="002D0D0B">
      <w:pPr>
        <w:jc w:val="both"/>
        <w:rPr>
          <w:rFonts w:ascii="Arial" w:hAnsi="Arial" w:cs="Arial"/>
          <w:iCs/>
        </w:rPr>
      </w:pPr>
    </w:p>
    <w:p w:rsidR="002D0D0B" w:rsidRDefault="002D0D0B" w:rsidP="002D0D0B">
      <w:pPr>
        <w:numPr>
          <w:ilvl w:val="0"/>
          <w:numId w:val="3"/>
        </w:numPr>
        <w:tabs>
          <w:tab w:val="clear" w:pos="2340"/>
          <w:tab w:val="num" w:pos="284"/>
        </w:tabs>
        <w:ind w:left="284" w:hanging="284"/>
        <w:jc w:val="both"/>
        <w:rPr>
          <w:rFonts w:ascii="Arial" w:hAnsi="Arial" w:cs="Arial"/>
        </w:rPr>
      </w:pPr>
      <w:r>
        <w:rPr>
          <w:rFonts w:ascii="Arial" w:hAnsi="Arial" w:cs="Arial"/>
        </w:rPr>
        <w:t>Nedílnou součástí této smlouvy jsou Obchodní podmínky pro prodej energetických médií (dále jen „OP“), kde jsou podrobněji upravena vzájemná práva a povinnosti smluvních stran. Ujednání ve Smlouvě mají přednost před ustanoveními v </w:t>
      </w:r>
      <w:proofErr w:type="gramStart"/>
      <w:r>
        <w:rPr>
          <w:rFonts w:ascii="Arial" w:hAnsi="Arial" w:cs="Arial"/>
        </w:rPr>
        <w:t>OP</w:t>
      </w:r>
      <w:proofErr w:type="gramEnd"/>
      <w:r>
        <w:rPr>
          <w:rFonts w:ascii="Arial" w:hAnsi="Arial" w:cs="Arial"/>
        </w:rPr>
        <w:t xml:space="preserve">, pokud jsou s nimi v rozporu. V případě změn OP se vzájemné vztahy smluvních stran řídí OP platnými ke dni řešení těchto vztahů. </w:t>
      </w:r>
    </w:p>
    <w:p w:rsidR="002D0D0B" w:rsidRDefault="002D0D0B" w:rsidP="002D0D0B">
      <w:pPr>
        <w:jc w:val="both"/>
        <w:rPr>
          <w:rFonts w:ascii="Arial" w:hAnsi="Arial" w:cs="Arial"/>
        </w:rPr>
      </w:pPr>
    </w:p>
    <w:p w:rsidR="002D0D0B" w:rsidRDefault="002D0D0B" w:rsidP="002D0D0B">
      <w:pPr>
        <w:pStyle w:val="8ptreg"/>
        <w:tabs>
          <w:tab w:val="clear" w:pos="1247"/>
        </w:tabs>
        <w:spacing w:line="240" w:lineRule="auto"/>
        <w:ind w:left="0" w:right="0" w:hanging="168"/>
        <w:jc w:val="both"/>
        <w:rPr>
          <w:sz w:val="20"/>
          <w:szCs w:val="20"/>
        </w:rPr>
      </w:pPr>
    </w:p>
    <w:p w:rsidR="002D0D0B" w:rsidRDefault="002D0D0B" w:rsidP="002D0D0B">
      <w:pPr>
        <w:pStyle w:val="8ptreg"/>
        <w:spacing w:line="240" w:lineRule="auto"/>
        <w:ind w:left="0" w:right="0" w:hanging="168"/>
        <w:jc w:val="center"/>
        <w:outlineLvl w:val="0"/>
        <w:rPr>
          <w:b/>
          <w:bCs/>
          <w:sz w:val="20"/>
          <w:szCs w:val="20"/>
        </w:rPr>
      </w:pPr>
      <w:r>
        <w:rPr>
          <w:b/>
          <w:bCs/>
          <w:sz w:val="20"/>
          <w:szCs w:val="20"/>
        </w:rPr>
        <w:t xml:space="preserve">Článek II.   </w:t>
      </w:r>
    </w:p>
    <w:p w:rsidR="002D0D0B" w:rsidRDefault="002D0D0B" w:rsidP="002D0D0B">
      <w:pPr>
        <w:pStyle w:val="8ptreg"/>
        <w:spacing w:line="240" w:lineRule="auto"/>
        <w:ind w:left="0" w:right="0" w:hanging="168"/>
        <w:jc w:val="center"/>
        <w:rPr>
          <w:b/>
          <w:bCs/>
          <w:sz w:val="20"/>
          <w:szCs w:val="20"/>
        </w:rPr>
      </w:pPr>
      <w:r>
        <w:rPr>
          <w:b/>
          <w:bCs/>
          <w:sz w:val="20"/>
          <w:szCs w:val="20"/>
        </w:rPr>
        <w:t>PŘEDMĚT SMLOUVY</w:t>
      </w:r>
    </w:p>
    <w:p w:rsidR="002D0D0B" w:rsidRDefault="002D0D0B" w:rsidP="002D0D0B">
      <w:pPr>
        <w:pStyle w:val="8ptreg"/>
        <w:spacing w:line="240" w:lineRule="auto"/>
        <w:ind w:left="0" w:right="0" w:hanging="168"/>
        <w:jc w:val="center"/>
        <w:rPr>
          <w:b/>
          <w:bCs/>
          <w:sz w:val="20"/>
          <w:szCs w:val="20"/>
        </w:rPr>
      </w:pPr>
    </w:p>
    <w:p w:rsidR="002D0D0B" w:rsidRDefault="002D0D0B" w:rsidP="002D0D0B">
      <w:pPr>
        <w:numPr>
          <w:ilvl w:val="0"/>
          <w:numId w:val="4"/>
        </w:numPr>
        <w:tabs>
          <w:tab w:val="clear" w:pos="2340"/>
          <w:tab w:val="num" w:pos="284"/>
        </w:tabs>
        <w:ind w:left="284" w:hanging="284"/>
        <w:jc w:val="both"/>
        <w:rPr>
          <w:rFonts w:ascii="Arial" w:hAnsi="Arial" w:cs="Arial"/>
        </w:rPr>
      </w:pPr>
      <w:r>
        <w:rPr>
          <w:rFonts w:ascii="Arial" w:hAnsi="Arial" w:cs="Arial"/>
        </w:rPr>
        <w:t>Předmětem Smlouvy o sdružených službách dodávky zemního plynu (dále jen „Smlouva“) je závazek Obchodníka dodat Zákazníkovi do odběrných míst zemní plyn (dále jen plyn), vymezený množstvím a jakostí plynu a převést vlastnické právo na Zákazníka. Zákazník se zavazuje plyn odebrat a přijmout do svého vlastnictví a uhradit Obchodníkovi řádně a včas dohodnutou cenu za dodávku plynu a za distribuční služby.</w:t>
      </w:r>
    </w:p>
    <w:p w:rsidR="002D0D0B" w:rsidRDefault="002D0D0B" w:rsidP="002D0D0B">
      <w:pPr>
        <w:tabs>
          <w:tab w:val="num" w:pos="284"/>
        </w:tabs>
        <w:ind w:left="284" w:hanging="284"/>
        <w:jc w:val="both"/>
        <w:rPr>
          <w:rFonts w:ascii="Arial" w:hAnsi="Arial" w:cs="Arial"/>
        </w:rPr>
      </w:pPr>
    </w:p>
    <w:p w:rsidR="002D0D0B" w:rsidRDefault="002D0D0B" w:rsidP="002D0D0B">
      <w:pPr>
        <w:numPr>
          <w:ilvl w:val="0"/>
          <w:numId w:val="4"/>
        </w:numPr>
        <w:tabs>
          <w:tab w:val="clear" w:pos="2340"/>
          <w:tab w:val="num" w:pos="284"/>
        </w:tabs>
        <w:ind w:left="284" w:hanging="284"/>
        <w:jc w:val="both"/>
        <w:rPr>
          <w:rFonts w:ascii="Arial" w:hAnsi="Arial" w:cs="Arial"/>
        </w:rPr>
      </w:pPr>
      <w:r>
        <w:rPr>
          <w:rFonts w:ascii="Arial" w:hAnsi="Arial" w:cs="Arial"/>
        </w:rPr>
        <w:t>Dodávka plynu se uskutečňuje v souladu s touto Smlouvou do odběrných míst dle přílohy č. 1 této Smlouvy a platnými Obchodními podmínkami, které tvoří přílohu č. 2.</w:t>
      </w:r>
    </w:p>
    <w:p w:rsidR="002D0D0B" w:rsidRDefault="002D0D0B" w:rsidP="002D0D0B">
      <w:pPr>
        <w:jc w:val="both"/>
        <w:rPr>
          <w:rFonts w:ascii="Arial" w:hAnsi="Arial" w:cs="Arial"/>
        </w:rPr>
      </w:pPr>
    </w:p>
    <w:p w:rsidR="002D0D0B" w:rsidRDefault="002D0D0B" w:rsidP="002D0D0B">
      <w:pPr>
        <w:numPr>
          <w:ilvl w:val="0"/>
          <w:numId w:val="4"/>
        </w:numPr>
        <w:tabs>
          <w:tab w:val="clear" w:pos="2340"/>
          <w:tab w:val="num" w:pos="284"/>
        </w:tabs>
        <w:ind w:left="284" w:hanging="284"/>
        <w:jc w:val="both"/>
        <w:rPr>
          <w:rFonts w:ascii="Arial" w:hAnsi="Arial" w:cs="Arial"/>
        </w:rPr>
      </w:pPr>
      <w:r>
        <w:rPr>
          <w:rFonts w:ascii="Arial" w:hAnsi="Arial" w:cs="Arial"/>
        </w:rPr>
        <w:t>Obchodník přebírá odpovědnost za odchylku ve smyslu vyhlášky č. 349/2015 Sb. v platném znění.</w:t>
      </w:r>
    </w:p>
    <w:p w:rsidR="002D0D0B" w:rsidRDefault="002D0D0B" w:rsidP="002D0D0B">
      <w:pPr>
        <w:pStyle w:val="8ptreg"/>
        <w:tabs>
          <w:tab w:val="left" w:pos="748"/>
        </w:tabs>
        <w:spacing w:line="240" w:lineRule="auto"/>
        <w:ind w:left="0" w:right="0" w:hanging="168"/>
        <w:jc w:val="both"/>
        <w:rPr>
          <w:sz w:val="20"/>
          <w:szCs w:val="20"/>
        </w:rPr>
      </w:pPr>
    </w:p>
    <w:p w:rsidR="000451AF" w:rsidRDefault="000451AF" w:rsidP="002D0D0B">
      <w:pPr>
        <w:pStyle w:val="8ptreg"/>
        <w:tabs>
          <w:tab w:val="left" w:pos="748"/>
        </w:tabs>
        <w:spacing w:line="240" w:lineRule="auto"/>
        <w:ind w:left="0" w:right="0" w:hanging="168"/>
        <w:jc w:val="both"/>
        <w:rPr>
          <w:sz w:val="20"/>
          <w:szCs w:val="20"/>
        </w:rPr>
      </w:pPr>
    </w:p>
    <w:p w:rsidR="002D0D0B" w:rsidRDefault="002D0D0B" w:rsidP="002D0D0B">
      <w:pPr>
        <w:pStyle w:val="8ptreg"/>
        <w:spacing w:line="240" w:lineRule="auto"/>
        <w:ind w:left="0" w:right="0" w:hanging="168"/>
        <w:jc w:val="center"/>
        <w:outlineLvl w:val="0"/>
        <w:rPr>
          <w:b/>
          <w:bCs/>
          <w:sz w:val="20"/>
          <w:szCs w:val="20"/>
        </w:rPr>
      </w:pPr>
      <w:r>
        <w:rPr>
          <w:b/>
          <w:bCs/>
          <w:sz w:val="20"/>
          <w:szCs w:val="20"/>
        </w:rPr>
        <w:t xml:space="preserve">Článek III.   </w:t>
      </w:r>
    </w:p>
    <w:p w:rsidR="002D0D0B" w:rsidRDefault="002D0D0B" w:rsidP="002D0D0B">
      <w:pPr>
        <w:pStyle w:val="8ptreg"/>
        <w:spacing w:line="240" w:lineRule="auto"/>
        <w:ind w:left="0" w:right="0" w:hanging="168"/>
        <w:jc w:val="center"/>
        <w:rPr>
          <w:b/>
          <w:bCs/>
          <w:sz w:val="20"/>
          <w:szCs w:val="20"/>
        </w:rPr>
      </w:pPr>
      <w:r>
        <w:rPr>
          <w:b/>
          <w:bCs/>
          <w:sz w:val="20"/>
          <w:szCs w:val="20"/>
        </w:rPr>
        <w:t>SPECIFIKACE ODBĚRNÉHO MÍSTA</w:t>
      </w:r>
    </w:p>
    <w:p w:rsidR="002D0D0B" w:rsidRDefault="002D0D0B" w:rsidP="002D0D0B">
      <w:pPr>
        <w:pStyle w:val="8ptreg"/>
        <w:tabs>
          <w:tab w:val="clear" w:pos="4706"/>
          <w:tab w:val="left" w:pos="2805"/>
        </w:tabs>
        <w:spacing w:line="240" w:lineRule="auto"/>
        <w:ind w:left="360" w:right="0"/>
        <w:rPr>
          <w:b/>
          <w:bCs/>
          <w:sz w:val="20"/>
          <w:szCs w:val="20"/>
        </w:rPr>
      </w:pPr>
    </w:p>
    <w:tbl>
      <w:tblPr>
        <w:tblW w:w="8920" w:type="dxa"/>
        <w:tblInd w:w="70" w:type="dxa"/>
        <w:tblCellMar>
          <w:left w:w="70" w:type="dxa"/>
          <w:right w:w="70" w:type="dxa"/>
        </w:tblCellMar>
        <w:tblLook w:val="04A0" w:firstRow="1" w:lastRow="0" w:firstColumn="1" w:lastColumn="0" w:noHBand="0" w:noVBand="1"/>
      </w:tblPr>
      <w:tblGrid>
        <w:gridCol w:w="8850"/>
        <w:gridCol w:w="146"/>
        <w:gridCol w:w="146"/>
      </w:tblGrid>
      <w:tr w:rsidR="002D0D0B" w:rsidRPr="00334829" w:rsidTr="005D0773">
        <w:trPr>
          <w:trHeight w:val="255"/>
        </w:trPr>
        <w:tc>
          <w:tcPr>
            <w:tcW w:w="8920" w:type="dxa"/>
            <w:gridSpan w:val="3"/>
            <w:tcBorders>
              <w:top w:val="nil"/>
              <w:left w:val="nil"/>
              <w:bottom w:val="nil"/>
              <w:right w:val="nil"/>
            </w:tcBorders>
            <w:shd w:val="clear" w:color="auto" w:fill="auto"/>
            <w:noWrap/>
            <w:vAlign w:val="bottom"/>
            <w:hideMark/>
          </w:tcPr>
          <w:p w:rsidR="002D0D0B" w:rsidRPr="00334829" w:rsidRDefault="002D0D0B" w:rsidP="00A061D7">
            <w:pPr>
              <w:numPr>
                <w:ilvl w:val="0"/>
                <w:numId w:val="9"/>
              </w:numPr>
              <w:ind w:left="214" w:hanging="284"/>
              <w:jc w:val="both"/>
              <w:rPr>
                <w:rFonts w:ascii="Arial" w:hAnsi="Arial" w:cs="Arial"/>
              </w:rPr>
            </w:pPr>
            <w:r w:rsidRPr="003530D9">
              <w:rPr>
                <w:rFonts w:ascii="Arial" w:hAnsi="Arial" w:cs="Arial"/>
                <w:bCs/>
              </w:rPr>
              <w:t>Odběrné místo</w:t>
            </w:r>
            <w:r w:rsidR="00A061D7">
              <w:rPr>
                <w:rFonts w:ascii="Arial" w:hAnsi="Arial" w:cs="Arial"/>
                <w:bCs/>
              </w:rPr>
              <w:t xml:space="preserve"> </w:t>
            </w:r>
            <w:r>
              <w:rPr>
                <w:rFonts w:ascii="Arial" w:hAnsi="Arial" w:cs="Arial"/>
                <w:bCs/>
              </w:rPr>
              <w:t>Zákazníka</w:t>
            </w:r>
            <w:r w:rsidRPr="003530D9">
              <w:rPr>
                <w:rFonts w:ascii="Arial" w:hAnsi="Arial" w:cs="Arial"/>
                <w:bCs/>
              </w:rPr>
              <w:t xml:space="preserve"> je umístěno</w:t>
            </w:r>
            <w:r w:rsidR="00A061D7">
              <w:rPr>
                <w:rFonts w:ascii="Arial" w:hAnsi="Arial" w:cs="Arial"/>
                <w:bCs/>
              </w:rPr>
              <w:t xml:space="preserve"> ve vnitřních prostorách budovy zákazníka (dílny SOŠ)</w:t>
            </w:r>
            <w:r>
              <w:rPr>
                <w:rFonts w:ascii="Arial" w:hAnsi="Arial" w:cs="Arial"/>
                <w:bCs/>
              </w:rPr>
              <w:t>.</w:t>
            </w:r>
          </w:p>
        </w:tc>
      </w:tr>
      <w:tr w:rsidR="002D0D0B" w:rsidTr="005D0773">
        <w:trPr>
          <w:trHeight w:val="681"/>
        </w:trPr>
        <w:tc>
          <w:tcPr>
            <w:tcW w:w="8628" w:type="dxa"/>
            <w:tcBorders>
              <w:top w:val="nil"/>
              <w:left w:val="nil"/>
              <w:bottom w:val="nil"/>
              <w:right w:val="nil"/>
            </w:tcBorders>
            <w:shd w:val="clear" w:color="auto" w:fill="auto"/>
            <w:noWrap/>
            <w:vAlign w:val="bottom"/>
            <w:hideMark/>
          </w:tcPr>
          <w:p w:rsidR="000451AF" w:rsidRDefault="002D0D0B" w:rsidP="000451AF">
            <w:pPr>
              <w:pStyle w:val="8ptreg"/>
              <w:tabs>
                <w:tab w:val="clear" w:pos="4706"/>
                <w:tab w:val="left" w:pos="2805"/>
              </w:tabs>
              <w:spacing w:line="240" w:lineRule="auto"/>
              <w:ind w:left="360" w:right="0"/>
              <w:rPr>
                <w:b/>
                <w:bCs/>
                <w:sz w:val="20"/>
                <w:szCs w:val="20"/>
              </w:rPr>
            </w:pPr>
            <w:r>
              <w:t xml:space="preserve">      </w:t>
            </w:r>
          </w:p>
          <w:tbl>
            <w:tblPr>
              <w:tblW w:w="878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7"/>
              <w:gridCol w:w="880"/>
              <w:gridCol w:w="1402"/>
              <w:gridCol w:w="1227"/>
              <w:gridCol w:w="1750"/>
              <w:gridCol w:w="885"/>
              <w:gridCol w:w="885"/>
            </w:tblGrid>
            <w:tr w:rsidR="000451AF" w:rsidRPr="00AF6E94" w:rsidTr="002A717E">
              <w:trPr>
                <w:trHeight w:val="255"/>
              </w:trPr>
              <w:tc>
                <w:tcPr>
                  <w:tcW w:w="2244" w:type="dxa"/>
                  <w:gridSpan w:val="2"/>
                  <w:shd w:val="clear" w:color="auto" w:fill="auto"/>
                  <w:noWrap/>
                  <w:vAlign w:val="bottom"/>
                </w:tcPr>
                <w:p w:rsidR="000451AF" w:rsidRPr="00AF6E94" w:rsidRDefault="000451AF" w:rsidP="000451AF">
                  <w:pPr>
                    <w:jc w:val="center"/>
                    <w:rPr>
                      <w:rFonts w:ascii="Arial" w:hAnsi="Arial" w:cs="Arial"/>
                      <w:bCs/>
                    </w:rPr>
                  </w:pPr>
                  <w:r w:rsidRPr="00AF6E94">
                    <w:rPr>
                      <w:rFonts w:ascii="Arial" w:hAnsi="Arial" w:cs="Arial"/>
                      <w:bCs/>
                    </w:rPr>
                    <w:t>Seznam měřících míst:</w:t>
                  </w:r>
                </w:p>
              </w:tc>
              <w:tc>
                <w:tcPr>
                  <w:tcW w:w="2804" w:type="dxa"/>
                  <w:gridSpan w:val="2"/>
                  <w:shd w:val="clear" w:color="auto" w:fill="auto"/>
                  <w:noWrap/>
                  <w:vAlign w:val="bottom"/>
                </w:tcPr>
                <w:p w:rsidR="000451AF" w:rsidRPr="00AF6E94" w:rsidRDefault="000451AF" w:rsidP="000451AF">
                  <w:pPr>
                    <w:jc w:val="center"/>
                    <w:rPr>
                      <w:rFonts w:ascii="Arial" w:hAnsi="Arial" w:cs="Arial"/>
                      <w:bCs/>
                    </w:rPr>
                  </w:pPr>
                  <w:r w:rsidRPr="00AF6E94">
                    <w:rPr>
                      <w:rFonts w:ascii="Arial" w:hAnsi="Arial" w:cs="Arial"/>
                      <w:bCs/>
                    </w:rPr>
                    <w:t>Plynoměr</w:t>
                  </w:r>
                </w:p>
              </w:tc>
              <w:tc>
                <w:tcPr>
                  <w:tcW w:w="1871" w:type="dxa"/>
                  <w:shd w:val="clear" w:color="auto" w:fill="auto"/>
                  <w:noWrap/>
                  <w:vAlign w:val="bottom"/>
                </w:tcPr>
                <w:p w:rsidR="000451AF" w:rsidRPr="00AF6E94" w:rsidRDefault="000451AF" w:rsidP="000451AF">
                  <w:pPr>
                    <w:jc w:val="center"/>
                    <w:rPr>
                      <w:rFonts w:ascii="Arial" w:hAnsi="Arial" w:cs="Arial"/>
                      <w:bCs/>
                    </w:rPr>
                  </w:pPr>
                  <w:proofErr w:type="spellStart"/>
                  <w:r w:rsidRPr="00AF6E94">
                    <w:rPr>
                      <w:rFonts w:ascii="Arial" w:hAnsi="Arial" w:cs="Arial"/>
                      <w:bCs/>
                    </w:rPr>
                    <w:t>Přepočítávač</w:t>
                  </w:r>
                  <w:proofErr w:type="spellEnd"/>
                </w:p>
              </w:tc>
              <w:tc>
                <w:tcPr>
                  <w:tcW w:w="1870" w:type="dxa"/>
                  <w:gridSpan w:val="2"/>
                  <w:shd w:val="clear" w:color="auto" w:fill="auto"/>
                  <w:noWrap/>
                  <w:vAlign w:val="bottom"/>
                </w:tcPr>
                <w:p w:rsidR="000451AF" w:rsidRPr="00AF6E94" w:rsidRDefault="000451AF" w:rsidP="000451AF">
                  <w:pPr>
                    <w:jc w:val="center"/>
                    <w:rPr>
                      <w:rFonts w:ascii="Arial" w:hAnsi="Arial" w:cs="Arial"/>
                      <w:bCs/>
                    </w:rPr>
                  </w:pPr>
                  <w:r w:rsidRPr="00AF6E94">
                    <w:rPr>
                      <w:rFonts w:ascii="Arial" w:hAnsi="Arial" w:cs="Arial"/>
                      <w:bCs/>
                    </w:rPr>
                    <w:t>Rozsah měřidel</w:t>
                  </w:r>
                </w:p>
              </w:tc>
            </w:tr>
            <w:tr w:rsidR="000451AF" w:rsidTr="002A717E">
              <w:trPr>
                <w:trHeight w:val="255"/>
              </w:trPr>
              <w:tc>
                <w:tcPr>
                  <w:tcW w:w="1309" w:type="dxa"/>
                  <w:shd w:val="clear" w:color="auto" w:fill="auto"/>
                  <w:noWrap/>
                  <w:vAlign w:val="bottom"/>
                </w:tcPr>
                <w:p w:rsidR="000451AF" w:rsidRPr="00AF6E94" w:rsidRDefault="000451AF" w:rsidP="000451AF">
                  <w:pPr>
                    <w:rPr>
                      <w:rFonts w:ascii="Arial" w:hAnsi="Arial" w:cs="Arial"/>
                      <w:bCs/>
                    </w:rPr>
                  </w:pPr>
                </w:p>
              </w:tc>
              <w:tc>
                <w:tcPr>
                  <w:tcW w:w="935" w:type="dxa"/>
                  <w:shd w:val="clear" w:color="auto" w:fill="auto"/>
                  <w:noWrap/>
                  <w:vAlign w:val="bottom"/>
                </w:tcPr>
                <w:p w:rsidR="000451AF" w:rsidRPr="00AF6E94" w:rsidRDefault="000451AF" w:rsidP="000451AF">
                  <w:pPr>
                    <w:jc w:val="center"/>
                    <w:rPr>
                      <w:rFonts w:ascii="Arial" w:hAnsi="Arial" w:cs="Arial"/>
                      <w:bCs/>
                    </w:rPr>
                  </w:pPr>
                  <w:r w:rsidRPr="00AF6E94">
                    <w:rPr>
                      <w:rFonts w:ascii="Arial" w:hAnsi="Arial" w:cs="Arial"/>
                      <w:bCs/>
                    </w:rPr>
                    <w:t>Světlost potrubí</w:t>
                  </w:r>
                </w:p>
              </w:tc>
              <w:tc>
                <w:tcPr>
                  <w:tcW w:w="1496" w:type="dxa"/>
                  <w:shd w:val="clear" w:color="auto" w:fill="auto"/>
                  <w:noWrap/>
                  <w:vAlign w:val="bottom"/>
                </w:tcPr>
                <w:p w:rsidR="000451AF" w:rsidRPr="00AF6E94" w:rsidRDefault="000451AF" w:rsidP="000451AF">
                  <w:pPr>
                    <w:jc w:val="center"/>
                    <w:rPr>
                      <w:rFonts w:ascii="Arial" w:hAnsi="Arial" w:cs="Arial"/>
                      <w:bCs/>
                    </w:rPr>
                  </w:pPr>
                  <w:r w:rsidRPr="00AF6E94">
                    <w:rPr>
                      <w:rFonts w:ascii="Arial" w:hAnsi="Arial" w:cs="Arial"/>
                      <w:bCs/>
                    </w:rPr>
                    <w:t>Typ</w:t>
                  </w:r>
                </w:p>
              </w:tc>
              <w:tc>
                <w:tcPr>
                  <w:tcW w:w="1308" w:type="dxa"/>
                  <w:shd w:val="clear" w:color="auto" w:fill="auto"/>
                  <w:noWrap/>
                  <w:vAlign w:val="bottom"/>
                </w:tcPr>
                <w:p w:rsidR="000451AF" w:rsidRPr="00AF6E94" w:rsidRDefault="000451AF" w:rsidP="000451AF">
                  <w:pPr>
                    <w:jc w:val="center"/>
                    <w:rPr>
                      <w:rFonts w:ascii="Arial" w:hAnsi="Arial" w:cs="Arial"/>
                      <w:bCs/>
                    </w:rPr>
                  </w:pPr>
                  <w:r w:rsidRPr="00AF6E94">
                    <w:rPr>
                      <w:rFonts w:ascii="Arial" w:hAnsi="Arial" w:cs="Arial"/>
                      <w:bCs/>
                    </w:rPr>
                    <w:t>Výrobní číslo</w:t>
                  </w:r>
                </w:p>
              </w:tc>
              <w:tc>
                <w:tcPr>
                  <w:tcW w:w="1871" w:type="dxa"/>
                  <w:shd w:val="clear" w:color="auto" w:fill="auto"/>
                  <w:noWrap/>
                  <w:vAlign w:val="bottom"/>
                </w:tcPr>
                <w:p w:rsidR="000451AF" w:rsidRPr="00AF6E94" w:rsidRDefault="000451AF" w:rsidP="000451AF">
                  <w:pPr>
                    <w:jc w:val="center"/>
                    <w:rPr>
                      <w:rFonts w:ascii="Arial" w:hAnsi="Arial" w:cs="Arial"/>
                      <w:bCs/>
                    </w:rPr>
                  </w:pPr>
                  <w:r w:rsidRPr="00AF6E94">
                    <w:rPr>
                      <w:rFonts w:ascii="Arial" w:hAnsi="Arial" w:cs="Arial"/>
                      <w:bCs/>
                    </w:rPr>
                    <w:t>Typ</w:t>
                  </w:r>
                </w:p>
              </w:tc>
              <w:tc>
                <w:tcPr>
                  <w:tcW w:w="941" w:type="dxa"/>
                  <w:shd w:val="clear" w:color="auto" w:fill="auto"/>
                  <w:noWrap/>
                  <w:vAlign w:val="bottom"/>
                </w:tcPr>
                <w:p w:rsidR="000451AF" w:rsidRPr="00AF6E94" w:rsidRDefault="000451AF" w:rsidP="000451AF">
                  <w:pPr>
                    <w:jc w:val="center"/>
                    <w:rPr>
                      <w:rFonts w:ascii="Arial" w:hAnsi="Arial" w:cs="Arial"/>
                      <w:bCs/>
                    </w:rPr>
                  </w:pPr>
                  <w:proofErr w:type="spellStart"/>
                  <w:r w:rsidRPr="00AF6E94">
                    <w:rPr>
                      <w:rFonts w:ascii="Arial" w:hAnsi="Arial" w:cs="Arial"/>
                      <w:bCs/>
                    </w:rPr>
                    <w:t>Qmin</w:t>
                  </w:r>
                  <w:proofErr w:type="spellEnd"/>
                  <w:r w:rsidRPr="00AF6E94">
                    <w:rPr>
                      <w:rFonts w:ascii="Arial" w:hAnsi="Arial" w:cs="Arial"/>
                      <w:bCs/>
                    </w:rPr>
                    <w:t xml:space="preserve"> (m3/hod)</w:t>
                  </w:r>
                </w:p>
              </w:tc>
              <w:tc>
                <w:tcPr>
                  <w:tcW w:w="929" w:type="dxa"/>
                  <w:shd w:val="clear" w:color="auto" w:fill="auto"/>
                  <w:noWrap/>
                  <w:vAlign w:val="bottom"/>
                </w:tcPr>
                <w:p w:rsidR="000451AF" w:rsidRDefault="000451AF" w:rsidP="000451AF">
                  <w:pPr>
                    <w:jc w:val="center"/>
                    <w:rPr>
                      <w:rFonts w:ascii="Arial" w:hAnsi="Arial" w:cs="Arial"/>
                      <w:bCs/>
                    </w:rPr>
                  </w:pPr>
                  <w:proofErr w:type="spellStart"/>
                  <w:r w:rsidRPr="00AF6E94">
                    <w:rPr>
                      <w:rFonts w:ascii="Arial" w:hAnsi="Arial" w:cs="Arial"/>
                      <w:bCs/>
                    </w:rPr>
                    <w:t>Qmax</w:t>
                  </w:r>
                  <w:proofErr w:type="spellEnd"/>
                  <w:r w:rsidRPr="00AF6E94">
                    <w:rPr>
                      <w:rFonts w:ascii="Arial" w:hAnsi="Arial" w:cs="Arial"/>
                      <w:bCs/>
                    </w:rPr>
                    <w:t xml:space="preserve"> (m3/hod)</w:t>
                  </w:r>
                </w:p>
              </w:tc>
            </w:tr>
            <w:tr w:rsidR="000451AF" w:rsidTr="002A717E">
              <w:trPr>
                <w:trHeight w:val="255"/>
              </w:trPr>
              <w:tc>
                <w:tcPr>
                  <w:tcW w:w="1309" w:type="dxa"/>
                  <w:noWrap/>
                  <w:vAlign w:val="bottom"/>
                </w:tcPr>
                <w:p w:rsidR="000451AF" w:rsidRDefault="000451AF" w:rsidP="000451AF">
                  <w:pPr>
                    <w:rPr>
                      <w:rFonts w:ascii="Arial" w:hAnsi="Arial" w:cs="Arial"/>
                      <w:bCs/>
                    </w:rPr>
                  </w:pPr>
                  <w:r>
                    <w:rPr>
                      <w:rFonts w:ascii="Arial" w:hAnsi="Arial" w:cs="Arial"/>
                      <w:bCs/>
                    </w:rPr>
                    <w:t>ISŠ</w:t>
                  </w:r>
                </w:p>
              </w:tc>
              <w:tc>
                <w:tcPr>
                  <w:tcW w:w="935" w:type="dxa"/>
                  <w:noWrap/>
                  <w:vAlign w:val="bottom"/>
                </w:tcPr>
                <w:p w:rsidR="000451AF" w:rsidRDefault="000451AF" w:rsidP="000451AF">
                  <w:pPr>
                    <w:jc w:val="center"/>
                    <w:rPr>
                      <w:rFonts w:ascii="Arial" w:hAnsi="Arial" w:cs="Arial"/>
                      <w:bCs/>
                    </w:rPr>
                  </w:pPr>
                  <w:r>
                    <w:rPr>
                      <w:rFonts w:ascii="Arial" w:hAnsi="Arial" w:cs="Arial"/>
                      <w:bCs/>
                    </w:rPr>
                    <w:t>DN 2“</w:t>
                  </w:r>
                </w:p>
              </w:tc>
              <w:tc>
                <w:tcPr>
                  <w:tcW w:w="1496" w:type="dxa"/>
                  <w:noWrap/>
                  <w:vAlign w:val="bottom"/>
                </w:tcPr>
                <w:p w:rsidR="000451AF" w:rsidRDefault="000451AF" w:rsidP="000451AF">
                  <w:pPr>
                    <w:jc w:val="center"/>
                    <w:rPr>
                      <w:rFonts w:ascii="Arial" w:hAnsi="Arial" w:cs="Arial"/>
                      <w:bCs/>
                    </w:rPr>
                  </w:pPr>
                  <w:r>
                    <w:rPr>
                      <w:rFonts w:ascii="Arial" w:hAnsi="Arial" w:cs="Arial"/>
                      <w:bCs/>
                    </w:rPr>
                    <w:t>G-25</w:t>
                  </w:r>
                </w:p>
              </w:tc>
              <w:tc>
                <w:tcPr>
                  <w:tcW w:w="1308" w:type="dxa"/>
                  <w:noWrap/>
                  <w:vAlign w:val="bottom"/>
                </w:tcPr>
                <w:p w:rsidR="000451AF" w:rsidRDefault="00E01D99" w:rsidP="00E01D99">
                  <w:pPr>
                    <w:jc w:val="center"/>
                    <w:rPr>
                      <w:rFonts w:ascii="Arial" w:hAnsi="Arial" w:cs="Arial"/>
                      <w:bCs/>
                    </w:rPr>
                  </w:pPr>
                  <w:r>
                    <w:rPr>
                      <w:rFonts w:ascii="Arial" w:hAnsi="Arial" w:cs="Arial"/>
                      <w:bCs/>
                    </w:rPr>
                    <w:t>5935005</w:t>
                  </w:r>
                </w:p>
              </w:tc>
              <w:tc>
                <w:tcPr>
                  <w:tcW w:w="1871" w:type="dxa"/>
                  <w:noWrap/>
                  <w:vAlign w:val="bottom"/>
                </w:tcPr>
                <w:p w:rsidR="000451AF" w:rsidRDefault="000451AF" w:rsidP="000451AF">
                  <w:pPr>
                    <w:jc w:val="center"/>
                    <w:rPr>
                      <w:rFonts w:ascii="Arial" w:hAnsi="Arial" w:cs="Arial"/>
                      <w:bCs/>
                    </w:rPr>
                  </w:pPr>
                  <w:r>
                    <w:rPr>
                      <w:rFonts w:ascii="Arial" w:hAnsi="Arial" w:cs="Arial"/>
                      <w:bCs/>
                    </w:rPr>
                    <w:t>---</w:t>
                  </w:r>
                </w:p>
              </w:tc>
              <w:tc>
                <w:tcPr>
                  <w:tcW w:w="941" w:type="dxa"/>
                  <w:noWrap/>
                  <w:vAlign w:val="bottom"/>
                </w:tcPr>
                <w:p w:rsidR="000451AF" w:rsidRDefault="000451AF" w:rsidP="000451AF">
                  <w:pPr>
                    <w:jc w:val="center"/>
                    <w:rPr>
                      <w:rFonts w:ascii="Arial" w:hAnsi="Arial" w:cs="Arial"/>
                      <w:bCs/>
                    </w:rPr>
                  </w:pPr>
                  <w:r>
                    <w:rPr>
                      <w:rFonts w:ascii="Arial" w:hAnsi="Arial" w:cs="Arial"/>
                      <w:bCs/>
                    </w:rPr>
                    <w:t>0,25</w:t>
                  </w:r>
                </w:p>
              </w:tc>
              <w:tc>
                <w:tcPr>
                  <w:tcW w:w="929" w:type="dxa"/>
                  <w:noWrap/>
                  <w:vAlign w:val="bottom"/>
                </w:tcPr>
                <w:p w:rsidR="000451AF" w:rsidRDefault="000451AF" w:rsidP="000451AF">
                  <w:pPr>
                    <w:jc w:val="center"/>
                    <w:rPr>
                      <w:rFonts w:ascii="Arial" w:hAnsi="Arial" w:cs="Arial"/>
                      <w:bCs/>
                    </w:rPr>
                  </w:pPr>
                  <w:r>
                    <w:rPr>
                      <w:rFonts w:ascii="Arial" w:hAnsi="Arial" w:cs="Arial"/>
                      <w:bCs/>
                    </w:rPr>
                    <w:t>40</w:t>
                  </w:r>
                </w:p>
              </w:tc>
            </w:tr>
            <w:tr w:rsidR="000451AF" w:rsidTr="002A717E">
              <w:trPr>
                <w:trHeight w:val="255"/>
              </w:trPr>
              <w:tc>
                <w:tcPr>
                  <w:tcW w:w="1309" w:type="dxa"/>
                  <w:noWrap/>
                  <w:vAlign w:val="bottom"/>
                </w:tcPr>
                <w:p w:rsidR="000451AF" w:rsidRDefault="000451AF" w:rsidP="000451AF">
                  <w:pPr>
                    <w:rPr>
                      <w:rFonts w:ascii="Arial" w:hAnsi="Arial" w:cs="Arial"/>
                      <w:bCs/>
                    </w:rPr>
                  </w:pPr>
                </w:p>
              </w:tc>
              <w:tc>
                <w:tcPr>
                  <w:tcW w:w="935" w:type="dxa"/>
                  <w:noWrap/>
                  <w:vAlign w:val="bottom"/>
                </w:tcPr>
                <w:p w:rsidR="000451AF" w:rsidRDefault="000451AF" w:rsidP="000451AF">
                  <w:pPr>
                    <w:jc w:val="center"/>
                    <w:rPr>
                      <w:rFonts w:ascii="Arial" w:hAnsi="Arial" w:cs="Arial"/>
                      <w:bCs/>
                    </w:rPr>
                  </w:pPr>
                </w:p>
              </w:tc>
              <w:tc>
                <w:tcPr>
                  <w:tcW w:w="1496" w:type="dxa"/>
                  <w:noWrap/>
                  <w:vAlign w:val="bottom"/>
                </w:tcPr>
                <w:p w:rsidR="000451AF" w:rsidRDefault="000451AF" w:rsidP="000451AF">
                  <w:pPr>
                    <w:jc w:val="center"/>
                    <w:rPr>
                      <w:rFonts w:ascii="Arial" w:hAnsi="Arial" w:cs="Arial"/>
                      <w:bCs/>
                    </w:rPr>
                  </w:pPr>
                </w:p>
              </w:tc>
              <w:tc>
                <w:tcPr>
                  <w:tcW w:w="1308" w:type="dxa"/>
                  <w:noWrap/>
                  <w:vAlign w:val="bottom"/>
                </w:tcPr>
                <w:p w:rsidR="000451AF" w:rsidRDefault="000451AF" w:rsidP="000451AF">
                  <w:pPr>
                    <w:jc w:val="center"/>
                    <w:rPr>
                      <w:rFonts w:ascii="Arial" w:hAnsi="Arial" w:cs="Arial"/>
                      <w:bCs/>
                    </w:rPr>
                  </w:pPr>
                </w:p>
              </w:tc>
              <w:tc>
                <w:tcPr>
                  <w:tcW w:w="1871" w:type="dxa"/>
                  <w:noWrap/>
                  <w:vAlign w:val="bottom"/>
                </w:tcPr>
                <w:p w:rsidR="000451AF" w:rsidRDefault="000451AF" w:rsidP="000451AF">
                  <w:pPr>
                    <w:jc w:val="center"/>
                    <w:rPr>
                      <w:rFonts w:ascii="Arial" w:hAnsi="Arial" w:cs="Arial"/>
                      <w:bCs/>
                    </w:rPr>
                  </w:pPr>
                </w:p>
              </w:tc>
              <w:tc>
                <w:tcPr>
                  <w:tcW w:w="941" w:type="dxa"/>
                  <w:noWrap/>
                  <w:vAlign w:val="bottom"/>
                </w:tcPr>
                <w:p w:rsidR="000451AF" w:rsidRDefault="000451AF" w:rsidP="000451AF">
                  <w:pPr>
                    <w:jc w:val="center"/>
                    <w:rPr>
                      <w:rFonts w:ascii="Arial" w:hAnsi="Arial" w:cs="Arial"/>
                      <w:bCs/>
                    </w:rPr>
                  </w:pPr>
                </w:p>
              </w:tc>
              <w:tc>
                <w:tcPr>
                  <w:tcW w:w="929" w:type="dxa"/>
                  <w:noWrap/>
                  <w:vAlign w:val="bottom"/>
                </w:tcPr>
                <w:p w:rsidR="000451AF" w:rsidRDefault="000451AF" w:rsidP="000451AF">
                  <w:pPr>
                    <w:jc w:val="center"/>
                    <w:rPr>
                      <w:rFonts w:ascii="Arial" w:hAnsi="Arial" w:cs="Arial"/>
                      <w:bCs/>
                    </w:rPr>
                  </w:pPr>
                </w:p>
              </w:tc>
            </w:tr>
            <w:tr w:rsidR="000451AF" w:rsidTr="002A717E">
              <w:trPr>
                <w:trHeight w:val="255"/>
              </w:trPr>
              <w:tc>
                <w:tcPr>
                  <w:tcW w:w="1309" w:type="dxa"/>
                  <w:noWrap/>
                  <w:vAlign w:val="bottom"/>
                </w:tcPr>
                <w:p w:rsidR="000451AF" w:rsidRDefault="000451AF" w:rsidP="000451AF">
                  <w:pPr>
                    <w:rPr>
                      <w:rFonts w:ascii="Arial" w:hAnsi="Arial" w:cs="Arial"/>
                      <w:bCs/>
                    </w:rPr>
                  </w:pPr>
                </w:p>
              </w:tc>
              <w:tc>
                <w:tcPr>
                  <w:tcW w:w="935" w:type="dxa"/>
                  <w:noWrap/>
                  <w:vAlign w:val="bottom"/>
                </w:tcPr>
                <w:p w:rsidR="000451AF" w:rsidRDefault="000451AF" w:rsidP="000451AF">
                  <w:pPr>
                    <w:jc w:val="center"/>
                    <w:rPr>
                      <w:rFonts w:ascii="Arial" w:hAnsi="Arial" w:cs="Arial"/>
                      <w:bCs/>
                    </w:rPr>
                  </w:pPr>
                </w:p>
              </w:tc>
              <w:tc>
                <w:tcPr>
                  <w:tcW w:w="1496" w:type="dxa"/>
                  <w:noWrap/>
                  <w:vAlign w:val="bottom"/>
                </w:tcPr>
                <w:p w:rsidR="000451AF" w:rsidRDefault="000451AF" w:rsidP="000451AF">
                  <w:pPr>
                    <w:jc w:val="center"/>
                    <w:rPr>
                      <w:rFonts w:ascii="Arial" w:hAnsi="Arial" w:cs="Arial"/>
                      <w:bCs/>
                    </w:rPr>
                  </w:pPr>
                </w:p>
              </w:tc>
              <w:tc>
                <w:tcPr>
                  <w:tcW w:w="1308" w:type="dxa"/>
                  <w:noWrap/>
                  <w:vAlign w:val="bottom"/>
                </w:tcPr>
                <w:p w:rsidR="000451AF" w:rsidRDefault="000451AF" w:rsidP="000451AF">
                  <w:pPr>
                    <w:jc w:val="center"/>
                    <w:rPr>
                      <w:rFonts w:ascii="Arial" w:hAnsi="Arial" w:cs="Arial"/>
                      <w:bCs/>
                    </w:rPr>
                  </w:pPr>
                </w:p>
              </w:tc>
              <w:tc>
                <w:tcPr>
                  <w:tcW w:w="1871" w:type="dxa"/>
                  <w:noWrap/>
                  <w:vAlign w:val="bottom"/>
                </w:tcPr>
                <w:p w:rsidR="000451AF" w:rsidRDefault="000451AF" w:rsidP="000451AF">
                  <w:pPr>
                    <w:jc w:val="center"/>
                    <w:rPr>
                      <w:rFonts w:ascii="Arial" w:hAnsi="Arial" w:cs="Arial"/>
                      <w:bCs/>
                    </w:rPr>
                  </w:pPr>
                </w:p>
              </w:tc>
              <w:tc>
                <w:tcPr>
                  <w:tcW w:w="941" w:type="dxa"/>
                  <w:noWrap/>
                  <w:vAlign w:val="bottom"/>
                </w:tcPr>
                <w:p w:rsidR="000451AF" w:rsidRDefault="000451AF" w:rsidP="000451AF">
                  <w:pPr>
                    <w:jc w:val="center"/>
                    <w:rPr>
                      <w:rFonts w:ascii="Arial" w:hAnsi="Arial" w:cs="Arial"/>
                      <w:bCs/>
                    </w:rPr>
                  </w:pPr>
                </w:p>
              </w:tc>
              <w:tc>
                <w:tcPr>
                  <w:tcW w:w="929" w:type="dxa"/>
                  <w:noWrap/>
                  <w:vAlign w:val="bottom"/>
                </w:tcPr>
                <w:p w:rsidR="000451AF" w:rsidRDefault="000451AF" w:rsidP="000451AF">
                  <w:pPr>
                    <w:jc w:val="center"/>
                    <w:rPr>
                      <w:rFonts w:ascii="Arial" w:hAnsi="Arial" w:cs="Arial"/>
                      <w:bCs/>
                    </w:rPr>
                  </w:pPr>
                </w:p>
              </w:tc>
            </w:tr>
          </w:tbl>
          <w:p w:rsidR="002D0D0B" w:rsidRDefault="002D0D0B" w:rsidP="00A01811">
            <w:pPr>
              <w:rPr>
                <w:rFonts w:ascii="Arial" w:hAnsi="Arial" w:cs="Arial"/>
              </w:rPr>
            </w:pPr>
          </w:p>
        </w:tc>
        <w:tc>
          <w:tcPr>
            <w:tcW w:w="146" w:type="dxa"/>
            <w:tcBorders>
              <w:top w:val="nil"/>
              <w:left w:val="nil"/>
              <w:bottom w:val="nil"/>
              <w:right w:val="nil"/>
            </w:tcBorders>
            <w:shd w:val="clear" w:color="auto" w:fill="auto"/>
            <w:noWrap/>
            <w:vAlign w:val="bottom"/>
            <w:hideMark/>
          </w:tcPr>
          <w:p w:rsidR="002D0D0B" w:rsidRDefault="002D0D0B" w:rsidP="00A01811">
            <w:pPr>
              <w:rPr>
                <w:rFonts w:ascii="Arial" w:hAnsi="Arial" w:cs="Arial"/>
              </w:rPr>
            </w:pPr>
          </w:p>
        </w:tc>
        <w:tc>
          <w:tcPr>
            <w:tcW w:w="146" w:type="dxa"/>
            <w:tcBorders>
              <w:top w:val="nil"/>
              <w:left w:val="nil"/>
              <w:bottom w:val="nil"/>
              <w:right w:val="nil"/>
            </w:tcBorders>
            <w:shd w:val="clear" w:color="auto" w:fill="auto"/>
            <w:noWrap/>
            <w:vAlign w:val="bottom"/>
            <w:hideMark/>
          </w:tcPr>
          <w:p w:rsidR="002D0D0B" w:rsidRDefault="002D0D0B" w:rsidP="00A01811">
            <w:pPr>
              <w:rPr>
                <w:rFonts w:ascii="Arial" w:hAnsi="Arial" w:cs="Arial"/>
              </w:rPr>
            </w:pPr>
          </w:p>
        </w:tc>
      </w:tr>
    </w:tbl>
    <w:p w:rsidR="005D0773" w:rsidRDefault="005D0773" w:rsidP="002D0D0B">
      <w:pPr>
        <w:pStyle w:val="8ptreg"/>
        <w:tabs>
          <w:tab w:val="clear" w:pos="4706"/>
          <w:tab w:val="left" w:pos="2805"/>
        </w:tabs>
        <w:spacing w:line="240" w:lineRule="auto"/>
        <w:ind w:left="360" w:right="0"/>
        <w:rPr>
          <w:bCs/>
          <w:sz w:val="20"/>
          <w:szCs w:val="20"/>
        </w:rPr>
      </w:pPr>
    </w:p>
    <w:p w:rsidR="002D0D0B" w:rsidRDefault="002D0D0B" w:rsidP="002D0D0B">
      <w:pPr>
        <w:pStyle w:val="8ptreg"/>
        <w:spacing w:line="240" w:lineRule="auto"/>
        <w:ind w:left="0" w:right="0" w:hanging="168"/>
        <w:jc w:val="center"/>
        <w:outlineLvl w:val="0"/>
        <w:rPr>
          <w:b/>
          <w:bCs/>
          <w:sz w:val="20"/>
          <w:szCs w:val="20"/>
        </w:rPr>
      </w:pPr>
      <w:r>
        <w:rPr>
          <w:b/>
          <w:bCs/>
          <w:sz w:val="20"/>
          <w:szCs w:val="20"/>
        </w:rPr>
        <w:lastRenderedPageBreak/>
        <w:t>Článek IV.</w:t>
      </w:r>
    </w:p>
    <w:p w:rsidR="002D0D0B" w:rsidRDefault="002D0D0B" w:rsidP="002D0D0B">
      <w:pPr>
        <w:pStyle w:val="8ptreg"/>
        <w:spacing w:line="240" w:lineRule="auto"/>
        <w:ind w:left="0" w:right="0" w:hanging="168"/>
        <w:jc w:val="center"/>
        <w:rPr>
          <w:b/>
          <w:bCs/>
          <w:sz w:val="20"/>
          <w:szCs w:val="20"/>
        </w:rPr>
      </w:pPr>
      <w:r>
        <w:rPr>
          <w:b/>
          <w:bCs/>
          <w:sz w:val="20"/>
          <w:szCs w:val="20"/>
        </w:rPr>
        <w:t>ČASOVÁ A TECHNICKÁ PLNĚNÍ</w:t>
      </w:r>
    </w:p>
    <w:p w:rsidR="002D0D0B" w:rsidRDefault="002D0D0B" w:rsidP="002D0D0B">
      <w:pPr>
        <w:pStyle w:val="8ptreg"/>
        <w:spacing w:line="240" w:lineRule="auto"/>
        <w:ind w:right="0"/>
        <w:jc w:val="both"/>
        <w:rPr>
          <w:bCs/>
          <w:sz w:val="20"/>
          <w:szCs w:val="20"/>
        </w:rPr>
      </w:pPr>
    </w:p>
    <w:p w:rsidR="002D0D0B" w:rsidRDefault="002D0D0B" w:rsidP="002D0D0B">
      <w:pPr>
        <w:pStyle w:val="8ptreg"/>
        <w:spacing w:line="240" w:lineRule="auto"/>
        <w:ind w:left="192" w:right="0"/>
        <w:jc w:val="both"/>
        <w:rPr>
          <w:b/>
          <w:bCs/>
          <w:sz w:val="20"/>
          <w:szCs w:val="20"/>
        </w:rPr>
      </w:pPr>
      <w:r>
        <w:rPr>
          <w:bCs/>
          <w:sz w:val="20"/>
          <w:szCs w:val="20"/>
        </w:rPr>
        <w:tab/>
      </w:r>
    </w:p>
    <w:p w:rsidR="002D0D0B" w:rsidRDefault="002D0D0B" w:rsidP="002D0D0B">
      <w:pPr>
        <w:pStyle w:val="8ptreg"/>
        <w:tabs>
          <w:tab w:val="clear" w:pos="1247"/>
          <w:tab w:val="clear" w:pos="4706"/>
          <w:tab w:val="clear" w:pos="6124"/>
          <w:tab w:val="clear" w:pos="6691"/>
          <w:tab w:val="clear" w:pos="7144"/>
          <w:tab w:val="clear" w:pos="8108"/>
        </w:tabs>
        <w:spacing w:line="240" w:lineRule="auto"/>
        <w:ind w:left="0" w:right="0"/>
        <w:jc w:val="both"/>
        <w:rPr>
          <w:bCs/>
          <w:sz w:val="20"/>
          <w:szCs w:val="20"/>
        </w:rPr>
      </w:pPr>
      <w:r>
        <w:rPr>
          <w:bCs/>
          <w:sz w:val="20"/>
          <w:szCs w:val="20"/>
        </w:rPr>
        <w:t xml:space="preserve">Měření dodaného a odebraného množství se uskutečňuje v  odběrných místech, ve kterých je rezervovaná </w:t>
      </w:r>
      <w:r w:rsidRPr="009557AE">
        <w:rPr>
          <w:bCs/>
          <w:sz w:val="20"/>
          <w:szCs w:val="20"/>
        </w:rPr>
        <w:t xml:space="preserve">denní pevná distribuční kapacita, která je uvedena v příloze č. </w:t>
      </w:r>
      <w:r>
        <w:rPr>
          <w:bCs/>
          <w:sz w:val="20"/>
          <w:szCs w:val="20"/>
        </w:rPr>
        <w:t xml:space="preserve">1. </w:t>
      </w:r>
    </w:p>
    <w:p w:rsidR="002D0D0B" w:rsidRDefault="002D0D0B" w:rsidP="002D0D0B">
      <w:pPr>
        <w:pStyle w:val="8ptreg"/>
        <w:spacing w:line="240" w:lineRule="auto"/>
        <w:ind w:left="0" w:right="0" w:hanging="168"/>
        <w:jc w:val="center"/>
        <w:outlineLvl w:val="0"/>
        <w:rPr>
          <w:b/>
          <w:bCs/>
          <w:sz w:val="20"/>
          <w:szCs w:val="20"/>
        </w:rPr>
      </w:pPr>
    </w:p>
    <w:p w:rsidR="002D0D0B" w:rsidRDefault="002D0D0B" w:rsidP="002D0D0B">
      <w:pPr>
        <w:pStyle w:val="8ptreg"/>
        <w:spacing w:line="240" w:lineRule="auto"/>
        <w:ind w:left="192" w:right="0"/>
        <w:rPr>
          <w:bCs/>
          <w:sz w:val="20"/>
          <w:szCs w:val="20"/>
        </w:rPr>
      </w:pPr>
    </w:p>
    <w:p w:rsidR="002D0D0B" w:rsidRDefault="002D0D0B" w:rsidP="002D0D0B">
      <w:pPr>
        <w:pStyle w:val="8ptreg"/>
        <w:spacing w:line="240" w:lineRule="auto"/>
        <w:ind w:left="0" w:right="0" w:hanging="168"/>
        <w:jc w:val="center"/>
        <w:outlineLvl w:val="0"/>
        <w:rPr>
          <w:b/>
          <w:bCs/>
          <w:sz w:val="20"/>
          <w:szCs w:val="20"/>
        </w:rPr>
      </w:pPr>
      <w:r>
        <w:rPr>
          <w:b/>
          <w:bCs/>
          <w:sz w:val="20"/>
          <w:szCs w:val="20"/>
        </w:rPr>
        <w:t xml:space="preserve">Článek V.   </w:t>
      </w:r>
    </w:p>
    <w:p w:rsidR="002D0D0B" w:rsidRDefault="002D0D0B" w:rsidP="002D0D0B">
      <w:pPr>
        <w:pStyle w:val="8ptreg"/>
        <w:spacing w:line="240" w:lineRule="auto"/>
        <w:ind w:left="0" w:right="0" w:hanging="168"/>
        <w:jc w:val="center"/>
        <w:rPr>
          <w:b/>
          <w:bCs/>
          <w:sz w:val="20"/>
          <w:szCs w:val="20"/>
        </w:rPr>
      </w:pPr>
      <w:r>
        <w:rPr>
          <w:b/>
          <w:bCs/>
          <w:sz w:val="20"/>
          <w:szCs w:val="20"/>
        </w:rPr>
        <w:t>CENA, VYÚČTOVÁNÍ, ZÁLOHY A PLATEBNÍ PODMÍNKY</w:t>
      </w:r>
    </w:p>
    <w:p w:rsidR="002D0D0B" w:rsidRDefault="002D0D0B" w:rsidP="002D0D0B">
      <w:pPr>
        <w:pStyle w:val="8ptreg"/>
        <w:spacing w:line="240" w:lineRule="auto"/>
        <w:ind w:left="192" w:right="0"/>
        <w:rPr>
          <w:bCs/>
          <w:sz w:val="20"/>
          <w:szCs w:val="20"/>
        </w:rPr>
      </w:pPr>
    </w:p>
    <w:p w:rsidR="002D0D0B" w:rsidRPr="00005531" w:rsidRDefault="002D0D0B" w:rsidP="002D0D0B">
      <w:pPr>
        <w:numPr>
          <w:ilvl w:val="0"/>
          <w:numId w:val="5"/>
        </w:numPr>
        <w:ind w:left="374" w:hanging="374"/>
        <w:jc w:val="both"/>
        <w:rPr>
          <w:rFonts w:ascii="Arial" w:hAnsi="Arial" w:cs="Arial"/>
          <w:bCs/>
        </w:rPr>
      </w:pPr>
      <w:r w:rsidRPr="00005531">
        <w:rPr>
          <w:rFonts w:ascii="Arial" w:hAnsi="Arial" w:cs="Arial"/>
          <w:bCs/>
        </w:rPr>
        <w:t>Cena za odebraný plyn a ostatní služby dodávky je stanovena v Ceníku uvedené produktové řady („Ceník“) a cena služeb v Ceníku služeb („Ceník služeb“)</w:t>
      </w:r>
      <w:r>
        <w:rPr>
          <w:rFonts w:ascii="Arial" w:hAnsi="Arial" w:cs="Arial"/>
          <w:bCs/>
        </w:rPr>
        <w:t xml:space="preserve">, </w:t>
      </w:r>
      <w:proofErr w:type="gramStart"/>
      <w:r w:rsidRPr="00005531">
        <w:rPr>
          <w:rFonts w:ascii="Arial" w:hAnsi="Arial" w:cs="Arial"/>
          <w:bCs/>
        </w:rPr>
        <w:t>přičemž</w:t>
      </w:r>
      <w:proofErr w:type="gramEnd"/>
      <w:r w:rsidRPr="00005531">
        <w:rPr>
          <w:rFonts w:ascii="Arial" w:hAnsi="Arial" w:cs="Arial"/>
          <w:bCs/>
        </w:rPr>
        <w:t xml:space="preserve"> pro smluvní vztah platí Ceník</w:t>
      </w:r>
      <w:r>
        <w:rPr>
          <w:rFonts w:ascii="Arial" w:hAnsi="Arial" w:cs="Arial"/>
          <w:bCs/>
        </w:rPr>
        <w:t>y</w:t>
      </w:r>
      <w:r w:rsidRPr="00005531">
        <w:rPr>
          <w:rFonts w:ascii="Arial" w:hAnsi="Arial" w:cs="Arial"/>
          <w:bCs/>
        </w:rPr>
        <w:t xml:space="preserve">  které </w:t>
      </w:r>
      <w:proofErr w:type="gramStart"/>
      <w:r w:rsidR="00646547">
        <w:rPr>
          <w:rFonts w:ascii="Arial" w:hAnsi="Arial" w:cs="Arial"/>
          <w:bCs/>
        </w:rPr>
        <w:t>jsou</w:t>
      </w:r>
      <w:proofErr w:type="gramEnd"/>
      <w:r w:rsidR="00646547">
        <w:rPr>
          <w:rFonts w:ascii="Arial" w:hAnsi="Arial" w:cs="Arial"/>
          <w:bCs/>
        </w:rPr>
        <w:t xml:space="preserve"> zaslány zákazníkovi společně se smlouvou, nebo mohou byt také</w:t>
      </w:r>
      <w:r w:rsidRPr="00005531">
        <w:rPr>
          <w:rFonts w:ascii="Arial" w:hAnsi="Arial" w:cs="Arial"/>
          <w:bCs/>
        </w:rPr>
        <w:t xml:space="preserve"> zveřejněny na webu Obchodníka jako platné a účinné pro příslušné období.</w:t>
      </w:r>
      <w:r>
        <w:rPr>
          <w:rFonts w:ascii="Arial" w:hAnsi="Arial" w:cs="Arial"/>
          <w:bCs/>
        </w:rPr>
        <w:t xml:space="preserve"> </w:t>
      </w:r>
      <w:r w:rsidRPr="00005531">
        <w:rPr>
          <w:rFonts w:ascii="Arial" w:hAnsi="Arial" w:cs="Arial"/>
        </w:rPr>
        <w:t>Cena dodávky plynu bude pro každý kalendářní rok účinnosti této smlouvy stanovena samostatně Oznámením o změně ceny.</w:t>
      </w:r>
      <w:r w:rsidRPr="00005531">
        <w:rPr>
          <w:rFonts w:ascii="Arial" w:hAnsi="Arial" w:cs="Arial"/>
          <w:bCs/>
        </w:rPr>
        <w:tab/>
      </w:r>
    </w:p>
    <w:p w:rsidR="002D0D0B" w:rsidRPr="006234F5" w:rsidRDefault="002D0D0B" w:rsidP="002D0D0B">
      <w:pPr>
        <w:ind w:left="374"/>
        <w:jc w:val="both"/>
        <w:rPr>
          <w:rFonts w:ascii="Arial" w:hAnsi="Arial" w:cs="Arial"/>
          <w:bCs/>
        </w:rPr>
      </w:pPr>
    </w:p>
    <w:p w:rsidR="002D0D0B" w:rsidRDefault="002D0D0B" w:rsidP="002D0D0B">
      <w:pPr>
        <w:ind w:left="374"/>
        <w:jc w:val="both"/>
        <w:rPr>
          <w:rFonts w:ascii="Arial" w:hAnsi="Arial" w:cs="Arial"/>
          <w:bCs/>
        </w:rPr>
      </w:pPr>
      <w:r>
        <w:rPr>
          <w:rFonts w:ascii="Arial" w:hAnsi="Arial" w:cs="Arial"/>
          <w:bCs/>
        </w:rPr>
        <w:t>Celková cena se skládá z těchto složek uvedených v Ceníku.</w:t>
      </w:r>
    </w:p>
    <w:p w:rsidR="00646547" w:rsidRDefault="00646547" w:rsidP="002D0D0B">
      <w:pPr>
        <w:ind w:left="374"/>
        <w:jc w:val="both"/>
        <w:rPr>
          <w:rFonts w:ascii="Arial" w:hAnsi="Arial" w:cs="Arial"/>
          <w:bCs/>
        </w:rPr>
      </w:pPr>
    </w:p>
    <w:p w:rsidR="002D0D0B" w:rsidRDefault="002D0D0B" w:rsidP="00646547">
      <w:pPr>
        <w:ind w:left="360"/>
        <w:jc w:val="both"/>
        <w:rPr>
          <w:rFonts w:ascii="Arial" w:hAnsi="Arial" w:cs="Arial"/>
          <w:bCs/>
        </w:rPr>
      </w:pPr>
      <w:r>
        <w:rPr>
          <w:rFonts w:ascii="Arial" w:hAnsi="Arial" w:cs="Arial"/>
          <w:bCs/>
        </w:rPr>
        <w:t>Cena za odebraný plyn a ostatní služby dodávky</w:t>
      </w:r>
    </w:p>
    <w:p w:rsidR="002D0D0B" w:rsidRDefault="002D0D0B" w:rsidP="00646547">
      <w:pPr>
        <w:ind w:left="360"/>
        <w:jc w:val="both"/>
        <w:rPr>
          <w:rFonts w:ascii="Arial" w:hAnsi="Arial" w:cs="Arial"/>
          <w:bCs/>
        </w:rPr>
      </w:pPr>
      <w:r>
        <w:rPr>
          <w:rFonts w:ascii="Arial" w:hAnsi="Arial" w:cs="Arial"/>
          <w:bCs/>
        </w:rPr>
        <w:t>Cena za služby distribuční soustavy</w:t>
      </w:r>
    </w:p>
    <w:p w:rsidR="002D0D0B" w:rsidRDefault="002D0D0B" w:rsidP="00646547">
      <w:pPr>
        <w:ind w:left="360"/>
        <w:jc w:val="both"/>
        <w:rPr>
          <w:rFonts w:ascii="Arial" w:hAnsi="Arial" w:cs="Arial"/>
          <w:bCs/>
        </w:rPr>
      </w:pPr>
      <w:r w:rsidRPr="00646547">
        <w:rPr>
          <w:rFonts w:ascii="Arial" w:hAnsi="Arial" w:cs="Arial"/>
          <w:bCs/>
        </w:rPr>
        <w:t>Cena za činnost operátora trhu</w:t>
      </w:r>
    </w:p>
    <w:p w:rsidR="00646547" w:rsidRDefault="00646547" w:rsidP="00646547">
      <w:pPr>
        <w:ind w:left="360"/>
        <w:jc w:val="both"/>
        <w:rPr>
          <w:rFonts w:ascii="Arial" w:hAnsi="Arial" w:cs="Arial"/>
          <w:bCs/>
        </w:rPr>
      </w:pPr>
    </w:p>
    <w:p w:rsidR="00646547" w:rsidRPr="00646547" w:rsidRDefault="00646547" w:rsidP="00646547">
      <w:pPr>
        <w:ind w:left="360"/>
        <w:jc w:val="both"/>
        <w:rPr>
          <w:rFonts w:ascii="Arial" w:hAnsi="Arial" w:cs="Arial"/>
          <w:bCs/>
        </w:rPr>
      </w:pPr>
      <w:r>
        <w:rPr>
          <w:rFonts w:ascii="Arial" w:hAnsi="Arial" w:cs="Arial"/>
          <w:bCs/>
        </w:rPr>
        <w:t>Celkový detail ceny je uveden</w:t>
      </w:r>
      <w:r w:rsidR="00322917">
        <w:rPr>
          <w:rFonts w:ascii="Arial" w:hAnsi="Arial" w:cs="Arial"/>
          <w:bCs/>
        </w:rPr>
        <w:t>ý</w:t>
      </w:r>
      <w:r>
        <w:rPr>
          <w:rFonts w:ascii="Arial" w:hAnsi="Arial" w:cs="Arial"/>
          <w:bCs/>
        </w:rPr>
        <w:t xml:space="preserve"> v příloze č. 1. této smlouvy.</w:t>
      </w:r>
    </w:p>
    <w:p w:rsidR="002D0D0B" w:rsidRPr="006234F5" w:rsidRDefault="002D0D0B" w:rsidP="002D0D0B">
      <w:pPr>
        <w:ind w:left="710"/>
        <w:jc w:val="both"/>
        <w:rPr>
          <w:rFonts w:ascii="Arial" w:hAnsi="Arial" w:cs="Arial"/>
          <w:bCs/>
        </w:rPr>
      </w:pPr>
    </w:p>
    <w:p w:rsidR="002D0D0B" w:rsidRDefault="00646547" w:rsidP="002D0D0B">
      <w:pPr>
        <w:jc w:val="both"/>
        <w:rPr>
          <w:rFonts w:ascii="Arial" w:hAnsi="Arial" w:cs="Arial"/>
          <w:bCs/>
        </w:rPr>
      </w:pPr>
      <w:r>
        <w:rPr>
          <w:rFonts w:ascii="Arial" w:hAnsi="Arial" w:cs="Arial"/>
          <w:bCs/>
        </w:rPr>
        <w:t xml:space="preserve">       </w:t>
      </w:r>
    </w:p>
    <w:p w:rsidR="002D0D0B" w:rsidRDefault="002D0D0B" w:rsidP="002D0D0B">
      <w:pPr>
        <w:numPr>
          <w:ilvl w:val="0"/>
          <w:numId w:val="5"/>
        </w:numPr>
        <w:ind w:left="374" w:hanging="374"/>
        <w:jc w:val="both"/>
        <w:rPr>
          <w:rFonts w:ascii="Arial" w:hAnsi="Arial" w:cs="Arial"/>
          <w:bCs/>
        </w:rPr>
      </w:pPr>
      <w:r>
        <w:rPr>
          <w:rFonts w:ascii="Arial" w:hAnsi="Arial" w:cs="Arial"/>
          <w:bCs/>
        </w:rPr>
        <w:t>Cena za distribuční služby je stanovena platným Cenovým rozhodnutím ERÚ; tyto ceny nelze smluvně měnit. K těmto cenám bude připočtena příslušná sazba DPH.</w:t>
      </w:r>
    </w:p>
    <w:p w:rsidR="002D0D0B" w:rsidRDefault="002D0D0B" w:rsidP="002D0D0B">
      <w:pPr>
        <w:jc w:val="both"/>
        <w:rPr>
          <w:rFonts w:ascii="Arial" w:hAnsi="Arial" w:cs="Arial"/>
          <w:bCs/>
        </w:rPr>
      </w:pPr>
    </w:p>
    <w:p w:rsidR="002D0D0B" w:rsidRDefault="002D0D0B" w:rsidP="002D0D0B">
      <w:pPr>
        <w:numPr>
          <w:ilvl w:val="0"/>
          <w:numId w:val="5"/>
        </w:numPr>
        <w:ind w:left="374" w:hanging="374"/>
        <w:jc w:val="both"/>
        <w:rPr>
          <w:rFonts w:ascii="Arial" w:hAnsi="Arial" w:cs="Arial"/>
          <w:bCs/>
        </w:rPr>
      </w:pPr>
      <w:r>
        <w:rPr>
          <w:rFonts w:ascii="Arial" w:hAnsi="Arial" w:cs="Arial"/>
          <w:bCs/>
        </w:rPr>
        <w:t>Ceny podle smlouvy neobsahují daň z přidané hodnoty, spotřební daň ani žádnou jinou obdobnou daň vztahující se k poskytování plnění podle Smlouvy. Jestliže Obchodníkovi vznikne povinnost takové daně při poskytnutí plnění dle Smlouvy uplatnit (ke dni podpisu Smlouvy daň z přidané hodnoty a v určitých případech spotřební daň), zavazuje se Zákazník takto placené daně zaplatit Obchodníkovi nad rámec cen (záloh) podle Smlouvy. Pokud by obchodník na základě zvláštního právního předpisu, nebo závazného rozhodnutí orgánu veřejné moci nebyl oprávněn daně přenést na Zákazníka, nebo by nebyl oprávněn přenést v celém rozsahu, je oprávněn od smlouvy odstoupit.</w:t>
      </w:r>
    </w:p>
    <w:p w:rsidR="002D0D0B" w:rsidRDefault="002D0D0B" w:rsidP="002D0D0B">
      <w:pPr>
        <w:jc w:val="both"/>
        <w:rPr>
          <w:rFonts w:ascii="Arial" w:hAnsi="Arial" w:cs="Arial"/>
          <w:bCs/>
        </w:rPr>
      </w:pPr>
    </w:p>
    <w:p w:rsidR="002D0D0B" w:rsidRDefault="002D0D0B" w:rsidP="002D0D0B">
      <w:pPr>
        <w:numPr>
          <w:ilvl w:val="0"/>
          <w:numId w:val="5"/>
        </w:numPr>
        <w:ind w:left="374" w:hanging="374"/>
        <w:jc w:val="both"/>
        <w:rPr>
          <w:rFonts w:ascii="Arial" w:hAnsi="Arial" w:cs="Arial"/>
          <w:bCs/>
        </w:rPr>
      </w:pPr>
      <w:r w:rsidRPr="003747C7">
        <w:rPr>
          <w:rFonts w:ascii="Arial" w:hAnsi="Arial" w:cs="Arial"/>
          <w:bCs/>
        </w:rPr>
        <w:t>Jestliže by dodávky plynu nebo jiná plnění poskytovaná podle Smlouvy byly přímo či nepřímo zatíženy jakýmikoliv daněmi, poplatky nebo odvody anebo přímo či nepřímo zatíženy zvláštními platbami stanovenými Energetickým zákonem,</w:t>
      </w:r>
      <w:r>
        <w:rPr>
          <w:rFonts w:ascii="Arial" w:hAnsi="Arial" w:cs="Arial"/>
          <w:bCs/>
        </w:rPr>
        <w:t xml:space="preserve"> </w:t>
      </w:r>
      <w:r w:rsidRPr="003747C7">
        <w:rPr>
          <w:rFonts w:ascii="Arial" w:hAnsi="Arial" w:cs="Arial"/>
          <w:bCs/>
        </w:rPr>
        <w:t>jeho prováděcími předpisy, rozhodnutím ERÚ nebo zvláštními právními předpisy, které v okamžiku uzavření Smlouvy nebyly známé nebo účinné, nebo jestliže by se takové daně, poplatky nebo odvody nebo zvláštní platby zatěžující dodávky plynu nebo jiná plnění poskytovaná podle Smlouvy zvýšily, je Obchodník oprávněn převést veškerá z toho vyplývající zatížení Zákazníkovi prostřednictvím zvýšení ceny odpovídajícímu zvýšenému zatížení dodávek nebo jiných plnění a Zákazník je povinen takto zvýšenou cenu Obchodníkovi zaplatit; to platí i pro zatížení, která na Obchodníka přenesou jeho Dodavatelé plynu, pokud taková zatížení spočívají ve zvýšení daní, poplatků nebo odvodů nebo zvláštních plateb nebo v zavedení nových daní, poplatků nebo odvodů nebo zvláštních plateb, které nesou Dodavatelé plynu Obchodníka. Uvedený způsob změny ceny platí i pro případ dodatečného snížení nebo zrušení daní, poplatků nebo odvodů nebo zvláštních plateb zatěžujících dodávky plynu nebo jiná plnění poskytovaná podle Smlouvy, které nesl Obchodník nebo které nesli jeho Dodavatelé plynu, pokud tito takové zvýhodnění na Obchodníka přenesli. Pokud by Obchodník na základě zvláštního právního předpisu nebo závazného rozhodnutí orgánu veřejné moci nebyl oprávněn nové zatížení přenést na Zákazníka nebo by ho nebyl oprávněn přenést v úplném rozsahu, je oprávněn od Smlouvy odstoupit.</w:t>
      </w:r>
    </w:p>
    <w:p w:rsidR="002D0D0B" w:rsidRPr="003747C7" w:rsidRDefault="002D0D0B" w:rsidP="002D0D0B">
      <w:pPr>
        <w:jc w:val="both"/>
        <w:rPr>
          <w:rFonts w:ascii="Arial" w:hAnsi="Arial" w:cs="Arial"/>
          <w:bCs/>
        </w:rPr>
      </w:pPr>
    </w:p>
    <w:p w:rsidR="002D0D0B" w:rsidRDefault="002D0D0B" w:rsidP="002D0D0B">
      <w:pPr>
        <w:numPr>
          <w:ilvl w:val="0"/>
          <w:numId w:val="5"/>
        </w:numPr>
        <w:ind w:left="374" w:hanging="374"/>
        <w:jc w:val="both"/>
        <w:rPr>
          <w:rFonts w:ascii="Arial" w:hAnsi="Arial" w:cs="Arial"/>
          <w:bCs/>
        </w:rPr>
      </w:pPr>
      <w:r>
        <w:rPr>
          <w:rFonts w:ascii="Arial" w:hAnsi="Arial" w:cs="Arial"/>
          <w:bCs/>
        </w:rPr>
        <w:t>V případě, že bude ERÚ  regulovat cenu plynu pro zákazníky ve smyslu energetického zákona ve všech jejich složkách, bude cena plynu stanovena aktuálně platným cenovým rozhodnutím ERÚ.</w:t>
      </w:r>
    </w:p>
    <w:p w:rsidR="002D0D0B" w:rsidRDefault="002D0D0B" w:rsidP="002D0D0B">
      <w:pPr>
        <w:tabs>
          <w:tab w:val="num" w:pos="284"/>
        </w:tabs>
        <w:ind w:left="284" w:hanging="284"/>
        <w:jc w:val="both"/>
        <w:rPr>
          <w:rFonts w:ascii="Arial" w:hAnsi="Arial" w:cs="Arial"/>
        </w:rPr>
      </w:pPr>
    </w:p>
    <w:p w:rsidR="002D0D0B" w:rsidRDefault="002D0D0B" w:rsidP="002D0D0B">
      <w:pPr>
        <w:numPr>
          <w:ilvl w:val="0"/>
          <w:numId w:val="5"/>
        </w:numPr>
        <w:ind w:left="374" w:hanging="374"/>
        <w:jc w:val="both"/>
        <w:rPr>
          <w:rFonts w:ascii="Arial" w:hAnsi="Arial" w:cs="Arial"/>
          <w:bCs/>
        </w:rPr>
      </w:pPr>
      <w:r>
        <w:rPr>
          <w:rFonts w:ascii="Arial" w:hAnsi="Arial" w:cs="Arial"/>
          <w:bCs/>
        </w:rPr>
        <w:lastRenderedPageBreak/>
        <w:t xml:space="preserve">Obchodník provádí vyúčtování za odebraný plyn strukturování dodávky, přepravy plynu a za distribuční služby podle zásad uvedených v Obchodních podmínkách podle zjištěné spotřeby po uplynutí fakturačního období. Délka </w:t>
      </w:r>
      <w:r w:rsidRPr="00A16E87">
        <w:rPr>
          <w:rFonts w:ascii="Arial" w:hAnsi="Arial" w:cs="Arial"/>
          <w:bCs/>
        </w:rPr>
        <w:t>fakturačního období činí</w:t>
      </w:r>
      <w:r w:rsidRPr="00646547">
        <w:rPr>
          <w:rFonts w:ascii="Arial" w:hAnsi="Arial" w:cs="Arial"/>
          <w:b/>
          <w:bCs/>
        </w:rPr>
        <w:t xml:space="preserve"> jeden plynárenský měsíc</w:t>
      </w:r>
      <w:r>
        <w:rPr>
          <w:rFonts w:ascii="Arial" w:hAnsi="Arial" w:cs="Arial"/>
          <w:bCs/>
        </w:rPr>
        <w:t xml:space="preserve">. Vyúčtování provádí Obchodník daňovým dokladem – fakturou, která obsahuje náležitosti daňového dokladu podle platných předpisů. </w:t>
      </w:r>
    </w:p>
    <w:p w:rsidR="002D0D0B" w:rsidRDefault="002D0D0B" w:rsidP="002D0D0B">
      <w:pPr>
        <w:rPr>
          <w:rFonts w:ascii="Arial" w:hAnsi="Arial" w:cs="Arial"/>
          <w:b/>
          <w:bCs/>
        </w:rPr>
      </w:pPr>
    </w:p>
    <w:p w:rsidR="00646547" w:rsidRDefault="00646547" w:rsidP="00646547">
      <w:pPr>
        <w:numPr>
          <w:ilvl w:val="0"/>
          <w:numId w:val="5"/>
        </w:numPr>
        <w:tabs>
          <w:tab w:val="clear" w:pos="360"/>
        </w:tabs>
        <w:ind w:left="374" w:hanging="374"/>
        <w:jc w:val="both"/>
        <w:rPr>
          <w:rFonts w:ascii="Arial" w:hAnsi="Arial" w:cs="Arial"/>
          <w:bCs/>
        </w:rPr>
      </w:pPr>
      <w:r>
        <w:rPr>
          <w:rFonts w:ascii="Arial" w:hAnsi="Arial" w:cs="Arial"/>
          <w:bCs/>
        </w:rPr>
        <w:t xml:space="preserve">Daňový doklad - </w:t>
      </w:r>
      <w:r w:rsidRPr="00A132AB">
        <w:rPr>
          <w:rFonts w:ascii="Arial" w:hAnsi="Arial" w:cs="Arial"/>
          <w:bCs/>
        </w:rPr>
        <w:t>faktura vystavená Prodávajícím bude splatná do 17 (sedmnácti) kalendářních</w:t>
      </w:r>
      <w:r>
        <w:rPr>
          <w:rFonts w:ascii="Arial" w:hAnsi="Arial" w:cs="Arial"/>
          <w:bCs/>
        </w:rPr>
        <w:t xml:space="preserve"> </w:t>
      </w:r>
      <w:r w:rsidRPr="0054794D">
        <w:rPr>
          <w:rFonts w:ascii="Arial" w:hAnsi="Arial" w:cs="Arial"/>
        </w:rPr>
        <w:t>dnů ode dne vystavení</w:t>
      </w:r>
      <w:r>
        <w:rPr>
          <w:rFonts w:ascii="Arial" w:hAnsi="Arial" w:cs="Arial"/>
          <w:bCs/>
        </w:rPr>
        <w:t xml:space="preserve"> </w:t>
      </w:r>
    </w:p>
    <w:p w:rsidR="00A16E87" w:rsidRDefault="00A16E87" w:rsidP="00A16E87">
      <w:pPr>
        <w:jc w:val="both"/>
        <w:rPr>
          <w:rFonts w:ascii="Arial" w:hAnsi="Arial" w:cs="Arial"/>
          <w:bCs/>
        </w:rPr>
      </w:pPr>
    </w:p>
    <w:p w:rsidR="002D0D0B" w:rsidRPr="00CA519E" w:rsidRDefault="002D0D0B" w:rsidP="002D0D0B">
      <w:pPr>
        <w:numPr>
          <w:ilvl w:val="0"/>
          <w:numId w:val="5"/>
        </w:numPr>
        <w:ind w:left="374" w:hanging="374"/>
        <w:jc w:val="both"/>
        <w:rPr>
          <w:rFonts w:ascii="Arial" w:hAnsi="Arial" w:cs="Arial"/>
          <w:bCs/>
        </w:rPr>
      </w:pPr>
      <w:r w:rsidRPr="00CA519E">
        <w:rPr>
          <w:rFonts w:ascii="Arial" w:hAnsi="Arial" w:cs="Arial"/>
          <w:bCs/>
        </w:rPr>
        <w:t xml:space="preserve">Platby jsou splatné bezhotovostní ve prospěch účtu Obchodníka uvedeného ve smlouvě. Zákazník je povinen při platbách ve prospěch Obchodníka používat variabilní symboly stanovené Obchodníkem. </w:t>
      </w:r>
    </w:p>
    <w:p w:rsidR="002D0D0B" w:rsidRPr="00CA519E" w:rsidRDefault="002D0D0B" w:rsidP="002D0D0B">
      <w:pPr>
        <w:jc w:val="both"/>
        <w:rPr>
          <w:rFonts w:ascii="Arial" w:hAnsi="Arial" w:cs="Arial"/>
          <w:bCs/>
        </w:rPr>
      </w:pPr>
    </w:p>
    <w:p w:rsidR="002D0D0B" w:rsidRDefault="002D0D0B" w:rsidP="002D0D0B">
      <w:pPr>
        <w:jc w:val="both"/>
        <w:rPr>
          <w:rFonts w:ascii="Arial" w:hAnsi="Arial" w:cs="Arial"/>
          <w:bCs/>
        </w:rPr>
      </w:pPr>
    </w:p>
    <w:p w:rsidR="002D0D0B" w:rsidRDefault="002D0D0B" w:rsidP="002D0D0B">
      <w:pPr>
        <w:rPr>
          <w:rFonts w:ascii="Arial" w:hAnsi="Arial" w:cs="Arial"/>
          <w:bCs/>
        </w:rPr>
      </w:pPr>
    </w:p>
    <w:p w:rsidR="002D0D0B" w:rsidRDefault="002D0D0B" w:rsidP="002D0D0B">
      <w:pPr>
        <w:pStyle w:val="8ptreg"/>
        <w:spacing w:line="240" w:lineRule="auto"/>
        <w:ind w:left="0" w:right="0" w:hanging="168"/>
        <w:jc w:val="center"/>
        <w:outlineLvl w:val="0"/>
        <w:rPr>
          <w:b/>
          <w:bCs/>
          <w:sz w:val="20"/>
          <w:szCs w:val="20"/>
        </w:rPr>
      </w:pPr>
      <w:r>
        <w:rPr>
          <w:b/>
          <w:bCs/>
          <w:sz w:val="20"/>
          <w:szCs w:val="20"/>
        </w:rPr>
        <w:t xml:space="preserve">Článek VI.   </w:t>
      </w:r>
    </w:p>
    <w:p w:rsidR="002D0D0B" w:rsidRDefault="002D0D0B" w:rsidP="002D0D0B">
      <w:pPr>
        <w:pStyle w:val="8ptreg"/>
        <w:spacing w:line="240" w:lineRule="auto"/>
        <w:ind w:left="0" w:right="0" w:hanging="168"/>
        <w:jc w:val="center"/>
        <w:outlineLvl w:val="0"/>
        <w:rPr>
          <w:b/>
          <w:bCs/>
          <w:sz w:val="20"/>
          <w:szCs w:val="20"/>
        </w:rPr>
      </w:pPr>
      <w:r>
        <w:rPr>
          <w:b/>
          <w:bCs/>
          <w:sz w:val="20"/>
          <w:szCs w:val="20"/>
        </w:rPr>
        <w:t>DALŠÍ PRÁVA A POVINNOSTI SMLUVNÍCH STRAN</w:t>
      </w:r>
    </w:p>
    <w:p w:rsidR="002D0D0B" w:rsidRPr="009A1842" w:rsidRDefault="002D0D0B" w:rsidP="002D0D0B">
      <w:pPr>
        <w:pStyle w:val="8ptreg"/>
        <w:spacing w:before="120" w:line="240" w:lineRule="auto"/>
        <w:ind w:left="360" w:right="0" w:hanging="360"/>
        <w:jc w:val="both"/>
        <w:rPr>
          <w:sz w:val="14"/>
          <w:szCs w:val="14"/>
        </w:rPr>
      </w:pPr>
      <w:r w:rsidRPr="009A1842">
        <w:rPr>
          <w:sz w:val="20"/>
          <w:szCs w:val="20"/>
        </w:rPr>
        <w:t>1)</w:t>
      </w:r>
      <w:r w:rsidRPr="009A1842">
        <w:rPr>
          <w:sz w:val="20"/>
          <w:szCs w:val="20"/>
        </w:rPr>
        <w:tab/>
        <w:t>Obchodník je oprávněn omezit nebo přerušit dodávku plynu v případě, že Zákazník bude v prodlení se svým splatným závazkem vyplývajícím ze Smlouvy a neuhradí jej ani přes výzvu Obchodníka k jeho splnění, přičemž ve výzvě bude dodatečná lhůta k  zaplacení, minimálně 10 dní od doručení</w:t>
      </w:r>
      <w:r>
        <w:rPr>
          <w:sz w:val="20"/>
          <w:szCs w:val="20"/>
        </w:rPr>
        <w:t xml:space="preserve"> výzvy</w:t>
      </w:r>
      <w:r w:rsidRPr="009A1842">
        <w:rPr>
          <w:sz w:val="20"/>
          <w:szCs w:val="20"/>
        </w:rPr>
        <w:t>.</w:t>
      </w:r>
      <w:r>
        <w:rPr>
          <w:sz w:val="20"/>
          <w:szCs w:val="20"/>
        </w:rPr>
        <w:t xml:space="preserve"> </w:t>
      </w:r>
      <w:r w:rsidRPr="009A1842">
        <w:rPr>
          <w:sz w:val="20"/>
          <w:szCs w:val="20"/>
        </w:rPr>
        <w:t>Přerušení dodávky plynu podle tohoto bodu nezbavuje Zákazníka povinnosti hradit cenu za denní rezervovanou kapacitu</w:t>
      </w:r>
      <w:r>
        <w:rPr>
          <w:sz w:val="20"/>
          <w:szCs w:val="20"/>
        </w:rPr>
        <w:t>, pokud tato byla sjednána.</w:t>
      </w:r>
    </w:p>
    <w:p w:rsidR="002D0D0B" w:rsidRPr="009A1842" w:rsidRDefault="002D0D0B" w:rsidP="002D0D0B">
      <w:pPr>
        <w:pStyle w:val="8ptreg"/>
        <w:spacing w:before="120" w:line="240" w:lineRule="auto"/>
        <w:ind w:left="360" w:right="0" w:hanging="360"/>
        <w:jc w:val="both"/>
        <w:rPr>
          <w:sz w:val="20"/>
          <w:szCs w:val="20"/>
        </w:rPr>
      </w:pPr>
      <w:proofErr w:type="gramStart"/>
      <w:r w:rsidRPr="009A1842">
        <w:rPr>
          <w:sz w:val="20"/>
          <w:szCs w:val="20"/>
        </w:rPr>
        <w:t>2)  Obchodník</w:t>
      </w:r>
      <w:proofErr w:type="gramEnd"/>
      <w:r w:rsidRPr="009A1842">
        <w:rPr>
          <w:sz w:val="20"/>
          <w:szCs w:val="20"/>
        </w:rPr>
        <w:t xml:space="preserve"> je povinen oznámit Zákazníkovi změny ve svých právních poměrech, které mají nebo mohou mít důsledky na plnění závazků ze Smlouvy, a další významné skutečnosti, včetně změny údajů týkajících se jeho osoby, které jsou uvedeny ve Smlouvě.</w:t>
      </w:r>
    </w:p>
    <w:p w:rsidR="002D0D0B" w:rsidRPr="009A1842" w:rsidRDefault="002D0D0B" w:rsidP="002D0D0B">
      <w:pPr>
        <w:pStyle w:val="8ptreg"/>
        <w:spacing w:before="120" w:line="240" w:lineRule="auto"/>
        <w:ind w:left="360" w:right="0" w:hanging="360"/>
        <w:rPr>
          <w:sz w:val="20"/>
          <w:szCs w:val="20"/>
        </w:rPr>
      </w:pPr>
      <w:r w:rsidRPr="009A1842">
        <w:rPr>
          <w:sz w:val="20"/>
          <w:szCs w:val="20"/>
        </w:rPr>
        <w:t>3)</w:t>
      </w:r>
      <w:r w:rsidRPr="009A1842">
        <w:rPr>
          <w:sz w:val="20"/>
          <w:szCs w:val="20"/>
        </w:rPr>
        <w:tab/>
        <w:t>Zákazník se zavazuje:</w:t>
      </w:r>
    </w:p>
    <w:p w:rsidR="002D0D0B" w:rsidRPr="009A1842" w:rsidRDefault="002D0D0B" w:rsidP="002D0D0B">
      <w:pPr>
        <w:pStyle w:val="8ptreg"/>
        <w:tabs>
          <w:tab w:val="clear" w:pos="1247"/>
          <w:tab w:val="left" w:pos="1309"/>
        </w:tabs>
        <w:spacing w:before="60" w:line="240" w:lineRule="auto"/>
        <w:ind w:left="454" w:right="0" w:hanging="227"/>
        <w:jc w:val="both"/>
        <w:rPr>
          <w:sz w:val="20"/>
          <w:szCs w:val="20"/>
        </w:rPr>
      </w:pPr>
      <w:r w:rsidRPr="009A1842">
        <w:rPr>
          <w:sz w:val="20"/>
          <w:szCs w:val="20"/>
        </w:rPr>
        <w:t>a)</w:t>
      </w:r>
      <w:r w:rsidRPr="009A1842">
        <w:rPr>
          <w:sz w:val="20"/>
          <w:szCs w:val="20"/>
        </w:rPr>
        <w:tab/>
        <w:t>nepřekročit sjednanou denní rezervovanou kapacitu; zvýšení sjednané denní rezervované kapacity lze realizovat na základě smlouvy s Obchodníkem, přičemž toto zvýšení a jeho zpoplatnění se řídí Řádem PDS, platným rozhodnutím ERÚ a Energetickým zákonem a jeho prováděcími předpisy; překročení hodnoty sjednané rezervované kapacity neopravňuje Zákazníka k jejímu navýšení na hodnotu již dosaženou a je zpoplatněno dle platného cenového rozhodnutí ERÚ,</w:t>
      </w:r>
    </w:p>
    <w:p w:rsidR="002D0D0B" w:rsidRPr="009A1842" w:rsidRDefault="002D0D0B" w:rsidP="002D0D0B">
      <w:pPr>
        <w:pStyle w:val="8ptreg"/>
        <w:tabs>
          <w:tab w:val="clear" w:pos="1247"/>
          <w:tab w:val="left" w:pos="1309"/>
        </w:tabs>
        <w:spacing w:before="60" w:line="240" w:lineRule="auto"/>
        <w:ind w:left="454" w:right="0" w:hanging="227"/>
        <w:jc w:val="both"/>
        <w:rPr>
          <w:sz w:val="20"/>
          <w:szCs w:val="20"/>
        </w:rPr>
      </w:pPr>
      <w:r w:rsidRPr="009A1842">
        <w:rPr>
          <w:sz w:val="20"/>
          <w:szCs w:val="20"/>
        </w:rPr>
        <w:t>b)</w:t>
      </w:r>
      <w:r w:rsidRPr="009A1842">
        <w:rPr>
          <w:sz w:val="20"/>
          <w:szCs w:val="20"/>
        </w:rPr>
        <w:tab/>
        <w:t>vyrozumět Obchodníka bez zbytečného odkladu o omezení nebo přerušení odběru plynu; v případě provádění plánovaných rekonstrukcí a oprav odběrného plynového zařízení vyrozumět Obchodníka nejpozději patnáct (15) dnů předem,</w:t>
      </w:r>
    </w:p>
    <w:p w:rsidR="002D0D0B" w:rsidRPr="009A1842" w:rsidRDefault="002D0D0B" w:rsidP="002D0D0B">
      <w:pPr>
        <w:pStyle w:val="8ptreg"/>
        <w:tabs>
          <w:tab w:val="clear" w:pos="1247"/>
          <w:tab w:val="left" w:pos="1309"/>
        </w:tabs>
        <w:spacing w:before="60" w:line="240" w:lineRule="auto"/>
        <w:ind w:left="454" w:right="0" w:hanging="227"/>
        <w:rPr>
          <w:sz w:val="20"/>
          <w:szCs w:val="20"/>
        </w:rPr>
      </w:pPr>
      <w:r w:rsidRPr="009A1842">
        <w:rPr>
          <w:sz w:val="20"/>
          <w:szCs w:val="20"/>
        </w:rPr>
        <w:t>c)</w:t>
      </w:r>
      <w:r w:rsidRPr="009A1842">
        <w:rPr>
          <w:sz w:val="20"/>
          <w:szCs w:val="20"/>
        </w:rPr>
        <w:tab/>
        <w:t>platit Obchodníkovi cenu za přepravu plynu a distribuci plynu i v době odstávek za podmínky, že tak stanoví Pravidla přepravy a distribuce nebo obecně závazný předpis,</w:t>
      </w:r>
    </w:p>
    <w:p w:rsidR="002D0D0B" w:rsidRPr="009A1842" w:rsidRDefault="002D0D0B" w:rsidP="002D0D0B">
      <w:pPr>
        <w:pStyle w:val="8ptreg"/>
        <w:tabs>
          <w:tab w:val="clear" w:pos="1247"/>
          <w:tab w:val="left" w:pos="1309"/>
        </w:tabs>
        <w:spacing w:before="60" w:line="240" w:lineRule="auto"/>
        <w:ind w:left="454" w:right="0" w:hanging="227"/>
        <w:jc w:val="both"/>
        <w:rPr>
          <w:sz w:val="20"/>
          <w:szCs w:val="20"/>
        </w:rPr>
      </w:pPr>
      <w:r w:rsidRPr="009A1842">
        <w:rPr>
          <w:sz w:val="20"/>
          <w:szCs w:val="20"/>
        </w:rPr>
        <w:t>d)</w:t>
      </w:r>
      <w:r w:rsidRPr="009A1842">
        <w:rPr>
          <w:sz w:val="20"/>
          <w:szCs w:val="20"/>
        </w:rPr>
        <w:tab/>
        <w:t>oznámit Obchodníkovi změny ve svých právních poměrech, které mají nebo mohou mít důsledky na plnění závazků ze Smlouvy, a další významné skutečnosti, včetně změny údajů týkajících</w:t>
      </w:r>
      <w:r w:rsidRPr="009A1842">
        <w:rPr>
          <w:sz w:val="20"/>
          <w:szCs w:val="20"/>
        </w:rPr>
        <w:br/>
        <w:t>se jeho osoby, které jsou uvedeny ve Smlouvě.</w:t>
      </w:r>
    </w:p>
    <w:p w:rsidR="002D0D0B" w:rsidRPr="009A1842" w:rsidRDefault="002D0D0B" w:rsidP="002D0D0B">
      <w:pPr>
        <w:pStyle w:val="8ptreg"/>
        <w:spacing w:line="240" w:lineRule="auto"/>
        <w:ind w:left="0" w:right="0" w:hanging="168"/>
        <w:jc w:val="center"/>
        <w:outlineLvl w:val="0"/>
        <w:rPr>
          <w:b/>
          <w:bCs/>
          <w:sz w:val="20"/>
          <w:szCs w:val="20"/>
        </w:rPr>
      </w:pPr>
    </w:p>
    <w:p w:rsidR="002D0D0B" w:rsidRDefault="002D0D0B" w:rsidP="002D0D0B">
      <w:pPr>
        <w:pStyle w:val="8ptreg"/>
        <w:spacing w:line="240" w:lineRule="auto"/>
        <w:ind w:left="0" w:right="0" w:hanging="168"/>
        <w:jc w:val="center"/>
        <w:outlineLvl w:val="0"/>
        <w:rPr>
          <w:b/>
          <w:bCs/>
          <w:sz w:val="20"/>
          <w:szCs w:val="20"/>
        </w:rPr>
      </w:pPr>
    </w:p>
    <w:p w:rsidR="002D0D0B" w:rsidRDefault="002D0D0B" w:rsidP="002D0D0B">
      <w:pPr>
        <w:pStyle w:val="8ptreg"/>
        <w:spacing w:line="240" w:lineRule="auto"/>
        <w:ind w:left="0" w:right="0" w:hanging="168"/>
        <w:jc w:val="center"/>
        <w:outlineLvl w:val="0"/>
        <w:rPr>
          <w:b/>
          <w:bCs/>
          <w:sz w:val="20"/>
          <w:szCs w:val="20"/>
        </w:rPr>
      </w:pPr>
      <w:r>
        <w:rPr>
          <w:b/>
          <w:bCs/>
          <w:sz w:val="20"/>
          <w:szCs w:val="20"/>
        </w:rPr>
        <w:t>Článek VII.</w:t>
      </w:r>
    </w:p>
    <w:p w:rsidR="002D0D0B" w:rsidRPr="001B4FCA" w:rsidRDefault="002D0D0B" w:rsidP="002D0D0B">
      <w:pPr>
        <w:pStyle w:val="8ptreg"/>
        <w:spacing w:line="240" w:lineRule="auto"/>
        <w:ind w:left="0" w:right="0" w:hanging="168"/>
        <w:jc w:val="center"/>
        <w:outlineLvl w:val="0"/>
        <w:rPr>
          <w:b/>
          <w:bCs/>
          <w:caps/>
          <w:sz w:val="20"/>
          <w:szCs w:val="20"/>
        </w:rPr>
      </w:pPr>
      <w:r>
        <w:rPr>
          <w:b/>
          <w:bCs/>
          <w:caps/>
          <w:sz w:val="20"/>
          <w:szCs w:val="20"/>
        </w:rPr>
        <w:t>mĚŘENÍ ODEBRANÉHO PLYNU</w:t>
      </w:r>
    </w:p>
    <w:p w:rsidR="002D0D0B" w:rsidRDefault="002D0D0B" w:rsidP="002D0D0B">
      <w:pPr>
        <w:pStyle w:val="8ptreg"/>
        <w:spacing w:line="240" w:lineRule="auto"/>
        <w:ind w:left="0" w:right="0" w:hanging="168"/>
        <w:jc w:val="center"/>
        <w:outlineLvl w:val="0"/>
        <w:rPr>
          <w:b/>
          <w:bCs/>
          <w:sz w:val="20"/>
          <w:szCs w:val="20"/>
        </w:rPr>
      </w:pPr>
    </w:p>
    <w:p w:rsidR="002D0D0B" w:rsidRPr="001B4FCA" w:rsidRDefault="002D0D0B" w:rsidP="002D0D0B">
      <w:pPr>
        <w:pStyle w:val="8ptreg"/>
        <w:spacing w:before="120" w:line="240" w:lineRule="auto"/>
        <w:ind w:left="360" w:right="0" w:hanging="360"/>
        <w:rPr>
          <w:sz w:val="20"/>
          <w:szCs w:val="20"/>
        </w:rPr>
      </w:pPr>
      <w:r w:rsidRPr="001B4FCA">
        <w:rPr>
          <w:sz w:val="20"/>
          <w:szCs w:val="20"/>
        </w:rPr>
        <w:t>1</w:t>
      </w:r>
      <w:r>
        <w:rPr>
          <w:sz w:val="20"/>
          <w:szCs w:val="20"/>
        </w:rPr>
        <w:t>)</w:t>
      </w:r>
      <w:r w:rsidRPr="001B4FCA">
        <w:rPr>
          <w:sz w:val="20"/>
          <w:szCs w:val="20"/>
        </w:rPr>
        <w:tab/>
        <w:t>Měření odběru plynu a povinnosti PDS, Obchodníka a Zákazníka ve vztahu k měření upravuje § 71 Energetického zákona a Řád PDS.</w:t>
      </w:r>
    </w:p>
    <w:p w:rsidR="002D0D0B" w:rsidRPr="001B4FCA" w:rsidRDefault="002D0D0B" w:rsidP="002D0D0B">
      <w:pPr>
        <w:pStyle w:val="8ptreg"/>
        <w:spacing w:before="120" w:line="240" w:lineRule="auto"/>
        <w:ind w:left="360" w:right="0" w:hanging="360"/>
        <w:rPr>
          <w:sz w:val="20"/>
          <w:szCs w:val="20"/>
        </w:rPr>
      </w:pPr>
      <w:r>
        <w:rPr>
          <w:sz w:val="20"/>
          <w:szCs w:val="20"/>
        </w:rPr>
        <w:t>2)</w:t>
      </w:r>
      <w:r w:rsidRPr="001B4FCA">
        <w:rPr>
          <w:sz w:val="20"/>
          <w:szCs w:val="20"/>
        </w:rPr>
        <w:tab/>
        <w:t>Objem plynu v m</w:t>
      </w:r>
      <w:r w:rsidRPr="008D4539">
        <w:rPr>
          <w:sz w:val="20"/>
          <w:szCs w:val="20"/>
          <w:vertAlign w:val="superscript"/>
        </w:rPr>
        <w:t>3</w:t>
      </w:r>
      <w:r w:rsidRPr="001B4FCA">
        <w:rPr>
          <w:sz w:val="20"/>
          <w:szCs w:val="20"/>
        </w:rPr>
        <w:t xml:space="preserve"> se přepočítává na vztažné podmínky v Nm</w:t>
      </w:r>
      <w:r w:rsidRPr="008D4539">
        <w:rPr>
          <w:sz w:val="20"/>
          <w:szCs w:val="20"/>
          <w:vertAlign w:val="superscript"/>
        </w:rPr>
        <w:t>3</w:t>
      </w:r>
      <w:r w:rsidRPr="001B4FCA">
        <w:rPr>
          <w:sz w:val="20"/>
          <w:szCs w:val="20"/>
        </w:rPr>
        <w:t xml:space="preserve"> podle technických předpisů ve znění platném ke dni dodání plynu (ke dni vydání </w:t>
      </w:r>
      <w:r>
        <w:rPr>
          <w:sz w:val="20"/>
          <w:szCs w:val="20"/>
        </w:rPr>
        <w:t>aktuálně účinných</w:t>
      </w:r>
      <w:r w:rsidRPr="001B4FCA">
        <w:rPr>
          <w:sz w:val="20"/>
          <w:szCs w:val="20"/>
        </w:rPr>
        <w:t xml:space="preserve"> OP je tímto předpisem TPG 902 01).</w:t>
      </w:r>
    </w:p>
    <w:p w:rsidR="002D0D0B" w:rsidRPr="001B4FCA" w:rsidRDefault="002D0D0B" w:rsidP="002D0D0B">
      <w:pPr>
        <w:pStyle w:val="8ptreg"/>
        <w:spacing w:before="120" w:line="240" w:lineRule="auto"/>
        <w:ind w:left="360" w:right="0" w:hanging="360"/>
        <w:rPr>
          <w:sz w:val="20"/>
          <w:szCs w:val="20"/>
        </w:rPr>
      </w:pPr>
      <w:r>
        <w:rPr>
          <w:sz w:val="20"/>
          <w:szCs w:val="20"/>
        </w:rPr>
        <w:t>3)</w:t>
      </w:r>
      <w:r w:rsidRPr="001B4FCA">
        <w:rPr>
          <w:sz w:val="20"/>
          <w:szCs w:val="20"/>
        </w:rPr>
        <w:tab/>
        <w:t>Pokud nelze z důvodu poruchy měřicího zařízení určit skutečně odebrané množství plynu, dopočte se odebrané množství plynu postupem podle Řádu PDS.</w:t>
      </w:r>
    </w:p>
    <w:p w:rsidR="002D0D0B" w:rsidRDefault="002D0D0B" w:rsidP="002D0D0B">
      <w:pPr>
        <w:pStyle w:val="8ptreg"/>
        <w:spacing w:before="120" w:line="240" w:lineRule="auto"/>
        <w:ind w:left="360" w:right="0" w:hanging="360"/>
        <w:rPr>
          <w:sz w:val="20"/>
          <w:szCs w:val="20"/>
        </w:rPr>
      </w:pPr>
      <w:r>
        <w:rPr>
          <w:sz w:val="20"/>
          <w:szCs w:val="20"/>
        </w:rPr>
        <w:t>4)</w:t>
      </w:r>
      <w:r w:rsidRPr="001B4FCA">
        <w:rPr>
          <w:sz w:val="20"/>
          <w:szCs w:val="20"/>
        </w:rPr>
        <w:tab/>
        <w:t>Objem plynu v Nm</w:t>
      </w:r>
      <w:r w:rsidRPr="00FD5C71">
        <w:rPr>
          <w:sz w:val="20"/>
          <w:szCs w:val="20"/>
          <w:vertAlign w:val="superscript"/>
        </w:rPr>
        <w:t>3</w:t>
      </w:r>
      <w:r w:rsidRPr="001B4FCA">
        <w:rPr>
          <w:sz w:val="20"/>
          <w:szCs w:val="20"/>
        </w:rPr>
        <w:t xml:space="preserve"> se přepočítává na energetické jednotky v kWh podle technických předpisů ve znění platném</w:t>
      </w:r>
      <w:r>
        <w:rPr>
          <w:sz w:val="20"/>
          <w:szCs w:val="20"/>
        </w:rPr>
        <w:t xml:space="preserve"> </w:t>
      </w:r>
      <w:r w:rsidRPr="001B4FCA">
        <w:rPr>
          <w:sz w:val="20"/>
          <w:szCs w:val="20"/>
        </w:rPr>
        <w:t xml:space="preserve">ke dni dodání plynu (ke dni vydání </w:t>
      </w:r>
      <w:r>
        <w:rPr>
          <w:sz w:val="20"/>
          <w:szCs w:val="20"/>
        </w:rPr>
        <w:t>aktuálně účinnými</w:t>
      </w:r>
      <w:r w:rsidRPr="001B4FCA">
        <w:rPr>
          <w:sz w:val="20"/>
          <w:szCs w:val="20"/>
        </w:rPr>
        <w:t xml:space="preserve"> OP je tímto předpisem TPG 901 01).</w:t>
      </w:r>
    </w:p>
    <w:p w:rsidR="002D0D0B" w:rsidRPr="001B4FCA" w:rsidRDefault="002D0D0B" w:rsidP="002D0D0B">
      <w:pPr>
        <w:pStyle w:val="8ptreg"/>
        <w:spacing w:before="120" w:line="240" w:lineRule="auto"/>
        <w:ind w:left="360" w:right="0" w:hanging="360"/>
        <w:rPr>
          <w:sz w:val="20"/>
          <w:szCs w:val="20"/>
        </w:rPr>
      </w:pPr>
    </w:p>
    <w:p w:rsidR="002D0D0B" w:rsidRDefault="002D0D0B" w:rsidP="002D0D0B">
      <w:pPr>
        <w:pStyle w:val="8ptreg"/>
        <w:spacing w:line="240" w:lineRule="auto"/>
        <w:ind w:left="0" w:right="0" w:hanging="168"/>
        <w:jc w:val="center"/>
        <w:outlineLvl w:val="0"/>
        <w:rPr>
          <w:b/>
          <w:bCs/>
          <w:sz w:val="20"/>
          <w:szCs w:val="20"/>
        </w:rPr>
      </w:pPr>
      <w:r>
        <w:rPr>
          <w:b/>
          <w:bCs/>
          <w:sz w:val="20"/>
          <w:szCs w:val="20"/>
        </w:rPr>
        <w:t>Článek VIII.</w:t>
      </w:r>
    </w:p>
    <w:p w:rsidR="002D0D0B" w:rsidRDefault="002D0D0B" w:rsidP="002D0D0B">
      <w:pPr>
        <w:pStyle w:val="8ptreg"/>
        <w:spacing w:line="240" w:lineRule="auto"/>
        <w:ind w:left="0" w:right="0" w:hanging="168"/>
        <w:jc w:val="center"/>
        <w:outlineLvl w:val="0"/>
        <w:rPr>
          <w:b/>
          <w:bCs/>
          <w:sz w:val="20"/>
          <w:szCs w:val="20"/>
        </w:rPr>
      </w:pPr>
      <w:r>
        <w:rPr>
          <w:b/>
          <w:bCs/>
          <w:sz w:val="20"/>
          <w:szCs w:val="20"/>
        </w:rPr>
        <w:t>REKLAMACE</w:t>
      </w:r>
    </w:p>
    <w:p w:rsidR="002D0D0B" w:rsidRDefault="002D0D0B" w:rsidP="002D0D0B">
      <w:pPr>
        <w:pStyle w:val="8ptreg"/>
        <w:spacing w:line="240" w:lineRule="auto"/>
        <w:ind w:left="0" w:right="0" w:hanging="168"/>
        <w:jc w:val="center"/>
        <w:outlineLvl w:val="0"/>
        <w:rPr>
          <w:b/>
          <w:bCs/>
          <w:sz w:val="20"/>
          <w:szCs w:val="20"/>
        </w:rPr>
      </w:pPr>
    </w:p>
    <w:p w:rsidR="002D0D0B" w:rsidRPr="001B4FCA" w:rsidRDefault="002D0D0B" w:rsidP="002D0D0B">
      <w:pPr>
        <w:pStyle w:val="8ptreg"/>
        <w:numPr>
          <w:ilvl w:val="0"/>
          <w:numId w:val="8"/>
        </w:numPr>
        <w:spacing w:before="120" w:line="240" w:lineRule="auto"/>
        <w:ind w:right="0"/>
        <w:jc w:val="both"/>
        <w:rPr>
          <w:sz w:val="20"/>
          <w:szCs w:val="20"/>
        </w:rPr>
      </w:pPr>
      <w:r w:rsidRPr="001B4FCA">
        <w:rPr>
          <w:sz w:val="20"/>
          <w:szCs w:val="20"/>
        </w:rPr>
        <w:t>Zjistí-li kterýkoli z účastníků právního vztahu chyby nebo omyly při vyúčtování plateb podle Smlouvy, vzniklých nesprávným odečtem plynoměru, chybou měřicího zařízení, použitím nesprávné ceny (sazby), početní nebo tiskovou chybou apod., mají účastníci nárok na vzájemné vypořádání. Zjistí-li kterýkoliv účastník některý z uvedených případů, předá druhému účastníkovi písemnou výzvu k odstranění závadového stavu a k jeho nápravě (tzv. reklamace).</w:t>
      </w:r>
    </w:p>
    <w:p w:rsidR="002D0D0B" w:rsidRPr="001B4FCA" w:rsidRDefault="002D0D0B" w:rsidP="002D0D0B">
      <w:pPr>
        <w:pStyle w:val="8ptreg"/>
        <w:spacing w:before="120" w:line="240" w:lineRule="auto"/>
        <w:ind w:left="360" w:right="0"/>
        <w:rPr>
          <w:sz w:val="20"/>
          <w:szCs w:val="20"/>
        </w:rPr>
      </w:pPr>
      <w:r w:rsidRPr="001B4FCA">
        <w:rPr>
          <w:sz w:val="20"/>
          <w:szCs w:val="20"/>
        </w:rPr>
        <w:t>Reklamace bude obsahovat zejména:</w:t>
      </w:r>
    </w:p>
    <w:p w:rsidR="002D0D0B" w:rsidRPr="001B4FCA" w:rsidRDefault="002D0D0B" w:rsidP="002D0D0B">
      <w:pPr>
        <w:pStyle w:val="8ptreg"/>
        <w:numPr>
          <w:ilvl w:val="1"/>
          <w:numId w:val="8"/>
        </w:numPr>
        <w:spacing w:before="120" w:line="240" w:lineRule="auto"/>
        <w:ind w:right="0"/>
        <w:rPr>
          <w:sz w:val="20"/>
          <w:szCs w:val="20"/>
        </w:rPr>
      </w:pPr>
      <w:r w:rsidRPr="001B4FCA">
        <w:rPr>
          <w:sz w:val="20"/>
          <w:szCs w:val="20"/>
        </w:rPr>
        <w:t>číslo reklamované faktury, vč. variabilního symbolu,</w:t>
      </w:r>
    </w:p>
    <w:p w:rsidR="002D0D0B" w:rsidRPr="001B4FCA" w:rsidRDefault="002D0D0B" w:rsidP="002D0D0B">
      <w:pPr>
        <w:pStyle w:val="8ptreg"/>
        <w:numPr>
          <w:ilvl w:val="1"/>
          <w:numId w:val="8"/>
        </w:numPr>
        <w:spacing w:before="120" w:line="240" w:lineRule="auto"/>
        <w:ind w:right="0"/>
        <w:rPr>
          <w:sz w:val="20"/>
          <w:szCs w:val="20"/>
        </w:rPr>
      </w:pPr>
      <w:r w:rsidRPr="001B4FCA">
        <w:rPr>
          <w:sz w:val="20"/>
          <w:szCs w:val="20"/>
        </w:rPr>
        <w:t>číslo a název odběrného místa,</w:t>
      </w:r>
    </w:p>
    <w:p w:rsidR="002D0D0B" w:rsidRPr="001B4FCA" w:rsidRDefault="002D0D0B" w:rsidP="002D0D0B">
      <w:pPr>
        <w:pStyle w:val="8ptreg"/>
        <w:numPr>
          <w:ilvl w:val="1"/>
          <w:numId w:val="8"/>
        </w:numPr>
        <w:spacing w:before="120" w:line="240" w:lineRule="auto"/>
        <w:ind w:right="0"/>
        <w:rPr>
          <w:sz w:val="20"/>
          <w:szCs w:val="20"/>
        </w:rPr>
      </w:pPr>
      <w:r w:rsidRPr="001B4FCA">
        <w:rPr>
          <w:sz w:val="20"/>
          <w:szCs w:val="20"/>
        </w:rPr>
        <w:t>číslo měřicího zařízení a jeho stav ke dni podání reklamace,</w:t>
      </w:r>
    </w:p>
    <w:p w:rsidR="002D0D0B" w:rsidRPr="001B4FCA" w:rsidRDefault="002D0D0B" w:rsidP="002D0D0B">
      <w:pPr>
        <w:pStyle w:val="8ptreg"/>
        <w:numPr>
          <w:ilvl w:val="1"/>
          <w:numId w:val="8"/>
        </w:numPr>
        <w:spacing w:before="120" w:line="240" w:lineRule="auto"/>
        <w:ind w:right="0"/>
        <w:rPr>
          <w:sz w:val="20"/>
          <w:szCs w:val="20"/>
        </w:rPr>
      </w:pPr>
      <w:r w:rsidRPr="001B4FCA">
        <w:rPr>
          <w:sz w:val="20"/>
          <w:szCs w:val="20"/>
        </w:rPr>
        <w:t>odůvodnění reklamace,</w:t>
      </w:r>
    </w:p>
    <w:p w:rsidR="002D0D0B" w:rsidRPr="001B4FCA" w:rsidRDefault="002D0D0B" w:rsidP="002D0D0B">
      <w:pPr>
        <w:pStyle w:val="8ptreg"/>
        <w:numPr>
          <w:ilvl w:val="1"/>
          <w:numId w:val="8"/>
        </w:numPr>
        <w:spacing w:before="120" w:line="240" w:lineRule="auto"/>
        <w:ind w:right="0"/>
        <w:rPr>
          <w:sz w:val="20"/>
          <w:szCs w:val="20"/>
        </w:rPr>
      </w:pPr>
      <w:r w:rsidRPr="001B4FCA">
        <w:rPr>
          <w:sz w:val="20"/>
          <w:szCs w:val="20"/>
        </w:rPr>
        <w:t>další důležité skutečnosti rozhodné pro posouzení reklamace,</w:t>
      </w:r>
    </w:p>
    <w:p w:rsidR="002D0D0B" w:rsidRPr="001B4FCA" w:rsidRDefault="002D0D0B" w:rsidP="002D0D0B">
      <w:pPr>
        <w:pStyle w:val="8ptreg"/>
        <w:numPr>
          <w:ilvl w:val="1"/>
          <w:numId w:val="8"/>
        </w:numPr>
        <w:spacing w:before="120" w:line="240" w:lineRule="auto"/>
        <w:ind w:right="0"/>
        <w:rPr>
          <w:sz w:val="20"/>
          <w:szCs w:val="20"/>
        </w:rPr>
      </w:pPr>
      <w:r w:rsidRPr="001B4FCA">
        <w:rPr>
          <w:sz w:val="20"/>
          <w:szCs w:val="20"/>
        </w:rPr>
        <w:t>označení reklamujícího účastníka a jeho podpis nebo podpis oprávněného zástupce.</w:t>
      </w:r>
    </w:p>
    <w:p w:rsidR="002D0D0B" w:rsidRPr="001B4FCA" w:rsidRDefault="002D0D0B" w:rsidP="002D0D0B">
      <w:pPr>
        <w:pStyle w:val="8ptreg"/>
        <w:spacing w:before="120" w:line="240" w:lineRule="auto"/>
        <w:ind w:left="360" w:right="0" w:hanging="360"/>
        <w:jc w:val="both"/>
        <w:rPr>
          <w:sz w:val="20"/>
          <w:szCs w:val="20"/>
        </w:rPr>
      </w:pPr>
      <w:r w:rsidRPr="001B4FCA">
        <w:rPr>
          <w:sz w:val="20"/>
          <w:szCs w:val="20"/>
        </w:rPr>
        <w:t>2.</w:t>
      </w:r>
      <w:r w:rsidRPr="001B4FCA">
        <w:rPr>
          <w:sz w:val="20"/>
          <w:szCs w:val="20"/>
        </w:rPr>
        <w:tab/>
        <w:t>Uplatněná reklamace, s výjimkou reklamace zcela zjevné chyby či omylu, nemá odkladný účinek na splatnost vyúčtování. Obchodník reklamaci prošetří ve lhůtě patnácti (15) dnů ode dne, kdy reklamaci obdržel, a výsledek šetření odešle Zákazníkovi. Byla-li reklamace oprávněná, bude provedeno vzájemné vypořádání nejpozději do třiceti (30) dnů ode dne doručení reklamace.</w:t>
      </w:r>
    </w:p>
    <w:p w:rsidR="002D0D0B" w:rsidRPr="001B4FCA" w:rsidRDefault="002D0D0B" w:rsidP="002D0D0B">
      <w:pPr>
        <w:pStyle w:val="8ptreg"/>
        <w:spacing w:before="120" w:line="240" w:lineRule="auto"/>
        <w:ind w:left="360" w:right="0" w:hanging="360"/>
        <w:jc w:val="both"/>
        <w:rPr>
          <w:sz w:val="20"/>
          <w:szCs w:val="20"/>
        </w:rPr>
      </w:pPr>
      <w:r w:rsidRPr="001B4FCA">
        <w:rPr>
          <w:sz w:val="20"/>
          <w:szCs w:val="20"/>
        </w:rPr>
        <w:t>3.</w:t>
      </w:r>
      <w:r w:rsidRPr="001B4FCA">
        <w:rPr>
          <w:sz w:val="20"/>
          <w:szCs w:val="20"/>
        </w:rPr>
        <w:tab/>
        <w:t>V případě, že má Zákazník pochybnosti o správnosti údajů měření nebo zjistí-li závadu na měřicím zařízení a žádá</w:t>
      </w:r>
      <w:r>
        <w:rPr>
          <w:sz w:val="20"/>
          <w:szCs w:val="20"/>
        </w:rPr>
        <w:t xml:space="preserve"> </w:t>
      </w:r>
      <w:r w:rsidRPr="001B4FCA">
        <w:rPr>
          <w:sz w:val="20"/>
          <w:szCs w:val="20"/>
        </w:rPr>
        <w:t>o přezkoušení měřicího zařízení nebo jeho výměnu, řeší tuto otázku postupem podle § 71 Energetického zákona a podle Řádu PDS s PDS. Postup při reklamaci chybného chodu měřicího zařízení, chybného přenosu dat nebo chybného odečtu a správnosti přepočtu se řídí Řádem PDS.</w:t>
      </w:r>
    </w:p>
    <w:p w:rsidR="002D0D0B" w:rsidRDefault="002D0D0B" w:rsidP="002D0D0B">
      <w:pPr>
        <w:pStyle w:val="8ptreg"/>
        <w:spacing w:line="240" w:lineRule="auto"/>
        <w:ind w:left="0" w:right="0" w:hanging="168"/>
        <w:jc w:val="center"/>
        <w:outlineLvl w:val="0"/>
        <w:rPr>
          <w:b/>
          <w:bCs/>
          <w:sz w:val="20"/>
          <w:szCs w:val="20"/>
        </w:rPr>
      </w:pPr>
    </w:p>
    <w:p w:rsidR="002D0D0B" w:rsidRDefault="002D0D0B" w:rsidP="002D0D0B">
      <w:pPr>
        <w:pStyle w:val="8ptreg"/>
        <w:spacing w:line="240" w:lineRule="auto"/>
        <w:ind w:left="0" w:right="0" w:hanging="168"/>
        <w:jc w:val="center"/>
        <w:outlineLvl w:val="0"/>
        <w:rPr>
          <w:b/>
          <w:bCs/>
          <w:sz w:val="20"/>
          <w:szCs w:val="20"/>
        </w:rPr>
      </w:pPr>
    </w:p>
    <w:p w:rsidR="002D0D0B" w:rsidRDefault="002D0D0B" w:rsidP="002D0D0B">
      <w:pPr>
        <w:pStyle w:val="8ptreg"/>
        <w:spacing w:line="240" w:lineRule="auto"/>
        <w:ind w:left="0" w:right="0" w:hanging="168"/>
        <w:jc w:val="center"/>
        <w:outlineLvl w:val="0"/>
        <w:rPr>
          <w:b/>
          <w:bCs/>
          <w:sz w:val="20"/>
          <w:szCs w:val="20"/>
        </w:rPr>
      </w:pPr>
      <w:r>
        <w:rPr>
          <w:sz w:val="20"/>
          <w:szCs w:val="20"/>
        </w:rPr>
        <w:tab/>
      </w:r>
      <w:r>
        <w:rPr>
          <w:b/>
          <w:bCs/>
          <w:sz w:val="20"/>
          <w:szCs w:val="20"/>
        </w:rPr>
        <w:t>Článek XI.</w:t>
      </w:r>
    </w:p>
    <w:p w:rsidR="002D0D0B" w:rsidRDefault="002D0D0B" w:rsidP="002D0D0B">
      <w:pPr>
        <w:pStyle w:val="8ptreg"/>
        <w:spacing w:line="240" w:lineRule="auto"/>
        <w:ind w:left="0" w:right="0" w:hanging="168"/>
        <w:jc w:val="center"/>
        <w:rPr>
          <w:b/>
          <w:bCs/>
          <w:sz w:val="20"/>
          <w:szCs w:val="20"/>
        </w:rPr>
      </w:pPr>
      <w:r>
        <w:rPr>
          <w:b/>
          <w:bCs/>
          <w:sz w:val="20"/>
          <w:szCs w:val="20"/>
        </w:rPr>
        <w:t>PLATNOST A ÚČINNOST SMLOUVY,</w:t>
      </w:r>
    </w:p>
    <w:p w:rsidR="002D0D0B" w:rsidRDefault="002D0D0B" w:rsidP="002D0D0B">
      <w:pPr>
        <w:pStyle w:val="8ptreg"/>
        <w:spacing w:line="240" w:lineRule="auto"/>
        <w:ind w:left="0" w:right="0" w:hanging="168"/>
        <w:jc w:val="center"/>
        <w:rPr>
          <w:b/>
          <w:bCs/>
          <w:sz w:val="20"/>
          <w:szCs w:val="20"/>
        </w:rPr>
      </w:pPr>
      <w:r>
        <w:rPr>
          <w:b/>
          <w:bCs/>
          <w:sz w:val="20"/>
          <w:szCs w:val="20"/>
        </w:rPr>
        <w:t>ODSTOUPENÍ OD SMLOUVY</w:t>
      </w:r>
    </w:p>
    <w:p w:rsidR="002D0D0B" w:rsidRDefault="002D0D0B" w:rsidP="002D0D0B">
      <w:pPr>
        <w:pStyle w:val="8ptreg"/>
        <w:spacing w:line="240" w:lineRule="auto"/>
        <w:ind w:left="0" w:right="0" w:hanging="168"/>
        <w:jc w:val="center"/>
        <w:rPr>
          <w:b/>
          <w:bCs/>
          <w:sz w:val="20"/>
          <w:szCs w:val="20"/>
        </w:rPr>
      </w:pPr>
    </w:p>
    <w:p w:rsidR="00A16E87" w:rsidRPr="00A16E87" w:rsidRDefault="002D0D0B" w:rsidP="002D0D0B">
      <w:pPr>
        <w:numPr>
          <w:ilvl w:val="0"/>
          <w:numId w:val="7"/>
        </w:numPr>
        <w:tabs>
          <w:tab w:val="num" w:pos="8724"/>
        </w:tabs>
        <w:ind w:left="374" w:hanging="374"/>
        <w:jc w:val="both"/>
        <w:rPr>
          <w:rFonts w:ascii="Arial" w:hAnsi="Arial" w:cs="Arial"/>
        </w:rPr>
      </w:pPr>
      <w:r w:rsidRPr="00A16E87">
        <w:rPr>
          <w:rFonts w:ascii="Arial" w:hAnsi="Arial" w:cs="Arial"/>
        </w:rPr>
        <w:t xml:space="preserve">Smlouva se uzavírá na dobu neurčitou, přičemž nabývá platnosti dnem podpisu oprávněných zástupců Smluvních stran a účinnosti dnem </w:t>
      </w:r>
      <w:r w:rsidR="00A16E87" w:rsidRPr="00C86EAD">
        <w:rPr>
          <w:rFonts w:ascii="Arial" w:hAnsi="Arial" w:cs="Arial"/>
          <w:b/>
        </w:rPr>
        <w:t>1.</w:t>
      </w:r>
      <w:r w:rsidR="00A16E87">
        <w:rPr>
          <w:rFonts w:ascii="Arial" w:hAnsi="Arial" w:cs="Arial"/>
          <w:b/>
        </w:rPr>
        <w:t>1</w:t>
      </w:r>
      <w:r w:rsidR="00A16E87" w:rsidRPr="00C86EAD">
        <w:rPr>
          <w:rFonts w:ascii="Arial" w:hAnsi="Arial" w:cs="Arial"/>
          <w:b/>
        </w:rPr>
        <w:t>.201</w:t>
      </w:r>
      <w:r w:rsidR="00A16E87">
        <w:rPr>
          <w:rFonts w:ascii="Arial" w:hAnsi="Arial" w:cs="Arial"/>
          <w:b/>
        </w:rPr>
        <w:t>9</w:t>
      </w:r>
      <w:r w:rsidR="00A16E87" w:rsidRPr="00C86EAD">
        <w:rPr>
          <w:rFonts w:ascii="Arial" w:hAnsi="Arial" w:cs="Arial"/>
          <w:b/>
        </w:rPr>
        <w:t xml:space="preserve">  </w:t>
      </w:r>
      <w:r w:rsidR="00A16E87" w:rsidRPr="00C86EAD">
        <w:rPr>
          <w:b/>
          <w:bCs/>
        </w:rPr>
        <w:t xml:space="preserve"> </w:t>
      </w:r>
      <w:r w:rsidR="00A16E87" w:rsidRPr="00C86EAD">
        <w:rPr>
          <w:rFonts w:ascii="Arial" w:hAnsi="Arial" w:cs="Arial"/>
          <w:b/>
          <w:bCs/>
        </w:rPr>
        <w:t>06°°.</w:t>
      </w:r>
      <w:r w:rsidR="00A16E87" w:rsidRPr="00A16E87">
        <w:rPr>
          <w:rFonts w:ascii="Arial" w:hAnsi="Arial" w:cs="Arial"/>
          <w:b/>
        </w:rPr>
        <w:t xml:space="preserve"> </w:t>
      </w:r>
    </w:p>
    <w:p w:rsidR="002D0D0B" w:rsidRPr="00A16E87" w:rsidRDefault="002D0D0B" w:rsidP="002D0D0B">
      <w:pPr>
        <w:numPr>
          <w:ilvl w:val="0"/>
          <w:numId w:val="7"/>
        </w:numPr>
        <w:tabs>
          <w:tab w:val="num" w:pos="8724"/>
        </w:tabs>
        <w:ind w:left="374" w:hanging="374"/>
        <w:jc w:val="both"/>
        <w:rPr>
          <w:rFonts w:ascii="Arial" w:hAnsi="Arial" w:cs="Arial"/>
        </w:rPr>
      </w:pPr>
      <w:r w:rsidRPr="00A16E87">
        <w:rPr>
          <w:rFonts w:ascii="Arial" w:hAnsi="Arial" w:cs="Arial"/>
        </w:rPr>
        <w:t xml:space="preserve">Ukončení platnosti a účinnosti smlouvy se řídí ustanovení OP, které tvoří přílohu </w:t>
      </w:r>
      <w:proofErr w:type="gramStart"/>
      <w:r w:rsidRPr="00A16E87">
        <w:rPr>
          <w:rFonts w:ascii="Arial" w:hAnsi="Arial" w:cs="Arial"/>
        </w:rPr>
        <w:t>č.2 této</w:t>
      </w:r>
      <w:proofErr w:type="gramEnd"/>
      <w:r w:rsidRPr="00A16E87">
        <w:rPr>
          <w:rFonts w:ascii="Arial" w:hAnsi="Arial" w:cs="Arial"/>
        </w:rPr>
        <w:t xml:space="preserve"> Smlouvy.</w:t>
      </w:r>
    </w:p>
    <w:p w:rsidR="002D0D0B" w:rsidRPr="00F51723" w:rsidRDefault="002D0D0B" w:rsidP="002D0D0B">
      <w:pPr>
        <w:numPr>
          <w:ilvl w:val="0"/>
          <w:numId w:val="7"/>
        </w:numPr>
        <w:tabs>
          <w:tab w:val="num" w:pos="8724"/>
        </w:tabs>
        <w:ind w:left="374" w:hanging="374"/>
        <w:jc w:val="both"/>
        <w:rPr>
          <w:rFonts w:ascii="Arial" w:hAnsi="Arial" w:cs="Arial"/>
        </w:rPr>
      </w:pPr>
      <w:r w:rsidRPr="00F51723">
        <w:rPr>
          <w:rFonts w:ascii="Arial" w:hAnsi="Arial" w:cs="Arial"/>
        </w:rPr>
        <w:t>Smluvní strany se mohou na ukončení platnosti této Smlouvy písemně dohodnout</w:t>
      </w:r>
    </w:p>
    <w:p w:rsidR="002D0D0B" w:rsidRDefault="002D0D0B" w:rsidP="00A061D7">
      <w:pPr>
        <w:pStyle w:val="8ptreg"/>
        <w:spacing w:line="240" w:lineRule="auto"/>
        <w:ind w:left="0" w:right="0"/>
        <w:jc w:val="both"/>
        <w:rPr>
          <w:bCs/>
          <w:sz w:val="20"/>
          <w:szCs w:val="20"/>
        </w:rPr>
      </w:pPr>
    </w:p>
    <w:p w:rsidR="002D0D0B" w:rsidRDefault="002D0D0B" w:rsidP="002D0D0B">
      <w:pPr>
        <w:pStyle w:val="8ptreg"/>
        <w:spacing w:line="240" w:lineRule="auto"/>
        <w:ind w:left="187" w:right="0"/>
        <w:jc w:val="both"/>
        <w:rPr>
          <w:bCs/>
          <w:sz w:val="20"/>
          <w:szCs w:val="20"/>
        </w:rPr>
      </w:pPr>
    </w:p>
    <w:p w:rsidR="002D0D0B" w:rsidRDefault="002D0D0B" w:rsidP="002D0D0B">
      <w:pPr>
        <w:pStyle w:val="8ptreg"/>
        <w:spacing w:line="240" w:lineRule="auto"/>
        <w:ind w:left="0" w:right="0" w:hanging="168"/>
        <w:jc w:val="center"/>
        <w:outlineLvl w:val="0"/>
        <w:rPr>
          <w:b/>
          <w:bCs/>
          <w:sz w:val="20"/>
          <w:szCs w:val="20"/>
        </w:rPr>
      </w:pPr>
      <w:r>
        <w:rPr>
          <w:b/>
          <w:bCs/>
          <w:sz w:val="20"/>
          <w:szCs w:val="20"/>
        </w:rPr>
        <w:t xml:space="preserve">Článek XII.   </w:t>
      </w:r>
    </w:p>
    <w:p w:rsidR="002D0D0B" w:rsidRDefault="002D0D0B" w:rsidP="002D0D0B">
      <w:pPr>
        <w:pStyle w:val="8ptreg"/>
        <w:spacing w:line="240" w:lineRule="auto"/>
        <w:ind w:left="0" w:right="0" w:hanging="168"/>
        <w:jc w:val="center"/>
        <w:rPr>
          <w:b/>
          <w:bCs/>
          <w:sz w:val="20"/>
          <w:szCs w:val="20"/>
        </w:rPr>
      </w:pPr>
      <w:r>
        <w:rPr>
          <w:b/>
          <w:bCs/>
          <w:sz w:val="20"/>
          <w:szCs w:val="20"/>
        </w:rPr>
        <w:t>SMLUVNÍ SANKCE, NÁHRADA ŠKODY</w:t>
      </w:r>
    </w:p>
    <w:p w:rsidR="002D0D0B" w:rsidRDefault="002D0D0B" w:rsidP="002D0D0B">
      <w:pPr>
        <w:pStyle w:val="Nzevlnku-podtitul"/>
        <w:jc w:val="both"/>
        <w:rPr>
          <w:b w:val="0"/>
          <w:sz w:val="20"/>
        </w:rPr>
      </w:pPr>
    </w:p>
    <w:p w:rsidR="002D0D0B" w:rsidRDefault="002D0D0B" w:rsidP="002D0D0B">
      <w:pPr>
        <w:ind w:left="360" w:hanging="360"/>
        <w:jc w:val="both"/>
        <w:rPr>
          <w:rFonts w:ascii="Arial" w:hAnsi="Arial" w:cs="Arial"/>
        </w:rPr>
      </w:pPr>
      <w:r>
        <w:rPr>
          <w:rFonts w:ascii="Arial" w:hAnsi="Arial" w:cs="Arial"/>
        </w:rPr>
        <w:t>1)</w:t>
      </w:r>
      <w:r>
        <w:rPr>
          <w:rFonts w:ascii="Arial" w:hAnsi="Arial" w:cs="Arial"/>
        </w:rPr>
        <w:tab/>
      </w:r>
      <w:r w:rsidRPr="0038797C">
        <w:rPr>
          <w:rFonts w:ascii="Arial" w:hAnsi="Arial" w:cs="Arial"/>
        </w:rPr>
        <w:t>V případě neoprávněného odběru podle § 74 Energetického zákona je Obchodník oprávněn vyúčtovat Zákazníkovi skutečně vzniklou škodu a Zákazník je povinen škodu Obchodníkovi uhradit. Nelze-li vzniklou škodu prokazatelně stanovit, vypočte se náhrada škody podle Pravidel provozu přepravní soustavy a distribučních soustav v plynárenství a příslušných právních předpisů. Zákazník je rovněž povinen nahradit Obchodníkovi náklady vynaložené na přerušení a obnovení dodávky plynu z důvodů, které leží na straně Zákazníka (vč. nákladů spojených s odpojením a případným připojením odběrného plynového zařízení).</w:t>
      </w:r>
    </w:p>
    <w:p w:rsidR="002D0D0B" w:rsidRDefault="002D0D0B" w:rsidP="002D0D0B">
      <w:pPr>
        <w:ind w:left="360" w:hanging="360"/>
        <w:jc w:val="both"/>
        <w:rPr>
          <w:rFonts w:ascii="Arial" w:hAnsi="Arial" w:cs="Arial"/>
        </w:rPr>
      </w:pPr>
      <w:r>
        <w:rPr>
          <w:rFonts w:ascii="Arial" w:hAnsi="Arial" w:cs="Arial"/>
        </w:rPr>
        <w:t>2)</w:t>
      </w:r>
      <w:r>
        <w:rPr>
          <w:rFonts w:ascii="Arial" w:hAnsi="Arial" w:cs="Arial"/>
        </w:rPr>
        <w:tab/>
        <w:t>Zpoplatnění určité hranice množství plynu neopravňuje Zákazníka k navýšení smluvní hodnoty odběru plynu na dosaženou hodnotu odběru plynu.</w:t>
      </w:r>
    </w:p>
    <w:p w:rsidR="002D0D0B" w:rsidRDefault="002D0D0B" w:rsidP="002D0D0B">
      <w:pPr>
        <w:tabs>
          <w:tab w:val="left" w:pos="360"/>
        </w:tabs>
        <w:ind w:left="360" w:hanging="360"/>
        <w:jc w:val="both"/>
        <w:rPr>
          <w:rFonts w:ascii="Arial" w:hAnsi="Arial" w:cs="Arial"/>
        </w:rPr>
      </w:pPr>
      <w:r>
        <w:rPr>
          <w:rFonts w:ascii="Arial" w:hAnsi="Arial" w:cs="Arial"/>
        </w:rPr>
        <w:t>3)</w:t>
      </w:r>
      <w:r>
        <w:rPr>
          <w:rFonts w:ascii="Arial" w:hAnsi="Arial" w:cs="Arial"/>
        </w:rPr>
        <w:tab/>
        <w:t>Zákazník je oprávněn odstoupit od smlouvy v případě, že ze strany obchodníka nejsou plněny smluvní povinnosti dle této Smlouvy a OP nebo v případě nesouhlasu Zákazníka s navrhovanou změnou smluvních podmínek.</w:t>
      </w:r>
    </w:p>
    <w:p w:rsidR="002D0D0B" w:rsidRDefault="002D0D0B" w:rsidP="002D0D0B">
      <w:pPr>
        <w:tabs>
          <w:tab w:val="left" w:pos="360"/>
        </w:tabs>
        <w:ind w:left="360" w:hanging="360"/>
        <w:jc w:val="both"/>
        <w:rPr>
          <w:rFonts w:ascii="Arial" w:hAnsi="Arial" w:cs="Arial"/>
        </w:rPr>
      </w:pPr>
    </w:p>
    <w:p w:rsidR="003F7757" w:rsidRDefault="003F7757" w:rsidP="002D0D0B">
      <w:pPr>
        <w:tabs>
          <w:tab w:val="left" w:pos="360"/>
        </w:tabs>
        <w:ind w:left="360" w:hanging="360"/>
        <w:jc w:val="both"/>
        <w:rPr>
          <w:rFonts w:ascii="Arial" w:hAnsi="Arial" w:cs="Arial"/>
        </w:rPr>
      </w:pPr>
    </w:p>
    <w:p w:rsidR="003F7757" w:rsidRDefault="003F7757" w:rsidP="002D0D0B">
      <w:pPr>
        <w:tabs>
          <w:tab w:val="left" w:pos="360"/>
        </w:tabs>
        <w:ind w:left="360" w:hanging="360"/>
        <w:jc w:val="both"/>
        <w:rPr>
          <w:rFonts w:ascii="Arial" w:hAnsi="Arial" w:cs="Arial"/>
        </w:rPr>
      </w:pPr>
    </w:p>
    <w:p w:rsidR="002D0D0B" w:rsidRDefault="002D0D0B" w:rsidP="002D0D0B">
      <w:pPr>
        <w:pStyle w:val="8ptreg"/>
        <w:spacing w:line="240" w:lineRule="auto"/>
        <w:ind w:left="0" w:right="0" w:hanging="168"/>
        <w:jc w:val="center"/>
        <w:outlineLvl w:val="0"/>
        <w:rPr>
          <w:b/>
          <w:bCs/>
          <w:sz w:val="20"/>
          <w:szCs w:val="20"/>
        </w:rPr>
      </w:pPr>
      <w:r>
        <w:rPr>
          <w:b/>
          <w:bCs/>
          <w:sz w:val="20"/>
          <w:szCs w:val="20"/>
        </w:rPr>
        <w:lastRenderedPageBreak/>
        <w:t xml:space="preserve">Článek XIII.   </w:t>
      </w:r>
    </w:p>
    <w:p w:rsidR="002D0D0B" w:rsidRDefault="002D0D0B" w:rsidP="002D0D0B">
      <w:pPr>
        <w:pStyle w:val="8ptreg"/>
        <w:spacing w:line="240" w:lineRule="auto"/>
        <w:ind w:left="0" w:right="0" w:hanging="168"/>
        <w:jc w:val="center"/>
        <w:rPr>
          <w:b/>
          <w:bCs/>
          <w:sz w:val="20"/>
          <w:szCs w:val="20"/>
        </w:rPr>
      </w:pPr>
      <w:r>
        <w:rPr>
          <w:b/>
          <w:bCs/>
          <w:sz w:val="20"/>
          <w:szCs w:val="20"/>
        </w:rPr>
        <w:t>SPOLEČNÁ A ZÁVĚREČNÁ USTANOVENÍ</w:t>
      </w:r>
    </w:p>
    <w:p w:rsidR="002D0D0B" w:rsidRDefault="002D0D0B" w:rsidP="002D0D0B">
      <w:pPr>
        <w:pStyle w:val="8ptreg"/>
        <w:tabs>
          <w:tab w:val="clear" w:pos="1247"/>
        </w:tabs>
        <w:spacing w:line="240" w:lineRule="auto"/>
        <w:ind w:left="0" w:right="0"/>
        <w:jc w:val="both"/>
        <w:rPr>
          <w:b/>
          <w:sz w:val="20"/>
          <w:szCs w:val="20"/>
        </w:rPr>
      </w:pPr>
    </w:p>
    <w:p w:rsidR="00556F84" w:rsidRPr="00556F84" w:rsidRDefault="00556F84" w:rsidP="00556F84">
      <w:pPr>
        <w:numPr>
          <w:ilvl w:val="0"/>
          <w:numId w:val="11"/>
        </w:numPr>
        <w:tabs>
          <w:tab w:val="left" w:pos="360"/>
        </w:tabs>
        <w:spacing w:line="240" w:lineRule="exact"/>
        <w:jc w:val="both"/>
        <w:rPr>
          <w:rFonts w:ascii="Arial" w:hAnsi="Arial" w:cs="Arial"/>
        </w:rPr>
      </w:pPr>
      <w:r w:rsidRPr="00556F84">
        <w:rPr>
          <w:rFonts w:ascii="Arial" w:hAnsi="Arial" w:cs="Arial"/>
        </w:rPr>
        <w:t xml:space="preserve">Tato smlouva se řídí právními předpisy České republiky a bude v souladu s nimi. Záležitosti výslovně touto smlouvou neupravené se řídí zákonem č. 89/2012 Sb., Občanský zákoník, v platném znění, a je-li to relevantní, příslušnými ustanoveními zákona č. 458/2000 Sb., o podmínkách podnikatelské činnosti a výkonu státní správy v energetických odvětvích a souvisejícími právními ustanoveními České republiky. </w:t>
      </w:r>
    </w:p>
    <w:p w:rsidR="00556F84" w:rsidRDefault="00556F84" w:rsidP="00556F84">
      <w:pPr>
        <w:numPr>
          <w:ilvl w:val="0"/>
          <w:numId w:val="11"/>
        </w:numPr>
        <w:tabs>
          <w:tab w:val="left" w:pos="360"/>
        </w:tabs>
        <w:spacing w:line="240" w:lineRule="exact"/>
        <w:jc w:val="both"/>
        <w:rPr>
          <w:rFonts w:ascii="Arial" w:hAnsi="Arial" w:cs="Arial"/>
        </w:rPr>
      </w:pPr>
      <w:r w:rsidRPr="00715642">
        <w:rPr>
          <w:rFonts w:ascii="Arial" w:hAnsi="Arial" w:cs="Arial"/>
        </w:rPr>
        <w:t>Smluvní strany se zavazují v případě vzájemného sporu, vyplývajícího z této Smlouvy nebo vzniklého v souvislosti s touto Smlouvou, spor nejprve řešit smírnou cestou. Pokud nedojde ke smírnému vyřešení sporu, budou všechny spory, které by mohly vzniknout z této Smlouvy nebo v souvislosti s ní, řešeny před příslušným soudem České republiky.</w:t>
      </w:r>
    </w:p>
    <w:p w:rsidR="00556F84" w:rsidRDefault="00556F84" w:rsidP="00556F84">
      <w:pPr>
        <w:numPr>
          <w:ilvl w:val="0"/>
          <w:numId w:val="11"/>
        </w:numPr>
        <w:tabs>
          <w:tab w:val="left" w:pos="360"/>
        </w:tabs>
        <w:spacing w:line="240" w:lineRule="exact"/>
        <w:jc w:val="both"/>
        <w:rPr>
          <w:rFonts w:ascii="Arial" w:hAnsi="Arial" w:cs="Arial"/>
        </w:rPr>
      </w:pPr>
      <w:r w:rsidRPr="00715642">
        <w:rPr>
          <w:rFonts w:ascii="Arial" w:hAnsi="Arial" w:cs="Arial"/>
        </w:rPr>
        <w:t>V případě, že některé z ustanovení nebo část této smlouvy by se staly neplatnými, nezpůsobuje takováto případná neplatnost dané části neplatnost celé smlouvy.</w:t>
      </w:r>
    </w:p>
    <w:p w:rsidR="00556F84" w:rsidRDefault="00556F84" w:rsidP="00556F84">
      <w:pPr>
        <w:numPr>
          <w:ilvl w:val="0"/>
          <w:numId w:val="11"/>
        </w:numPr>
        <w:tabs>
          <w:tab w:val="left" w:pos="360"/>
        </w:tabs>
        <w:spacing w:line="240" w:lineRule="exact"/>
        <w:jc w:val="both"/>
        <w:rPr>
          <w:rFonts w:ascii="Arial" w:hAnsi="Arial" w:cs="Arial"/>
        </w:rPr>
      </w:pPr>
      <w:r w:rsidRPr="00715642">
        <w:rPr>
          <w:rFonts w:ascii="Arial" w:hAnsi="Arial" w:cs="Arial"/>
        </w:rPr>
        <w:t xml:space="preserve">Tato smlouva je vyhotovena a podepsána ve dvou shodných </w:t>
      </w:r>
      <w:r>
        <w:rPr>
          <w:rFonts w:ascii="Arial" w:hAnsi="Arial" w:cs="Arial"/>
        </w:rPr>
        <w:t>vyhotoveních</w:t>
      </w:r>
      <w:r w:rsidRPr="00715642">
        <w:rPr>
          <w:rFonts w:ascii="Arial" w:hAnsi="Arial" w:cs="Arial"/>
        </w:rPr>
        <w:t xml:space="preserve"> v českém jazyce, přičemž každá smluvní strana obdrží po jednom vyhotovení. </w:t>
      </w:r>
    </w:p>
    <w:p w:rsidR="00556F84" w:rsidRDefault="00556F84" w:rsidP="00556F84">
      <w:pPr>
        <w:numPr>
          <w:ilvl w:val="0"/>
          <w:numId w:val="11"/>
        </w:numPr>
        <w:tabs>
          <w:tab w:val="left" w:pos="360"/>
        </w:tabs>
        <w:spacing w:line="240" w:lineRule="exact"/>
        <w:jc w:val="both"/>
        <w:rPr>
          <w:rFonts w:ascii="Arial" w:hAnsi="Arial" w:cs="Arial"/>
        </w:rPr>
      </w:pPr>
      <w:r w:rsidRPr="00715642">
        <w:rPr>
          <w:rFonts w:ascii="Arial" w:hAnsi="Arial" w:cs="Arial"/>
        </w:rPr>
        <w:t>Tato smlouva může být měněna a doplňována pouze písemnými dodatky nebo změnami odsouhlasenými oběma smluvními stranami.</w:t>
      </w:r>
    </w:p>
    <w:p w:rsidR="00556F84" w:rsidRDefault="00556F84" w:rsidP="00556F84">
      <w:pPr>
        <w:numPr>
          <w:ilvl w:val="0"/>
          <w:numId w:val="11"/>
        </w:numPr>
        <w:tabs>
          <w:tab w:val="left" w:pos="360"/>
        </w:tabs>
        <w:spacing w:line="240" w:lineRule="exact"/>
        <w:jc w:val="both"/>
        <w:rPr>
          <w:rFonts w:ascii="Arial" w:hAnsi="Arial" w:cs="Arial"/>
        </w:rPr>
      </w:pPr>
      <w:r w:rsidRPr="00715642">
        <w:rPr>
          <w:rFonts w:ascii="Arial" w:hAnsi="Arial" w:cs="Arial"/>
        </w:rPr>
        <w:t>Obě smluvní strany se zavazují po dobu trvání této smlouvy chránit jakékoli informace vyplývající z této smlouvy nebo s ní související a jakékoli informace, které příslušná smluvní strana obdrží od druhé smluvní strany v souvislosti s touto smlouvou, a tyto informace neposkytovat třetím stranám.</w:t>
      </w:r>
    </w:p>
    <w:p w:rsidR="00556F84" w:rsidRPr="00CF5EAE" w:rsidRDefault="00556F84" w:rsidP="00556F84">
      <w:pPr>
        <w:numPr>
          <w:ilvl w:val="0"/>
          <w:numId w:val="11"/>
        </w:numPr>
        <w:tabs>
          <w:tab w:val="left" w:pos="426"/>
        </w:tabs>
        <w:spacing w:line="240" w:lineRule="exact"/>
        <w:jc w:val="both"/>
        <w:rPr>
          <w:rFonts w:ascii="Arial" w:hAnsi="Arial" w:cs="Arial"/>
        </w:rPr>
      </w:pPr>
      <w:r w:rsidRPr="00CF5EAE">
        <w:rPr>
          <w:rFonts w:ascii="Arial" w:hAnsi="Arial" w:cs="Arial"/>
        </w:rPr>
        <w:t>Pro účely plnění této smlouvy a pro zajištění efektivní komunikace s odběratelem, dodavatel v nezbytném rozsahu shromažďuje a zpracovává jeho osobní údaje, osobní údaje kontaktních osob nebo jiných subjektů uvedených v této smlouvě či se jinak podílejících na plnění této smlouvy. Osobní údaje jsou zpracovávány po dobu, po kterou tyto subjekty údajů plní role a úkoly související s touto smlouvou, a to po celou dobu platnosti této smlouvy a dále po dobu nutnou pro vypořádání práv a povinností ze smlouvy a dále po dobu nutnou pro jejich archivaci v souladu s příslušnými právními předpisy.</w:t>
      </w:r>
    </w:p>
    <w:p w:rsidR="00556F84" w:rsidRDefault="00556F84" w:rsidP="00556F84">
      <w:pPr>
        <w:numPr>
          <w:ilvl w:val="0"/>
          <w:numId w:val="11"/>
        </w:numPr>
        <w:tabs>
          <w:tab w:val="left" w:pos="360"/>
        </w:tabs>
        <w:spacing w:line="240" w:lineRule="exact"/>
        <w:jc w:val="both"/>
        <w:rPr>
          <w:rFonts w:ascii="Arial" w:hAnsi="Arial" w:cs="Arial"/>
        </w:rPr>
      </w:pPr>
      <w:r w:rsidRPr="00715642">
        <w:rPr>
          <w:rFonts w:ascii="Arial" w:hAnsi="Arial" w:cs="Arial"/>
        </w:rPr>
        <w:t xml:space="preserve">Kupující potvrzuje, že se podrobně seznámil s přiloženými obchodními podmínkami (viz příloha č. </w:t>
      </w:r>
      <w:r>
        <w:rPr>
          <w:rFonts w:ascii="Arial" w:hAnsi="Arial" w:cs="Arial"/>
        </w:rPr>
        <w:t>2</w:t>
      </w:r>
      <w:r w:rsidRPr="00715642">
        <w:rPr>
          <w:rFonts w:ascii="Arial" w:hAnsi="Arial" w:cs="Arial"/>
        </w:rPr>
        <w:t xml:space="preserve"> ke KS) a že s nimi souhlasí. Příloha č. </w:t>
      </w:r>
      <w:r>
        <w:rPr>
          <w:rFonts w:ascii="Arial" w:hAnsi="Arial" w:cs="Arial"/>
        </w:rPr>
        <w:t>2</w:t>
      </w:r>
      <w:r w:rsidRPr="00715642">
        <w:rPr>
          <w:rFonts w:ascii="Arial" w:hAnsi="Arial" w:cs="Arial"/>
        </w:rPr>
        <w:t xml:space="preserve"> tvoří nedílnou součást této Smlouvy.</w:t>
      </w:r>
    </w:p>
    <w:p w:rsidR="00556F84" w:rsidRPr="000C4F5E" w:rsidRDefault="00556F84" w:rsidP="00556F84">
      <w:pPr>
        <w:numPr>
          <w:ilvl w:val="0"/>
          <w:numId w:val="11"/>
        </w:numPr>
        <w:tabs>
          <w:tab w:val="left" w:pos="284"/>
          <w:tab w:val="left" w:pos="6804"/>
          <w:tab w:val="left" w:pos="8222"/>
        </w:tabs>
        <w:spacing w:after="120" w:line="240" w:lineRule="exact"/>
        <w:jc w:val="both"/>
        <w:rPr>
          <w:rFonts w:ascii="Arial" w:hAnsi="Arial" w:cs="Arial"/>
        </w:rPr>
      </w:pPr>
      <w:r>
        <w:rPr>
          <w:rFonts w:ascii="Arial" w:hAnsi="Arial" w:cs="Arial"/>
        </w:rPr>
        <w:t xml:space="preserve">  </w:t>
      </w:r>
      <w:r w:rsidRPr="000C4F5E">
        <w:rPr>
          <w:rFonts w:ascii="Arial" w:hAnsi="Arial" w:cs="Arial"/>
        </w:rPr>
        <w:t xml:space="preserve">Podpisem této smlouvy zaniká stávající smlouva na </w:t>
      </w:r>
      <w:r>
        <w:rPr>
          <w:rFonts w:ascii="Arial" w:hAnsi="Arial" w:cs="Arial"/>
        </w:rPr>
        <w:t xml:space="preserve">sdružené služby a </w:t>
      </w:r>
      <w:r w:rsidRPr="000C4F5E">
        <w:rPr>
          <w:rFonts w:ascii="Arial" w:hAnsi="Arial" w:cs="Arial"/>
        </w:rPr>
        <w:t xml:space="preserve">dodávku </w:t>
      </w:r>
      <w:r>
        <w:rPr>
          <w:rFonts w:ascii="Arial" w:hAnsi="Arial" w:cs="Arial"/>
        </w:rPr>
        <w:t>zemního plynu</w:t>
      </w:r>
      <w:r w:rsidRPr="000C4F5E">
        <w:rPr>
          <w:rFonts w:ascii="Arial" w:hAnsi="Arial" w:cs="Arial"/>
        </w:rPr>
        <w:t xml:space="preserve"> č. EN/</w:t>
      </w:r>
      <w:r>
        <w:rPr>
          <w:rFonts w:ascii="Arial" w:hAnsi="Arial" w:cs="Arial"/>
        </w:rPr>
        <w:t xml:space="preserve">P </w:t>
      </w:r>
      <w:r w:rsidR="00A061D7">
        <w:rPr>
          <w:rFonts w:ascii="Arial" w:hAnsi="Arial" w:cs="Arial"/>
        </w:rPr>
        <w:t>3</w:t>
      </w:r>
      <w:r w:rsidRPr="000C4F5E">
        <w:rPr>
          <w:rFonts w:ascii="Arial" w:hAnsi="Arial" w:cs="Arial"/>
        </w:rPr>
        <w:t>/201</w:t>
      </w:r>
      <w:r>
        <w:rPr>
          <w:rFonts w:ascii="Arial" w:hAnsi="Arial" w:cs="Arial"/>
        </w:rPr>
        <w:t>7</w:t>
      </w:r>
      <w:r w:rsidRPr="000C4F5E">
        <w:rPr>
          <w:rFonts w:ascii="Arial" w:hAnsi="Arial" w:cs="Arial"/>
        </w:rPr>
        <w:t xml:space="preserve"> včetně dodatku.</w:t>
      </w:r>
    </w:p>
    <w:p w:rsidR="002D0D0B" w:rsidRDefault="002D0D0B" w:rsidP="002D0D0B">
      <w:pPr>
        <w:pStyle w:val="8ptreg"/>
        <w:tabs>
          <w:tab w:val="clear" w:pos="1247"/>
          <w:tab w:val="num" w:pos="935"/>
        </w:tabs>
        <w:spacing w:line="240" w:lineRule="auto"/>
        <w:ind w:left="3960" w:right="0"/>
        <w:jc w:val="both"/>
        <w:rPr>
          <w:sz w:val="20"/>
          <w:szCs w:val="20"/>
        </w:rPr>
      </w:pPr>
    </w:p>
    <w:p w:rsidR="002D0D0B" w:rsidRDefault="002D0D0B" w:rsidP="002D0D0B">
      <w:pPr>
        <w:pStyle w:val="8ptreg"/>
        <w:tabs>
          <w:tab w:val="clear" w:pos="1247"/>
          <w:tab w:val="num" w:pos="935"/>
        </w:tabs>
        <w:spacing w:line="240" w:lineRule="auto"/>
        <w:ind w:left="3960" w:right="0"/>
        <w:jc w:val="both"/>
        <w:rPr>
          <w:sz w:val="20"/>
          <w:szCs w:val="20"/>
        </w:rPr>
      </w:pPr>
      <w:r>
        <w:rPr>
          <w:b/>
          <w:bCs/>
          <w:sz w:val="20"/>
          <w:szCs w:val="20"/>
        </w:rPr>
        <w:t>Článek XIV.</w:t>
      </w:r>
      <w:r>
        <w:rPr>
          <w:sz w:val="20"/>
          <w:szCs w:val="20"/>
        </w:rPr>
        <w:tab/>
      </w:r>
    </w:p>
    <w:p w:rsidR="002D0D0B" w:rsidRDefault="002D0D0B" w:rsidP="002D0D0B">
      <w:pPr>
        <w:pStyle w:val="8ptreg"/>
        <w:spacing w:line="240" w:lineRule="auto"/>
        <w:ind w:left="0" w:right="0" w:hanging="168"/>
        <w:jc w:val="center"/>
        <w:outlineLvl w:val="0"/>
        <w:rPr>
          <w:b/>
          <w:bCs/>
          <w:sz w:val="20"/>
          <w:szCs w:val="20"/>
        </w:rPr>
      </w:pPr>
      <w:r>
        <w:rPr>
          <w:b/>
          <w:bCs/>
          <w:sz w:val="20"/>
          <w:szCs w:val="20"/>
        </w:rPr>
        <w:t>PŘÍLOHY</w:t>
      </w:r>
    </w:p>
    <w:p w:rsidR="002D0D0B" w:rsidRDefault="002D0D0B" w:rsidP="002D0D0B">
      <w:pPr>
        <w:pStyle w:val="8ptreg"/>
        <w:tabs>
          <w:tab w:val="clear" w:pos="1247"/>
        </w:tabs>
        <w:spacing w:line="240" w:lineRule="auto"/>
        <w:ind w:left="0" w:right="0"/>
        <w:jc w:val="both"/>
        <w:rPr>
          <w:sz w:val="20"/>
          <w:szCs w:val="20"/>
        </w:rPr>
      </w:pPr>
    </w:p>
    <w:p w:rsidR="002D0D0B" w:rsidRPr="00556F84" w:rsidRDefault="002D0D0B" w:rsidP="002D0D0B">
      <w:pPr>
        <w:pStyle w:val="8ptreg"/>
        <w:numPr>
          <w:ilvl w:val="0"/>
          <w:numId w:val="2"/>
        </w:numPr>
        <w:tabs>
          <w:tab w:val="clear" w:pos="360"/>
          <w:tab w:val="clear" w:pos="1247"/>
          <w:tab w:val="num" w:pos="935"/>
        </w:tabs>
        <w:spacing w:line="240" w:lineRule="auto"/>
        <w:ind w:right="0"/>
        <w:jc w:val="both"/>
        <w:rPr>
          <w:sz w:val="20"/>
          <w:szCs w:val="20"/>
        </w:rPr>
      </w:pPr>
      <w:r>
        <w:rPr>
          <w:sz w:val="20"/>
          <w:szCs w:val="20"/>
        </w:rPr>
        <w:t xml:space="preserve">Příloha č. 1. </w:t>
      </w:r>
      <w:r w:rsidRPr="00556F84">
        <w:rPr>
          <w:sz w:val="20"/>
          <w:szCs w:val="20"/>
        </w:rPr>
        <w:t>Specifikace ceny za dodávky plynu a roční plán spotřeby</w:t>
      </w:r>
    </w:p>
    <w:p w:rsidR="002D0D0B" w:rsidRPr="000172B0" w:rsidRDefault="002D0D0B" w:rsidP="002D0D0B">
      <w:pPr>
        <w:pStyle w:val="8ptreg"/>
        <w:numPr>
          <w:ilvl w:val="0"/>
          <w:numId w:val="2"/>
        </w:numPr>
        <w:tabs>
          <w:tab w:val="clear" w:pos="360"/>
          <w:tab w:val="clear" w:pos="1247"/>
          <w:tab w:val="num" w:pos="935"/>
        </w:tabs>
        <w:spacing w:line="240" w:lineRule="auto"/>
        <w:ind w:right="0"/>
        <w:jc w:val="both"/>
        <w:rPr>
          <w:sz w:val="20"/>
          <w:szCs w:val="20"/>
        </w:rPr>
      </w:pPr>
      <w:r>
        <w:rPr>
          <w:sz w:val="20"/>
        </w:rPr>
        <w:t xml:space="preserve">Příloha </w:t>
      </w:r>
      <w:proofErr w:type="gramStart"/>
      <w:r>
        <w:rPr>
          <w:sz w:val="20"/>
        </w:rPr>
        <w:t xml:space="preserve">č. 2  </w:t>
      </w:r>
      <w:r>
        <w:rPr>
          <w:sz w:val="20"/>
          <w:szCs w:val="20"/>
        </w:rPr>
        <w:t>O</w:t>
      </w:r>
      <w:r>
        <w:rPr>
          <w:sz w:val="20"/>
        </w:rPr>
        <w:t>bchodní</w:t>
      </w:r>
      <w:proofErr w:type="gramEnd"/>
      <w:r>
        <w:rPr>
          <w:sz w:val="20"/>
        </w:rPr>
        <w:t xml:space="preserve"> podmínky pro prodej energetických médií.</w:t>
      </w:r>
    </w:p>
    <w:p w:rsidR="002D0D0B" w:rsidRPr="00A95782" w:rsidRDefault="002D0D0B" w:rsidP="002D0D0B">
      <w:pPr>
        <w:pStyle w:val="8ptreg"/>
        <w:numPr>
          <w:ilvl w:val="0"/>
          <w:numId w:val="2"/>
        </w:numPr>
        <w:tabs>
          <w:tab w:val="clear" w:pos="360"/>
          <w:tab w:val="clear" w:pos="1247"/>
          <w:tab w:val="num" w:pos="935"/>
        </w:tabs>
        <w:spacing w:line="240" w:lineRule="auto"/>
        <w:ind w:right="0"/>
        <w:jc w:val="both"/>
        <w:rPr>
          <w:sz w:val="20"/>
          <w:szCs w:val="20"/>
        </w:rPr>
      </w:pPr>
      <w:r>
        <w:rPr>
          <w:sz w:val="20"/>
        </w:rPr>
        <w:t xml:space="preserve">Příloha </w:t>
      </w:r>
      <w:proofErr w:type="gramStart"/>
      <w:r>
        <w:rPr>
          <w:sz w:val="20"/>
        </w:rPr>
        <w:t>č. 3  Seznam</w:t>
      </w:r>
      <w:proofErr w:type="gramEnd"/>
      <w:r>
        <w:rPr>
          <w:sz w:val="20"/>
        </w:rPr>
        <w:t xml:space="preserve"> kontaktních osob</w:t>
      </w:r>
    </w:p>
    <w:p w:rsidR="002D0D0B" w:rsidRDefault="002D0D0B" w:rsidP="002D0D0B">
      <w:pPr>
        <w:pStyle w:val="8ptreg"/>
        <w:tabs>
          <w:tab w:val="clear" w:pos="1247"/>
        </w:tabs>
        <w:spacing w:line="240" w:lineRule="auto"/>
        <w:ind w:left="0" w:right="0"/>
        <w:jc w:val="both"/>
        <w:rPr>
          <w:sz w:val="20"/>
          <w:szCs w:val="20"/>
        </w:rPr>
      </w:pPr>
    </w:p>
    <w:p w:rsidR="002D0D0B" w:rsidRDefault="002D0D0B" w:rsidP="002D0D0B">
      <w:pPr>
        <w:pStyle w:val="8ptreg"/>
        <w:tabs>
          <w:tab w:val="clear" w:pos="1247"/>
        </w:tabs>
        <w:spacing w:line="240" w:lineRule="auto"/>
        <w:ind w:left="0" w:right="0"/>
        <w:jc w:val="both"/>
        <w:rPr>
          <w:sz w:val="20"/>
          <w:szCs w:val="20"/>
        </w:rPr>
      </w:pPr>
    </w:p>
    <w:p w:rsidR="00CB2226" w:rsidRDefault="00CB2226" w:rsidP="002D0D0B">
      <w:pPr>
        <w:pStyle w:val="8ptreg"/>
        <w:tabs>
          <w:tab w:val="clear" w:pos="1247"/>
        </w:tabs>
        <w:spacing w:line="240" w:lineRule="auto"/>
        <w:ind w:left="0" w:right="0"/>
        <w:jc w:val="both"/>
        <w:rPr>
          <w:sz w:val="20"/>
          <w:szCs w:val="20"/>
        </w:rPr>
      </w:pPr>
    </w:p>
    <w:p w:rsidR="00CB2226" w:rsidRDefault="00CB2226" w:rsidP="002D0D0B">
      <w:pPr>
        <w:pStyle w:val="8ptreg"/>
        <w:tabs>
          <w:tab w:val="clear" w:pos="1247"/>
        </w:tabs>
        <w:spacing w:line="240" w:lineRule="auto"/>
        <w:ind w:left="0" w:right="0"/>
        <w:jc w:val="both"/>
        <w:rPr>
          <w:sz w:val="20"/>
          <w:szCs w:val="20"/>
        </w:rPr>
      </w:pPr>
    </w:p>
    <w:p w:rsidR="002D0D0B" w:rsidRPr="00781397" w:rsidRDefault="002D0D0B" w:rsidP="002D0D0B">
      <w:pPr>
        <w:tabs>
          <w:tab w:val="left" w:pos="2835"/>
          <w:tab w:val="left" w:pos="4111"/>
          <w:tab w:val="left" w:pos="5387"/>
          <w:tab w:val="left" w:pos="6804"/>
          <w:tab w:val="left" w:pos="8222"/>
        </w:tabs>
        <w:spacing w:line="240" w:lineRule="exact"/>
        <w:jc w:val="both"/>
        <w:rPr>
          <w:rFonts w:ascii="Arial" w:hAnsi="Arial" w:cs="Arial"/>
        </w:rPr>
      </w:pPr>
      <w:r w:rsidRPr="00781397">
        <w:rPr>
          <w:rFonts w:ascii="Arial" w:hAnsi="Arial" w:cs="Arial"/>
        </w:rPr>
        <w:t>V</w:t>
      </w:r>
      <w:r w:rsidR="00CB2226">
        <w:rPr>
          <w:rFonts w:ascii="Arial" w:hAnsi="Arial" w:cs="Arial"/>
        </w:rPr>
        <w:t>e Frýdku - Místku</w:t>
      </w:r>
      <w:r w:rsidRPr="00781397">
        <w:rPr>
          <w:rFonts w:ascii="Arial" w:hAnsi="Arial" w:cs="Arial"/>
        </w:rPr>
        <w:t xml:space="preserve">, dne </w:t>
      </w:r>
      <w:r w:rsidRPr="00781397">
        <w:rPr>
          <w:rFonts w:ascii="Arial" w:hAnsi="Arial" w:cs="Arial"/>
        </w:rPr>
        <w:tab/>
      </w:r>
      <w:r w:rsidRPr="00781397">
        <w:rPr>
          <w:rFonts w:ascii="Arial" w:hAnsi="Arial" w:cs="Arial"/>
        </w:rPr>
        <w:tab/>
        <w:t xml:space="preserve">       </w:t>
      </w:r>
    </w:p>
    <w:p w:rsidR="002D0D0B" w:rsidRPr="00781397" w:rsidRDefault="002D0D0B" w:rsidP="002D0D0B">
      <w:pPr>
        <w:spacing w:line="240" w:lineRule="exact"/>
        <w:rPr>
          <w:rFonts w:ascii="Arial" w:hAnsi="Arial" w:cs="Arial"/>
        </w:rPr>
      </w:pPr>
    </w:p>
    <w:p w:rsidR="00CB2226" w:rsidRDefault="00CB2226" w:rsidP="002D0D0B">
      <w:pPr>
        <w:spacing w:line="240" w:lineRule="exact"/>
        <w:rPr>
          <w:rFonts w:ascii="Arial" w:hAnsi="Arial" w:cs="Arial"/>
        </w:rPr>
      </w:pPr>
    </w:p>
    <w:p w:rsidR="003F7757" w:rsidRDefault="003F7757" w:rsidP="002D0D0B">
      <w:pPr>
        <w:spacing w:line="240" w:lineRule="exact"/>
        <w:rPr>
          <w:rFonts w:ascii="Arial" w:hAnsi="Arial" w:cs="Arial"/>
        </w:rPr>
      </w:pPr>
    </w:p>
    <w:p w:rsidR="003F7757" w:rsidRPr="00781397" w:rsidRDefault="003F7757" w:rsidP="002D0D0B">
      <w:pPr>
        <w:spacing w:line="240" w:lineRule="exact"/>
        <w:rPr>
          <w:rFonts w:ascii="Arial" w:hAnsi="Arial" w:cs="Arial"/>
        </w:rPr>
      </w:pPr>
    </w:p>
    <w:p w:rsidR="002D0D0B" w:rsidRPr="00781397" w:rsidRDefault="002D0D0B" w:rsidP="002D0D0B">
      <w:pPr>
        <w:tabs>
          <w:tab w:val="left" w:pos="4536"/>
        </w:tabs>
        <w:spacing w:line="240" w:lineRule="exact"/>
        <w:rPr>
          <w:rFonts w:ascii="Arial" w:hAnsi="Arial" w:cs="Arial"/>
        </w:rPr>
      </w:pPr>
      <w:r w:rsidRPr="00781397">
        <w:rPr>
          <w:rFonts w:ascii="Arial" w:hAnsi="Arial" w:cs="Arial"/>
        </w:rPr>
        <w:t>..................................................................</w:t>
      </w:r>
      <w:r w:rsidRPr="00781397">
        <w:rPr>
          <w:rFonts w:ascii="Arial" w:hAnsi="Arial" w:cs="Arial"/>
        </w:rPr>
        <w:tab/>
        <w:t>..............................................................</w:t>
      </w:r>
    </w:p>
    <w:p w:rsidR="002D0D0B" w:rsidRPr="00781397" w:rsidRDefault="002D0D0B" w:rsidP="002D0D0B">
      <w:pPr>
        <w:tabs>
          <w:tab w:val="left" w:pos="4536"/>
        </w:tabs>
        <w:spacing w:line="240" w:lineRule="exact"/>
        <w:rPr>
          <w:rFonts w:ascii="Arial" w:hAnsi="Arial" w:cs="Arial"/>
        </w:rPr>
      </w:pPr>
      <w:r w:rsidRPr="00781397">
        <w:rPr>
          <w:rFonts w:ascii="Arial" w:hAnsi="Arial" w:cs="Arial"/>
        </w:rPr>
        <w:t>Za prodávajícího</w:t>
      </w:r>
      <w:r w:rsidRPr="00781397">
        <w:rPr>
          <w:rFonts w:ascii="Arial" w:hAnsi="Arial" w:cs="Arial"/>
        </w:rPr>
        <w:tab/>
        <w:t xml:space="preserve"> za kupujícího</w:t>
      </w:r>
    </w:p>
    <w:p w:rsidR="002D0D0B" w:rsidRPr="00781397" w:rsidRDefault="002D0D0B" w:rsidP="002D0D0B">
      <w:pPr>
        <w:spacing w:line="240" w:lineRule="exact"/>
        <w:rPr>
          <w:rFonts w:ascii="Arial" w:hAnsi="Arial" w:cs="Arial"/>
        </w:rPr>
      </w:pPr>
      <w:r w:rsidRPr="00781397">
        <w:rPr>
          <w:rFonts w:ascii="Arial" w:hAnsi="Arial" w:cs="Arial"/>
        </w:rPr>
        <w:t>Ing.</w:t>
      </w:r>
      <w:r w:rsidR="00556F84">
        <w:rPr>
          <w:rFonts w:ascii="Arial" w:hAnsi="Arial" w:cs="Arial"/>
        </w:rPr>
        <w:t xml:space="preserve"> Ivo Chmelík</w:t>
      </w:r>
      <w:r w:rsidRPr="00781397">
        <w:rPr>
          <w:rFonts w:ascii="Arial" w:hAnsi="Arial" w:cs="Arial"/>
        </w:rPr>
        <w:tab/>
        <w:t xml:space="preserve">                                            </w:t>
      </w:r>
      <w:r w:rsidR="003F1E04">
        <w:rPr>
          <w:rFonts w:ascii="Arial" w:hAnsi="Arial" w:cs="Arial"/>
        </w:rPr>
        <w:t xml:space="preserve"> </w:t>
      </w:r>
      <w:r w:rsidRPr="00781397">
        <w:rPr>
          <w:rFonts w:ascii="Arial" w:hAnsi="Arial" w:cs="Arial"/>
        </w:rPr>
        <w:t xml:space="preserve">Ing. </w:t>
      </w:r>
      <w:r w:rsidR="00A061D7" w:rsidRPr="00C246D4">
        <w:rPr>
          <w:rFonts w:ascii="Arial" w:hAnsi="Arial" w:cs="Arial"/>
        </w:rPr>
        <w:t>Pavel Řezníček</w:t>
      </w:r>
      <w:r w:rsidRPr="00781397">
        <w:rPr>
          <w:rFonts w:ascii="Arial" w:hAnsi="Arial" w:cs="Arial"/>
        </w:rPr>
        <w:t xml:space="preserve">        </w:t>
      </w:r>
    </w:p>
    <w:p w:rsidR="002D0D0B" w:rsidRPr="00781397" w:rsidRDefault="00556F84" w:rsidP="002D0D0B">
      <w:pPr>
        <w:tabs>
          <w:tab w:val="left" w:pos="4536"/>
        </w:tabs>
        <w:spacing w:line="240" w:lineRule="exact"/>
        <w:rPr>
          <w:rFonts w:ascii="Arial" w:hAnsi="Arial" w:cs="Arial"/>
        </w:rPr>
      </w:pPr>
      <w:r>
        <w:rPr>
          <w:rFonts w:ascii="Arial" w:hAnsi="Arial" w:cs="Arial"/>
        </w:rPr>
        <w:t xml:space="preserve">statutární </w:t>
      </w:r>
      <w:proofErr w:type="gramStart"/>
      <w:r>
        <w:rPr>
          <w:rFonts w:ascii="Arial" w:hAnsi="Arial" w:cs="Arial"/>
        </w:rPr>
        <w:t xml:space="preserve">ředitel                                                        </w:t>
      </w:r>
      <w:r w:rsidR="00A061D7">
        <w:rPr>
          <w:rFonts w:ascii="Arial" w:hAnsi="Arial" w:cs="Arial"/>
        </w:rPr>
        <w:t xml:space="preserve"> </w:t>
      </w:r>
      <w:proofErr w:type="spellStart"/>
      <w:r w:rsidR="00A061D7">
        <w:rPr>
          <w:rFonts w:ascii="Arial" w:hAnsi="Arial" w:cs="Arial"/>
        </w:rPr>
        <w:t>ředitel</w:t>
      </w:r>
      <w:proofErr w:type="spellEnd"/>
      <w:proofErr w:type="gramEnd"/>
      <w:r w:rsidR="00A061D7">
        <w:rPr>
          <w:rFonts w:ascii="Arial" w:hAnsi="Arial" w:cs="Arial"/>
        </w:rPr>
        <w:t xml:space="preserve"> školy </w:t>
      </w:r>
      <w:r w:rsidR="002D0D0B" w:rsidRPr="00781397">
        <w:rPr>
          <w:rFonts w:ascii="Arial" w:hAnsi="Arial" w:cs="Arial"/>
        </w:rPr>
        <w:t xml:space="preserve">   </w:t>
      </w:r>
      <w:r w:rsidR="002D0D0B" w:rsidRPr="00781397">
        <w:rPr>
          <w:rFonts w:ascii="Arial" w:hAnsi="Arial" w:cs="Arial"/>
        </w:rPr>
        <w:tab/>
      </w:r>
    </w:p>
    <w:p w:rsidR="002D0D0B" w:rsidRPr="003F1E04" w:rsidRDefault="00556F84" w:rsidP="002D0D0B">
      <w:pPr>
        <w:tabs>
          <w:tab w:val="left" w:pos="3119"/>
        </w:tabs>
        <w:spacing w:before="20" w:after="20" w:line="240" w:lineRule="exact"/>
        <w:rPr>
          <w:rFonts w:ascii="Arial" w:hAnsi="Arial" w:cs="Arial"/>
        </w:rPr>
      </w:pPr>
      <w:r>
        <w:rPr>
          <w:rFonts w:ascii="Arial" w:hAnsi="Arial" w:cs="Arial"/>
        </w:rPr>
        <w:t>GO Steel Frýdek-Místek</w:t>
      </w:r>
      <w:r w:rsidR="00CB2226">
        <w:rPr>
          <w:rFonts w:ascii="Arial" w:hAnsi="Arial" w:cs="Arial"/>
        </w:rPr>
        <w:t>, a.s.</w:t>
      </w:r>
      <w:r w:rsidR="002D0D0B" w:rsidRPr="00781397">
        <w:rPr>
          <w:rFonts w:ascii="Arial" w:hAnsi="Arial" w:cs="Arial"/>
        </w:rPr>
        <w:tab/>
        <w:t xml:space="preserve">                          </w:t>
      </w:r>
      <w:r w:rsidR="003F1E04" w:rsidRPr="003F1E04">
        <w:rPr>
          <w:rFonts w:ascii="Arial" w:hAnsi="Arial" w:cs="Arial"/>
        </w:rPr>
        <w:t>Střední odborná škola, Frýdek -  Místek</w:t>
      </w:r>
    </w:p>
    <w:p w:rsidR="002D0D0B" w:rsidRDefault="002D0D0B" w:rsidP="002D0D0B">
      <w:pPr>
        <w:spacing w:line="240" w:lineRule="exact"/>
        <w:rPr>
          <w:rFonts w:ascii="Arial" w:hAnsi="Arial" w:cs="Arial"/>
        </w:rPr>
      </w:pPr>
    </w:p>
    <w:p w:rsidR="002D0D0B" w:rsidRPr="00781397" w:rsidRDefault="002D0D0B" w:rsidP="002D0D0B">
      <w:pPr>
        <w:tabs>
          <w:tab w:val="left" w:pos="3119"/>
        </w:tabs>
        <w:spacing w:before="20" w:after="20" w:line="240" w:lineRule="exact"/>
        <w:rPr>
          <w:rFonts w:ascii="Arial" w:hAnsi="Arial" w:cs="Arial"/>
        </w:rPr>
      </w:pPr>
      <w:r w:rsidRPr="00781397">
        <w:rPr>
          <w:rFonts w:ascii="Arial" w:hAnsi="Arial" w:cs="Arial"/>
        </w:rPr>
        <w:t xml:space="preserve">                    </w:t>
      </w:r>
    </w:p>
    <w:sectPr w:rsidR="002D0D0B" w:rsidRPr="00781397" w:rsidSect="002D0D0B">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0B" w:rsidRDefault="002D0D0B" w:rsidP="002D0D0B">
      <w:r>
        <w:separator/>
      </w:r>
    </w:p>
  </w:endnote>
  <w:endnote w:type="continuationSeparator" w:id="0">
    <w:p w:rsidR="002D0D0B" w:rsidRDefault="002D0D0B" w:rsidP="002D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925233"/>
      <w:docPartObj>
        <w:docPartGallery w:val="Page Numbers (Bottom of Page)"/>
        <w:docPartUnique/>
      </w:docPartObj>
    </w:sdtPr>
    <w:sdtEndPr/>
    <w:sdtContent>
      <w:p w:rsidR="003F7757" w:rsidRDefault="003F7757">
        <w:pPr>
          <w:pStyle w:val="Zpat"/>
          <w:jc w:val="center"/>
        </w:pPr>
        <w:r>
          <w:fldChar w:fldCharType="begin"/>
        </w:r>
        <w:r>
          <w:instrText>PAGE   \* MERGEFORMAT</w:instrText>
        </w:r>
        <w:r>
          <w:fldChar w:fldCharType="separate"/>
        </w:r>
        <w:r w:rsidR="000D5E29">
          <w:rPr>
            <w:noProof/>
          </w:rPr>
          <w:t>2</w:t>
        </w:r>
        <w:r>
          <w:fldChar w:fldCharType="end"/>
        </w:r>
      </w:p>
    </w:sdtContent>
  </w:sdt>
  <w:p w:rsidR="003F7757" w:rsidRDefault="003F77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812887"/>
      <w:docPartObj>
        <w:docPartGallery w:val="Page Numbers (Bottom of Page)"/>
        <w:docPartUnique/>
      </w:docPartObj>
    </w:sdtPr>
    <w:sdtEndPr/>
    <w:sdtContent>
      <w:p w:rsidR="003F7757" w:rsidRDefault="003F7757">
        <w:pPr>
          <w:pStyle w:val="Zpat"/>
          <w:jc w:val="center"/>
        </w:pPr>
        <w:r>
          <w:fldChar w:fldCharType="begin"/>
        </w:r>
        <w:r>
          <w:instrText>PAGE   \* MERGEFORMAT</w:instrText>
        </w:r>
        <w:r>
          <w:fldChar w:fldCharType="separate"/>
        </w:r>
        <w:r w:rsidR="000D5E29">
          <w:rPr>
            <w:noProof/>
          </w:rPr>
          <w:t>1</w:t>
        </w:r>
        <w:r>
          <w:fldChar w:fldCharType="end"/>
        </w:r>
      </w:p>
    </w:sdtContent>
  </w:sdt>
  <w:p w:rsidR="003F7757" w:rsidRDefault="003F77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0B" w:rsidRDefault="002D0D0B" w:rsidP="002D0D0B">
      <w:r>
        <w:separator/>
      </w:r>
    </w:p>
  </w:footnote>
  <w:footnote w:type="continuationSeparator" w:id="0">
    <w:p w:rsidR="002D0D0B" w:rsidRDefault="002D0D0B" w:rsidP="002D0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660E"/>
    <w:multiLevelType w:val="singleLevel"/>
    <w:tmpl w:val="0405000F"/>
    <w:lvl w:ilvl="0">
      <w:start w:val="1"/>
      <w:numFmt w:val="decimal"/>
      <w:lvlText w:val="%1."/>
      <w:lvlJc w:val="left"/>
      <w:pPr>
        <w:ind w:left="720" w:hanging="360"/>
      </w:pPr>
    </w:lvl>
  </w:abstractNum>
  <w:abstractNum w:abstractNumId="1">
    <w:nsid w:val="2FC310F2"/>
    <w:multiLevelType w:val="hybridMultilevel"/>
    <w:tmpl w:val="705E3F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399D6A20"/>
    <w:multiLevelType w:val="hybridMultilevel"/>
    <w:tmpl w:val="353A4DC2"/>
    <w:lvl w:ilvl="0" w:tplc="E532454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2"/>
        </w:tabs>
        <w:ind w:left="-12" w:hanging="180"/>
      </w:pPr>
    </w:lvl>
    <w:lvl w:ilvl="3" w:tplc="0405000F" w:tentative="1">
      <w:start w:val="1"/>
      <w:numFmt w:val="decimal"/>
      <w:lvlText w:val="%4."/>
      <w:lvlJc w:val="left"/>
      <w:pPr>
        <w:tabs>
          <w:tab w:val="num" w:pos="708"/>
        </w:tabs>
        <w:ind w:left="708" w:hanging="360"/>
      </w:pPr>
    </w:lvl>
    <w:lvl w:ilvl="4" w:tplc="04050019" w:tentative="1">
      <w:start w:val="1"/>
      <w:numFmt w:val="lowerLetter"/>
      <w:lvlText w:val="%5."/>
      <w:lvlJc w:val="left"/>
      <w:pPr>
        <w:tabs>
          <w:tab w:val="num" w:pos="1428"/>
        </w:tabs>
        <w:ind w:left="1428" w:hanging="360"/>
      </w:pPr>
    </w:lvl>
    <w:lvl w:ilvl="5" w:tplc="0405001B" w:tentative="1">
      <w:start w:val="1"/>
      <w:numFmt w:val="lowerRoman"/>
      <w:lvlText w:val="%6."/>
      <w:lvlJc w:val="right"/>
      <w:pPr>
        <w:tabs>
          <w:tab w:val="num" w:pos="2148"/>
        </w:tabs>
        <w:ind w:left="2148" w:hanging="180"/>
      </w:pPr>
    </w:lvl>
    <w:lvl w:ilvl="6" w:tplc="0405000F" w:tentative="1">
      <w:start w:val="1"/>
      <w:numFmt w:val="decimal"/>
      <w:lvlText w:val="%7."/>
      <w:lvlJc w:val="left"/>
      <w:pPr>
        <w:tabs>
          <w:tab w:val="num" w:pos="2868"/>
        </w:tabs>
        <w:ind w:left="2868" w:hanging="360"/>
      </w:pPr>
    </w:lvl>
    <w:lvl w:ilvl="7" w:tplc="04050019" w:tentative="1">
      <w:start w:val="1"/>
      <w:numFmt w:val="lowerLetter"/>
      <w:lvlText w:val="%8."/>
      <w:lvlJc w:val="left"/>
      <w:pPr>
        <w:tabs>
          <w:tab w:val="num" w:pos="3588"/>
        </w:tabs>
        <w:ind w:left="3588" w:hanging="360"/>
      </w:pPr>
    </w:lvl>
    <w:lvl w:ilvl="8" w:tplc="0405001B" w:tentative="1">
      <w:start w:val="1"/>
      <w:numFmt w:val="lowerRoman"/>
      <w:lvlText w:val="%9."/>
      <w:lvlJc w:val="right"/>
      <w:pPr>
        <w:tabs>
          <w:tab w:val="num" w:pos="4308"/>
        </w:tabs>
        <w:ind w:left="4308" w:hanging="180"/>
      </w:pPr>
    </w:lvl>
  </w:abstractNum>
  <w:abstractNum w:abstractNumId="3">
    <w:nsid w:val="3B26734E"/>
    <w:multiLevelType w:val="hybridMultilevel"/>
    <w:tmpl w:val="F7FE6938"/>
    <w:lvl w:ilvl="0" w:tplc="A7BC4F76">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540"/>
        </w:tabs>
        <w:ind w:left="-540" w:hanging="360"/>
      </w:pPr>
    </w:lvl>
    <w:lvl w:ilvl="2" w:tplc="0405001B" w:tentative="1">
      <w:start w:val="1"/>
      <w:numFmt w:val="lowerRoman"/>
      <w:lvlText w:val="%3."/>
      <w:lvlJc w:val="right"/>
      <w:pPr>
        <w:tabs>
          <w:tab w:val="num" w:pos="180"/>
        </w:tabs>
        <w:ind w:left="180" w:hanging="180"/>
      </w:pPr>
    </w:lvl>
    <w:lvl w:ilvl="3" w:tplc="0405000F" w:tentative="1">
      <w:start w:val="1"/>
      <w:numFmt w:val="decimal"/>
      <w:lvlText w:val="%4."/>
      <w:lvlJc w:val="left"/>
      <w:pPr>
        <w:tabs>
          <w:tab w:val="num" w:pos="900"/>
        </w:tabs>
        <w:ind w:left="900" w:hanging="360"/>
      </w:pPr>
    </w:lvl>
    <w:lvl w:ilvl="4" w:tplc="04050019" w:tentative="1">
      <w:start w:val="1"/>
      <w:numFmt w:val="lowerLetter"/>
      <w:lvlText w:val="%5."/>
      <w:lvlJc w:val="left"/>
      <w:pPr>
        <w:tabs>
          <w:tab w:val="num" w:pos="1620"/>
        </w:tabs>
        <w:ind w:left="1620" w:hanging="360"/>
      </w:pPr>
    </w:lvl>
    <w:lvl w:ilvl="5" w:tplc="0405001B" w:tentative="1">
      <w:start w:val="1"/>
      <w:numFmt w:val="lowerRoman"/>
      <w:lvlText w:val="%6."/>
      <w:lvlJc w:val="right"/>
      <w:pPr>
        <w:tabs>
          <w:tab w:val="num" w:pos="2340"/>
        </w:tabs>
        <w:ind w:left="2340" w:hanging="180"/>
      </w:pPr>
    </w:lvl>
    <w:lvl w:ilvl="6" w:tplc="0405000F" w:tentative="1">
      <w:start w:val="1"/>
      <w:numFmt w:val="decimal"/>
      <w:lvlText w:val="%7."/>
      <w:lvlJc w:val="left"/>
      <w:pPr>
        <w:tabs>
          <w:tab w:val="num" w:pos="3060"/>
        </w:tabs>
        <w:ind w:left="3060" w:hanging="360"/>
      </w:pPr>
    </w:lvl>
    <w:lvl w:ilvl="7" w:tplc="04050019" w:tentative="1">
      <w:start w:val="1"/>
      <w:numFmt w:val="lowerLetter"/>
      <w:lvlText w:val="%8."/>
      <w:lvlJc w:val="left"/>
      <w:pPr>
        <w:tabs>
          <w:tab w:val="num" w:pos="3780"/>
        </w:tabs>
        <w:ind w:left="3780" w:hanging="360"/>
      </w:pPr>
    </w:lvl>
    <w:lvl w:ilvl="8" w:tplc="0405001B" w:tentative="1">
      <w:start w:val="1"/>
      <w:numFmt w:val="lowerRoman"/>
      <w:lvlText w:val="%9."/>
      <w:lvlJc w:val="right"/>
      <w:pPr>
        <w:tabs>
          <w:tab w:val="num" w:pos="4500"/>
        </w:tabs>
        <w:ind w:left="4500" w:hanging="180"/>
      </w:pPr>
    </w:lvl>
  </w:abstractNum>
  <w:abstractNum w:abstractNumId="4">
    <w:nsid w:val="3D202BD3"/>
    <w:multiLevelType w:val="hybridMultilevel"/>
    <w:tmpl w:val="AA04F340"/>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9A87959"/>
    <w:multiLevelType w:val="hybridMultilevel"/>
    <w:tmpl w:val="6234BFDE"/>
    <w:lvl w:ilvl="0" w:tplc="30A806E8">
      <w:start w:val="1"/>
      <w:numFmt w:val="decimal"/>
      <w:lvlText w:val="%1)"/>
      <w:lvlJc w:val="left"/>
      <w:pPr>
        <w:tabs>
          <w:tab w:val="num" w:pos="2340"/>
        </w:tabs>
        <w:ind w:left="2340" w:hanging="360"/>
      </w:pPr>
      <w:rPr>
        <w:rFonts w:hint="default"/>
        <w:b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93054D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94572CB"/>
    <w:multiLevelType w:val="hybridMultilevel"/>
    <w:tmpl w:val="601469D8"/>
    <w:lvl w:ilvl="0" w:tplc="04050011">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8">
    <w:nsid w:val="6B4A3C1F"/>
    <w:multiLevelType w:val="hybridMultilevel"/>
    <w:tmpl w:val="5A0AB750"/>
    <w:lvl w:ilvl="0" w:tplc="EF089FC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FFD11B5"/>
    <w:multiLevelType w:val="hybridMultilevel"/>
    <w:tmpl w:val="E45E7718"/>
    <w:lvl w:ilvl="0" w:tplc="E5324542">
      <w:start w:val="1"/>
      <w:numFmt w:val="decimal"/>
      <w:lvlText w:val="%1)"/>
      <w:lvlJc w:val="left"/>
      <w:pPr>
        <w:tabs>
          <w:tab w:val="num" w:pos="1113"/>
        </w:tabs>
        <w:ind w:left="1113"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2840423"/>
    <w:multiLevelType w:val="hybridMultilevel"/>
    <w:tmpl w:val="B8E2394C"/>
    <w:lvl w:ilvl="0" w:tplc="EF089FC8">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0"/>
  </w:num>
  <w:num w:numId="5">
    <w:abstractNumId w:val="8"/>
  </w:num>
  <w:num w:numId="6">
    <w:abstractNumId w:val="9"/>
  </w:num>
  <w:num w:numId="7">
    <w:abstractNumId w:val="3"/>
  </w:num>
  <w:num w:numId="8">
    <w:abstractNumId w:val="6"/>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0B"/>
    <w:rsid w:val="000451AF"/>
    <w:rsid w:val="000D5E29"/>
    <w:rsid w:val="002D0D0B"/>
    <w:rsid w:val="00322917"/>
    <w:rsid w:val="003F1E04"/>
    <w:rsid w:val="003F7757"/>
    <w:rsid w:val="00556F84"/>
    <w:rsid w:val="005D0773"/>
    <w:rsid w:val="00646547"/>
    <w:rsid w:val="006A1F98"/>
    <w:rsid w:val="00930A82"/>
    <w:rsid w:val="00A061D7"/>
    <w:rsid w:val="00A16E87"/>
    <w:rsid w:val="00AC627D"/>
    <w:rsid w:val="00C803F2"/>
    <w:rsid w:val="00CB2226"/>
    <w:rsid w:val="00CC168C"/>
    <w:rsid w:val="00E01D99"/>
    <w:rsid w:val="00F44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D0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D0D0B"/>
    <w:pPr>
      <w:jc w:val="center"/>
    </w:pPr>
    <w:rPr>
      <w:b/>
      <w:sz w:val="28"/>
    </w:rPr>
  </w:style>
  <w:style w:type="character" w:customStyle="1" w:styleId="NzevChar">
    <w:name w:val="Název Char"/>
    <w:basedOn w:val="Standardnpsmoodstavce"/>
    <w:link w:val="Nzev"/>
    <w:rsid w:val="002D0D0B"/>
    <w:rPr>
      <w:rFonts w:ascii="Times New Roman" w:eastAsia="Times New Roman" w:hAnsi="Times New Roman" w:cs="Times New Roman"/>
      <w:b/>
      <w:sz w:val="28"/>
      <w:szCs w:val="20"/>
      <w:lang w:eastAsia="cs-CZ"/>
    </w:rPr>
  </w:style>
  <w:style w:type="paragraph" w:styleId="Zkladntext">
    <w:name w:val="Body Text"/>
    <w:basedOn w:val="Normln"/>
    <w:link w:val="ZkladntextChar"/>
    <w:rsid w:val="002D0D0B"/>
    <w:pPr>
      <w:tabs>
        <w:tab w:val="left" w:pos="3119"/>
        <w:tab w:val="left" w:pos="4111"/>
        <w:tab w:val="left" w:pos="5245"/>
        <w:tab w:val="left" w:pos="6521"/>
        <w:tab w:val="left" w:pos="7938"/>
      </w:tabs>
      <w:jc w:val="both"/>
    </w:pPr>
    <w:rPr>
      <w:sz w:val="24"/>
    </w:rPr>
  </w:style>
  <w:style w:type="character" w:customStyle="1" w:styleId="ZkladntextChar">
    <w:name w:val="Základní text Char"/>
    <w:basedOn w:val="Standardnpsmoodstavce"/>
    <w:link w:val="Zkladntext"/>
    <w:rsid w:val="002D0D0B"/>
    <w:rPr>
      <w:rFonts w:ascii="Times New Roman" w:eastAsia="Times New Roman" w:hAnsi="Times New Roman" w:cs="Times New Roman"/>
      <w:sz w:val="24"/>
      <w:szCs w:val="20"/>
      <w:lang w:eastAsia="cs-CZ"/>
    </w:rPr>
  </w:style>
  <w:style w:type="paragraph" w:styleId="Bezmezer">
    <w:name w:val="No Spacing"/>
    <w:uiPriority w:val="1"/>
    <w:qFormat/>
    <w:rsid w:val="002D0D0B"/>
    <w:pPr>
      <w:spacing w:after="0" w:line="240" w:lineRule="auto"/>
    </w:pPr>
    <w:rPr>
      <w:rFonts w:ascii="Calibri" w:eastAsia="Calibri" w:hAnsi="Calibri" w:cs="Times New Roman"/>
    </w:rPr>
  </w:style>
  <w:style w:type="character" w:styleId="Hypertextovodkaz">
    <w:name w:val="Hyperlink"/>
    <w:rsid w:val="002D0D0B"/>
    <w:rPr>
      <w:color w:val="0000FF"/>
      <w:u w:val="single"/>
    </w:rPr>
  </w:style>
  <w:style w:type="paragraph" w:styleId="Zhlav">
    <w:name w:val="header"/>
    <w:basedOn w:val="Normln"/>
    <w:link w:val="ZhlavChar"/>
    <w:uiPriority w:val="99"/>
    <w:unhideWhenUsed/>
    <w:rsid w:val="002D0D0B"/>
    <w:pPr>
      <w:tabs>
        <w:tab w:val="center" w:pos="4536"/>
        <w:tab w:val="right" w:pos="9072"/>
      </w:tabs>
    </w:pPr>
  </w:style>
  <w:style w:type="character" w:customStyle="1" w:styleId="ZhlavChar">
    <w:name w:val="Záhlaví Char"/>
    <w:basedOn w:val="Standardnpsmoodstavce"/>
    <w:link w:val="Zhlav"/>
    <w:uiPriority w:val="99"/>
    <w:rsid w:val="002D0D0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D0D0B"/>
    <w:pPr>
      <w:tabs>
        <w:tab w:val="center" w:pos="4536"/>
        <w:tab w:val="right" w:pos="9072"/>
      </w:tabs>
    </w:pPr>
  </w:style>
  <w:style w:type="character" w:customStyle="1" w:styleId="ZpatChar">
    <w:name w:val="Zápatí Char"/>
    <w:basedOn w:val="Standardnpsmoodstavce"/>
    <w:link w:val="Zpat"/>
    <w:uiPriority w:val="99"/>
    <w:rsid w:val="002D0D0B"/>
    <w:rPr>
      <w:rFonts w:ascii="Times New Roman" w:eastAsia="Times New Roman" w:hAnsi="Times New Roman" w:cs="Times New Roman"/>
      <w:sz w:val="20"/>
      <w:szCs w:val="20"/>
      <w:lang w:eastAsia="cs-CZ"/>
    </w:rPr>
  </w:style>
  <w:style w:type="paragraph" w:customStyle="1" w:styleId="8ptbold">
    <w:name w:val="8pt bold"/>
    <w:basedOn w:val="Normln"/>
    <w:rsid w:val="002D0D0B"/>
    <w:pPr>
      <w:tabs>
        <w:tab w:val="left" w:pos="1247"/>
        <w:tab w:val="left" w:pos="4706"/>
        <w:tab w:val="left" w:pos="6124"/>
        <w:tab w:val="left" w:pos="6691"/>
        <w:tab w:val="left" w:pos="7144"/>
        <w:tab w:val="left" w:pos="8108"/>
      </w:tabs>
      <w:spacing w:line="350" w:lineRule="exact"/>
      <w:ind w:left="1134" w:right="2835"/>
    </w:pPr>
    <w:rPr>
      <w:rFonts w:ascii="Arial" w:hAnsi="Arial" w:cs="Arial"/>
      <w:b/>
      <w:sz w:val="18"/>
      <w:szCs w:val="18"/>
    </w:rPr>
  </w:style>
  <w:style w:type="paragraph" w:customStyle="1" w:styleId="8ptreg">
    <w:name w:val="8 pt reg"/>
    <w:basedOn w:val="Normln"/>
    <w:link w:val="8ptregChar"/>
    <w:rsid w:val="002D0D0B"/>
    <w:pPr>
      <w:tabs>
        <w:tab w:val="left" w:pos="1247"/>
        <w:tab w:val="left" w:pos="4706"/>
        <w:tab w:val="left" w:pos="6124"/>
        <w:tab w:val="left" w:pos="6691"/>
        <w:tab w:val="left" w:pos="7144"/>
        <w:tab w:val="left" w:pos="8108"/>
      </w:tabs>
      <w:spacing w:line="350" w:lineRule="exact"/>
      <w:ind w:left="1134" w:right="2835"/>
    </w:pPr>
    <w:rPr>
      <w:rFonts w:ascii="Arial" w:hAnsi="Arial" w:cs="Arial"/>
      <w:sz w:val="16"/>
      <w:szCs w:val="18"/>
    </w:rPr>
  </w:style>
  <w:style w:type="paragraph" w:customStyle="1" w:styleId="Nzevlnku-podtitul">
    <w:name w:val="Název článku - podtitul"/>
    <w:basedOn w:val="Normln"/>
    <w:rsid w:val="002D0D0B"/>
    <w:pPr>
      <w:keepNext/>
      <w:keepLines/>
      <w:suppressAutoHyphens/>
      <w:adjustRightInd w:val="0"/>
      <w:snapToGrid w:val="0"/>
      <w:spacing w:before="80"/>
      <w:contextualSpacing/>
      <w:outlineLvl w:val="2"/>
    </w:pPr>
    <w:rPr>
      <w:rFonts w:ascii="Arial" w:hAnsi="Arial" w:cs="Arial"/>
      <w:b/>
      <w:sz w:val="18"/>
    </w:rPr>
  </w:style>
  <w:style w:type="character" w:customStyle="1" w:styleId="8ptregChar">
    <w:name w:val="8 pt reg Char"/>
    <w:link w:val="8ptreg"/>
    <w:locked/>
    <w:rsid w:val="002D0D0B"/>
    <w:rPr>
      <w:rFonts w:ascii="Arial" w:eastAsia="Times New Roman" w:hAnsi="Arial" w:cs="Arial"/>
      <w:sz w:val="16"/>
      <w:szCs w:val="18"/>
      <w:lang w:eastAsia="cs-CZ"/>
    </w:rPr>
  </w:style>
  <w:style w:type="paragraph" w:styleId="Odstavecseseznamem">
    <w:name w:val="List Paragraph"/>
    <w:basedOn w:val="Normln"/>
    <w:uiPriority w:val="34"/>
    <w:qFormat/>
    <w:rsid w:val="00646547"/>
    <w:pPr>
      <w:ind w:left="720"/>
      <w:contextualSpacing/>
    </w:pPr>
  </w:style>
  <w:style w:type="paragraph" w:styleId="Textbubliny">
    <w:name w:val="Balloon Text"/>
    <w:basedOn w:val="Normln"/>
    <w:link w:val="TextbublinyChar"/>
    <w:uiPriority w:val="99"/>
    <w:semiHidden/>
    <w:unhideWhenUsed/>
    <w:rsid w:val="003F77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7757"/>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D0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D0D0B"/>
    <w:pPr>
      <w:jc w:val="center"/>
    </w:pPr>
    <w:rPr>
      <w:b/>
      <w:sz w:val="28"/>
    </w:rPr>
  </w:style>
  <w:style w:type="character" w:customStyle="1" w:styleId="NzevChar">
    <w:name w:val="Název Char"/>
    <w:basedOn w:val="Standardnpsmoodstavce"/>
    <w:link w:val="Nzev"/>
    <w:rsid w:val="002D0D0B"/>
    <w:rPr>
      <w:rFonts w:ascii="Times New Roman" w:eastAsia="Times New Roman" w:hAnsi="Times New Roman" w:cs="Times New Roman"/>
      <w:b/>
      <w:sz w:val="28"/>
      <w:szCs w:val="20"/>
      <w:lang w:eastAsia="cs-CZ"/>
    </w:rPr>
  </w:style>
  <w:style w:type="paragraph" w:styleId="Zkladntext">
    <w:name w:val="Body Text"/>
    <w:basedOn w:val="Normln"/>
    <w:link w:val="ZkladntextChar"/>
    <w:rsid w:val="002D0D0B"/>
    <w:pPr>
      <w:tabs>
        <w:tab w:val="left" w:pos="3119"/>
        <w:tab w:val="left" w:pos="4111"/>
        <w:tab w:val="left" w:pos="5245"/>
        <w:tab w:val="left" w:pos="6521"/>
        <w:tab w:val="left" w:pos="7938"/>
      </w:tabs>
      <w:jc w:val="both"/>
    </w:pPr>
    <w:rPr>
      <w:sz w:val="24"/>
    </w:rPr>
  </w:style>
  <w:style w:type="character" w:customStyle="1" w:styleId="ZkladntextChar">
    <w:name w:val="Základní text Char"/>
    <w:basedOn w:val="Standardnpsmoodstavce"/>
    <w:link w:val="Zkladntext"/>
    <w:rsid w:val="002D0D0B"/>
    <w:rPr>
      <w:rFonts w:ascii="Times New Roman" w:eastAsia="Times New Roman" w:hAnsi="Times New Roman" w:cs="Times New Roman"/>
      <w:sz w:val="24"/>
      <w:szCs w:val="20"/>
      <w:lang w:eastAsia="cs-CZ"/>
    </w:rPr>
  </w:style>
  <w:style w:type="paragraph" w:styleId="Bezmezer">
    <w:name w:val="No Spacing"/>
    <w:uiPriority w:val="1"/>
    <w:qFormat/>
    <w:rsid w:val="002D0D0B"/>
    <w:pPr>
      <w:spacing w:after="0" w:line="240" w:lineRule="auto"/>
    </w:pPr>
    <w:rPr>
      <w:rFonts w:ascii="Calibri" w:eastAsia="Calibri" w:hAnsi="Calibri" w:cs="Times New Roman"/>
    </w:rPr>
  </w:style>
  <w:style w:type="character" w:styleId="Hypertextovodkaz">
    <w:name w:val="Hyperlink"/>
    <w:rsid w:val="002D0D0B"/>
    <w:rPr>
      <w:color w:val="0000FF"/>
      <w:u w:val="single"/>
    </w:rPr>
  </w:style>
  <w:style w:type="paragraph" w:styleId="Zhlav">
    <w:name w:val="header"/>
    <w:basedOn w:val="Normln"/>
    <w:link w:val="ZhlavChar"/>
    <w:uiPriority w:val="99"/>
    <w:unhideWhenUsed/>
    <w:rsid w:val="002D0D0B"/>
    <w:pPr>
      <w:tabs>
        <w:tab w:val="center" w:pos="4536"/>
        <w:tab w:val="right" w:pos="9072"/>
      </w:tabs>
    </w:pPr>
  </w:style>
  <w:style w:type="character" w:customStyle="1" w:styleId="ZhlavChar">
    <w:name w:val="Záhlaví Char"/>
    <w:basedOn w:val="Standardnpsmoodstavce"/>
    <w:link w:val="Zhlav"/>
    <w:uiPriority w:val="99"/>
    <w:rsid w:val="002D0D0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D0D0B"/>
    <w:pPr>
      <w:tabs>
        <w:tab w:val="center" w:pos="4536"/>
        <w:tab w:val="right" w:pos="9072"/>
      </w:tabs>
    </w:pPr>
  </w:style>
  <w:style w:type="character" w:customStyle="1" w:styleId="ZpatChar">
    <w:name w:val="Zápatí Char"/>
    <w:basedOn w:val="Standardnpsmoodstavce"/>
    <w:link w:val="Zpat"/>
    <w:uiPriority w:val="99"/>
    <w:rsid w:val="002D0D0B"/>
    <w:rPr>
      <w:rFonts w:ascii="Times New Roman" w:eastAsia="Times New Roman" w:hAnsi="Times New Roman" w:cs="Times New Roman"/>
      <w:sz w:val="20"/>
      <w:szCs w:val="20"/>
      <w:lang w:eastAsia="cs-CZ"/>
    </w:rPr>
  </w:style>
  <w:style w:type="paragraph" w:customStyle="1" w:styleId="8ptbold">
    <w:name w:val="8pt bold"/>
    <w:basedOn w:val="Normln"/>
    <w:rsid w:val="002D0D0B"/>
    <w:pPr>
      <w:tabs>
        <w:tab w:val="left" w:pos="1247"/>
        <w:tab w:val="left" w:pos="4706"/>
        <w:tab w:val="left" w:pos="6124"/>
        <w:tab w:val="left" w:pos="6691"/>
        <w:tab w:val="left" w:pos="7144"/>
        <w:tab w:val="left" w:pos="8108"/>
      </w:tabs>
      <w:spacing w:line="350" w:lineRule="exact"/>
      <w:ind w:left="1134" w:right="2835"/>
    </w:pPr>
    <w:rPr>
      <w:rFonts w:ascii="Arial" w:hAnsi="Arial" w:cs="Arial"/>
      <w:b/>
      <w:sz w:val="18"/>
      <w:szCs w:val="18"/>
    </w:rPr>
  </w:style>
  <w:style w:type="paragraph" w:customStyle="1" w:styleId="8ptreg">
    <w:name w:val="8 pt reg"/>
    <w:basedOn w:val="Normln"/>
    <w:link w:val="8ptregChar"/>
    <w:rsid w:val="002D0D0B"/>
    <w:pPr>
      <w:tabs>
        <w:tab w:val="left" w:pos="1247"/>
        <w:tab w:val="left" w:pos="4706"/>
        <w:tab w:val="left" w:pos="6124"/>
        <w:tab w:val="left" w:pos="6691"/>
        <w:tab w:val="left" w:pos="7144"/>
        <w:tab w:val="left" w:pos="8108"/>
      </w:tabs>
      <w:spacing w:line="350" w:lineRule="exact"/>
      <w:ind w:left="1134" w:right="2835"/>
    </w:pPr>
    <w:rPr>
      <w:rFonts w:ascii="Arial" w:hAnsi="Arial" w:cs="Arial"/>
      <w:sz w:val="16"/>
      <w:szCs w:val="18"/>
    </w:rPr>
  </w:style>
  <w:style w:type="paragraph" w:customStyle="1" w:styleId="Nzevlnku-podtitul">
    <w:name w:val="Název článku - podtitul"/>
    <w:basedOn w:val="Normln"/>
    <w:rsid w:val="002D0D0B"/>
    <w:pPr>
      <w:keepNext/>
      <w:keepLines/>
      <w:suppressAutoHyphens/>
      <w:adjustRightInd w:val="0"/>
      <w:snapToGrid w:val="0"/>
      <w:spacing w:before="80"/>
      <w:contextualSpacing/>
      <w:outlineLvl w:val="2"/>
    </w:pPr>
    <w:rPr>
      <w:rFonts w:ascii="Arial" w:hAnsi="Arial" w:cs="Arial"/>
      <w:b/>
      <w:sz w:val="18"/>
    </w:rPr>
  </w:style>
  <w:style w:type="character" w:customStyle="1" w:styleId="8ptregChar">
    <w:name w:val="8 pt reg Char"/>
    <w:link w:val="8ptreg"/>
    <w:locked/>
    <w:rsid w:val="002D0D0B"/>
    <w:rPr>
      <w:rFonts w:ascii="Arial" w:eastAsia="Times New Roman" w:hAnsi="Arial" w:cs="Arial"/>
      <w:sz w:val="16"/>
      <w:szCs w:val="18"/>
      <w:lang w:eastAsia="cs-CZ"/>
    </w:rPr>
  </w:style>
  <w:style w:type="paragraph" w:styleId="Odstavecseseznamem">
    <w:name w:val="List Paragraph"/>
    <w:basedOn w:val="Normln"/>
    <w:uiPriority w:val="34"/>
    <w:qFormat/>
    <w:rsid w:val="00646547"/>
    <w:pPr>
      <w:ind w:left="720"/>
      <w:contextualSpacing/>
    </w:pPr>
  </w:style>
  <w:style w:type="paragraph" w:styleId="Textbubliny">
    <w:name w:val="Balloon Text"/>
    <w:basedOn w:val="Normln"/>
    <w:link w:val="TextbublinyChar"/>
    <w:uiPriority w:val="99"/>
    <w:semiHidden/>
    <w:unhideWhenUsed/>
    <w:rsid w:val="003F77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775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scik@sosf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bor.mikulec@gosteel.cz" TargetMode="External"/><Relationship Id="rId4" Type="http://schemas.openxmlformats.org/officeDocument/2006/relationships/settings" Target="settings.xml"/><Relationship Id="rId9" Type="http://schemas.openxmlformats.org/officeDocument/2006/relationships/image" Target="cid:image001.jpg@01D3BD08.B1026AB0"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2677</Words>
  <Characters>15800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Vasinkova, Barbora</dc:creator>
  <cp:lastModifiedBy>Jana Tomanová</cp:lastModifiedBy>
  <cp:revision>3</cp:revision>
  <cp:lastPrinted>2018-12-19T07:09:00Z</cp:lastPrinted>
  <dcterms:created xsi:type="dcterms:W3CDTF">2019-01-03T12:38:00Z</dcterms:created>
  <dcterms:modified xsi:type="dcterms:W3CDTF">2019-01-03T12:40:00Z</dcterms:modified>
</cp:coreProperties>
</file>