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84" w:rsidRPr="006368D9" w:rsidRDefault="003865AB" w:rsidP="00F31EB4">
      <w:pPr>
        <w:jc w:val="right"/>
      </w:pPr>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-307340</wp:posOffset>
            </wp:positionV>
            <wp:extent cx="1895475" cy="1228725"/>
            <wp:effectExtent l="0" t="0" r="0"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8C70C4" w:rsidRDefault="008C70C4" w:rsidP="00D7357B">
      <w:pPr>
        <w:rPr>
          <w:rFonts w:cs="Arial"/>
          <w:b/>
          <w:sz w:val="32"/>
        </w:rPr>
      </w:pPr>
      <w:bookmarkStart w:id="0" w:name="Priloha_1"/>
      <w:bookmarkEnd w:id="0"/>
      <w:r>
        <w:rPr>
          <w:rFonts w:cs="Arial"/>
          <w:b/>
          <w:sz w:val="32"/>
        </w:rPr>
        <w:t xml:space="preserve">Dodatek č. </w:t>
      </w:r>
      <w:r w:rsidR="00842929">
        <w:rPr>
          <w:rFonts w:cs="Arial"/>
          <w:b/>
          <w:sz w:val="32"/>
        </w:rPr>
        <w:t>2</w:t>
      </w:r>
    </w:p>
    <w:p w:rsidR="00D7357B" w:rsidRPr="006368D9" w:rsidRDefault="000A7B53" w:rsidP="00D7357B">
      <w:pPr>
        <w:rPr>
          <w:rFonts w:cs="Arial"/>
          <w:b/>
          <w:sz w:val="32"/>
        </w:rPr>
      </w:pPr>
      <w:r>
        <w:rPr>
          <w:rFonts w:cs="Arial"/>
          <w:b/>
          <w:sz w:val="32"/>
        </w:rPr>
        <w:t>k</w:t>
      </w:r>
      <w:r w:rsidR="008C70C4">
        <w:rPr>
          <w:rFonts w:cs="Arial"/>
          <w:b/>
          <w:sz w:val="32"/>
        </w:rPr>
        <w:t xml:space="preserve"> pojistné smlouvě</w:t>
      </w:r>
      <w:r w:rsidR="00D7357B" w:rsidRPr="006368D9">
        <w:rPr>
          <w:rFonts w:cs="Arial"/>
          <w:b/>
          <w:sz w:val="32"/>
        </w:rPr>
        <w:t xml:space="preserve"> č. </w:t>
      </w:r>
      <w:r w:rsidR="00896C58" w:rsidRPr="00C53F34">
        <w:rPr>
          <w:rFonts w:cs="Arial"/>
          <w:b/>
          <w:sz w:val="32"/>
        </w:rPr>
        <w:t>7720937511</w:t>
      </w:r>
    </w:p>
    <w:p w:rsidR="00D7357B" w:rsidRDefault="00D7357B" w:rsidP="00D7357B">
      <w:pPr>
        <w:rPr>
          <w:rFonts w:cs="Arial"/>
          <w:b/>
        </w:rPr>
      </w:pPr>
      <w:r w:rsidRPr="006368D9">
        <w:rPr>
          <w:rFonts w:cs="Arial"/>
          <w:b/>
        </w:rPr>
        <w:t>Úsek pojištění hospodářských rizik</w:t>
      </w:r>
    </w:p>
    <w:p w:rsidR="008C70C4" w:rsidRDefault="008C70C4" w:rsidP="008C70C4">
      <w:pPr>
        <w:tabs>
          <w:tab w:val="left" w:pos="-720"/>
        </w:tabs>
        <w:jc w:val="both"/>
        <w:rPr>
          <w:sz w:val="20"/>
        </w:rPr>
      </w:pPr>
    </w:p>
    <w:p w:rsidR="00D7357B" w:rsidRPr="006368D9" w:rsidRDefault="00D7357B" w:rsidP="00D7357B">
      <w:pPr>
        <w:rPr>
          <w:rFonts w:cs="Arial"/>
        </w:rPr>
      </w:pPr>
    </w:p>
    <w:p w:rsidR="006444A9" w:rsidRPr="00140A1E" w:rsidRDefault="006444A9" w:rsidP="006444A9">
      <w:pPr>
        <w:rPr>
          <w:rFonts w:cs="Arial"/>
          <w:b/>
          <w:sz w:val="32"/>
        </w:rPr>
      </w:pPr>
      <w:r w:rsidRPr="00140A1E">
        <w:rPr>
          <w:rFonts w:cs="Arial"/>
          <w:b/>
          <w:sz w:val="32"/>
        </w:rPr>
        <w:t xml:space="preserve">Kooperativa pojišťovna, a.s., </w:t>
      </w:r>
      <w:proofErr w:type="spellStart"/>
      <w:r w:rsidRPr="00140A1E">
        <w:rPr>
          <w:rFonts w:cs="Arial"/>
          <w:b/>
          <w:sz w:val="32"/>
        </w:rPr>
        <w:t>Vienna</w:t>
      </w:r>
      <w:proofErr w:type="spellEnd"/>
      <w:r w:rsidRPr="00140A1E">
        <w:rPr>
          <w:rFonts w:cs="Arial"/>
          <w:b/>
          <w:sz w:val="32"/>
        </w:rPr>
        <w:t xml:space="preserve"> </w:t>
      </w:r>
      <w:proofErr w:type="spellStart"/>
      <w:r w:rsidRPr="00140A1E">
        <w:rPr>
          <w:rFonts w:cs="Arial"/>
          <w:b/>
          <w:sz w:val="32"/>
        </w:rPr>
        <w:t>Insurance</w:t>
      </w:r>
      <w:proofErr w:type="spellEnd"/>
      <w:r w:rsidRPr="00140A1E">
        <w:rPr>
          <w:rFonts w:cs="Arial"/>
          <w:b/>
          <w:sz w:val="32"/>
        </w:rPr>
        <w:t xml:space="preserve"> Group</w:t>
      </w:r>
    </w:p>
    <w:p w:rsidR="006444A9" w:rsidRPr="006368D9" w:rsidRDefault="006444A9" w:rsidP="006444A9">
      <w:pPr>
        <w:rPr>
          <w:rFonts w:cs="Arial"/>
          <w:b/>
        </w:rPr>
      </w:pPr>
      <w:r w:rsidRPr="006368D9">
        <w:rPr>
          <w:rFonts w:cs="Arial"/>
          <w:b/>
        </w:rPr>
        <w:t xml:space="preserve">se sídlem Praha 8, Pobřežní 665/21, PSČ 186 00, Česká republika </w:t>
      </w:r>
    </w:p>
    <w:p w:rsidR="006444A9" w:rsidRPr="006368D9" w:rsidRDefault="006444A9" w:rsidP="006444A9">
      <w:pPr>
        <w:rPr>
          <w:rFonts w:cs="Arial"/>
          <w:b/>
        </w:rPr>
      </w:pPr>
      <w:r w:rsidRPr="006368D9">
        <w:rPr>
          <w:rFonts w:cs="Arial"/>
          <w:b/>
        </w:rPr>
        <w:t xml:space="preserve">IČO:  47116617 </w:t>
      </w:r>
    </w:p>
    <w:p w:rsidR="006444A9" w:rsidRPr="006368D9" w:rsidRDefault="006444A9" w:rsidP="006444A9">
      <w:pPr>
        <w:rPr>
          <w:rFonts w:cs="Arial"/>
          <w:sz w:val="20"/>
        </w:rPr>
      </w:pPr>
      <w:r w:rsidRPr="006368D9">
        <w:rPr>
          <w:rFonts w:cs="Arial"/>
          <w:sz w:val="20"/>
        </w:rPr>
        <w:t xml:space="preserve">zapsaná v obchodním rejstříku u Městského soudu v Praze, </w:t>
      </w:r>
      <w:proofErr w:type="spellStart"/>
      <w:r w:rsidRPr="006368D9">
        <w:rPr>
          <w:rFonts w:cs="Arial"/>
          <w:sz w:val="20"/>
        </w:rPr>
        <w:t>sp</w:t>
      </w:r>
      <w:proofErr w:type="spellEnd"/>
      <w:r w:rsidRPr="006368D9">
        <w:rPr>
          <w:rFonts w:cs="Arial"/>
          <w:sz w:val="20"/>
        </w:rPr>
        <w:t>. zn. B 1897</w:t>
      </w:r>
    </w:p>
    <w:p w:rsidR="006444A9" w:rsidRPr="006368D9" w:rsidRDefault="006444A9" w:rsidP="006444A9">
      <w:pPr>
        <w:spacing w:after="60"/>
        <w:rPr>
          <w:rFonts w:cs="Arial"/>
          <w:sz w:val="20"/>
        </w:rPr>
      </w:pPr>
      <w:r w:rsidRPr="006368D9">
        <w:rPr>
          <w:rFonts w:cs="Arial"/>
          <w:sz w:val="20"/>
        </w:rPr>
        <w:t>(dále jen „</w:t>
      </w:r>
      <w:r w:rsidRPr="006368D9">
        <w:rPr>
          <w:rFonts w:cs="Arial"/>
          <w:b/>
          <w:sz w:val="20"/>
        </w:rPr>
        <w:t>pojistitel</w:t>
      </w:r>
      <w:r w:rsidRPr="00243892">
        <w:rPr>
          <w:rFonts w:cs="Arial"/>
          <w:sz w:val="20"/>
        </w:rPr>
        <w:t>“</w:t>
      </w:r>
      <w:r>
        <w:rPr>
          <w:rFonts w:cs="Arial"/>
          <w:sz w:val="20"/>
        </w:rPr>
        <w:t>)</w:t>
      </w:r>
    </w:p>
    <w:p w:rsidR="006444A9" w:rsidRPr="006368D9" w:rsidRDefault="006444A9" w:rsidP="006444A9">
      <w:pPr>
        <w:pStyle w:val="Zkladntextodsazen3"/>
        <w:ind w:left="0"/>
        <w:rPr>
          <w:rFonts w:ascii="Koop Office" w:hAnsi="Koop Office" w:cs="Arial"/>
          <w:sz w:val="20"/>
        </w:rPr>
      </w:pPr>
      <w:r w:rsidRPr="006368D9">
        <w:rPr>
          <w:rFonts w:ascii="Koop Office" w:hAnsi="Koop Office" w:cs="Arial"/>
          <w:sz w:val="20"/>
        </w:rPr>
        <w:t xml:space="preserve">zastoupený na základě zmocnění níže podepsanými osobami </w:t>
      </w:r>
    </w:p>
    <w:p w:rsidR="00896C58" w:rsidRPr="00896C58" w:rsidRDefault="00896C58" w:rsidP="00896C58">
      <w:pPr>
        <w:rPr>
          <w:rFonts w:cs="Arial"/>
          <w:sz w:val="20"/>
        </w:rPr>
      </w:pPr>
      <w:r w:rsidRPr="00896C58">
        <w:rPr>
          <w:rFonts w:cs="Arial"/>
          <w:b/>
          <w:sz w:val="20"/>
        </w:rPr>
        <w:t>Pracoviště</w:t>
      </w:r>
      <w:r w:rsidRPr="00896C58">
        <w:rPr>
          <w:rFonts w:cs="Arial"/>
          <w:sz w:val="20"/>
        </w:rPr>
        <w:t xml:space="preserve">: Kooperativa pojišťovna, a.s., </w:t>
      </w:r>
      <w:proofErr w:type="spellStart"/>
      <w:r w:rsidRPr="00896C58">
        <w:rPr>
          <w:rFonts w:cs="Arial"/>
          <w:sz w:val="20"/>
        </w:rPr>
        <w:t>Vienna</w:t>
      </w:r>
      <w:proofErr w:type="spellEnd"/>
      <w:r w:rsidRPr="00896C58">
        <w:rPr>
          <w:rFonts w:cs="Arial"/>
          <w:sz w:val="20"/>
        </w:rPr>
        <w:t xml:space="preserve"> </w:t>
      </w:r>
      <w:proofErr w:type="spellStart"/>
      <w:r w:rsidRPr="00896C58">
        <w:rPr>
          <w:rFonts w:cs="Arial"/>
          <w:sz w:val="20"/>
        </w:rPr>
        <w:t>Insurance</w:t>
      </w:r>
      <w:proofErr w:type="spellEnd"/>
      <w:r w:rsidRPr="00896C58">
        <w:rPr>
          <w:rFonts w:cs="Arial"/>
          <w:sz w:val="20"/>
        </w:rPr>
        <w:t xml:space="preserve"> Group, </w:t>
      </w:r>
    </w:p>
    <w:p w:rsidR="00896C58" w:rsidRPr="00896C58" w:rsidRDefault="00896C58" w:rsidP="00896C58">
      <w:pPr>
        <w:rPr>
          <w:rFonts w:cs="Arial"/>
          <w:sz w:val="20"/>
        </w:rPr>
      </w:pPr>
      <w:r w:rsidRPr="00896C58">
        <w:rPr>
          <w:rFonts w:cs="Arial"/>
          <w:sz w:val="20"/>
        </w:rPr>
        <w:t>Agentura jižní Čechy a Vysočina, Zátkovo nábř. 441/3, České Budějovice, PSČ 370 21</w:t>
      </w:r>
    </w:p>
    <w:p w:rsidR="00896C58" w:rsidRPr="00896C58" w:rsidRDefault="00896C58" w:rsidP="00896C58">
      <w:pPr>
        <w:rPr>
          <w:sz w:val="20"/>
        </w:rPr>
      </w:pPr>
      <w:r w:rsidRPr="00896C58">
        <w:rPr>
          <w:rFonts w:cs="Arial"/>
          <w:sz w:val="20"/>
        </w:rPr>
        <w:t xml:space="preserve">tel. </w:t>
      </w:r>
      <w:proofErr w:type="spellStart"/>
      <w:r w:rsidR="006A3691">
        <w:rPr>
          <w:rFonts w:cs="Arial"/>
          <w:sz w:val="20"/>
        </w:rPr>
        <w:t>xxx</w:t>
      </w:r>
      <w:proofErr w:type="spellEnd"/>
      <w:r w:rsidR="006A3691">
        <w:rPr>
          <w:rFonts w:cs="Arial"/>
          <w:sz w:val="20"/>
        </w:rPr>
        <w:t xml:space="preserve"> </w:t>
      </w:r>
      <w:proofErr w:type="spellStart"/>
      <w:r w:rsidR="006A3691">
        <w:rPr>
          <w:rFonts w:cs="Arial"/>
          <w:sz w:val="20"/>
        </w:rPr>
        <w:t>xxx</w:t>
      </w:r>
      <w:proofErr w:type="spellEnd"/>
      <w:r w:rsidR="006A3691">
        <w:rPr>
          <w:rFonts w:cs="Arial"/>
          <w:sz w:val="20"/>
        </w:rPr>
        <w:t xml:space="preserve"> </w:t>
      </w:r>
      <w:proofErr w:type="spellStart"/>
      <w:r w:rsidR="006A3691">
        <w:rPr>
          <w:rFonts w:cs="Arial"/>
          <w:sz w:val="20"/>
        </w:rPr>
        <w:t>xxx</w:t>
      </w:r>
      <w:proofErr w:type="spellEnd"/>
      <w:r w:rsidRPr="00896C58">
        <w:rPr>
          <w:rFonts w:cs="Arial"/>
          <w:sz w:val="20"/>
        </w:rPr>
        <w:t xml:space="preserve">, fax </w:t>
      </w:r>
      <w:proofErr w:type="spellStart"/>
      <w:r w:rsidR="006A3691">
        <w:rPr>
          <w:rFonts w:cs="Arial"/>
          <w:sz w:val="20"/>
        </w:rPr>
        <w:t>xxx</w:t>
      </w:r>
      <w:proofErr w:type="spellEnd"/>
      <w:r w:rsidR="006A3691">
        <w:rPr>
          <w:rFonts w:cs="Arial"/>
          <w:sz w:val="20"/>
        </w:rPr>
        <w:t xml:space="preserve"> </w:t>
      </w:r>
      <w:proofErr w:type="spellStart"/>
      <w:r w:rsidR="006A3691">
        <w:rPr>
          <w:rFonts w:cs="Arial"/>
          <w:sz w:val="20"/>
        </w:rPr>
        <w:t>xxx</w:t>
      </w:r>
      <w:proofErr w:type="spellEnd"/>
      <w:r w:rsidR="006A3691">
        <w:rPr>
          <w:rFonts w:cs="Arial"/>
          <w:sz w:val="20"/>
        </w:rPr>
        <w:t xml:space="preserve"> </w:t>
      </w:r>
      <w:proofErr w:type="spellStart"/>
      <w:r w:rsidR="006A3691">
        <w:rPr>
          <w:rFonts w:cs="Arial"/>
          <w:sz w:val="20"/>
        </w:rPr>
        <w:t>xxx</w:t>
      </w:r>
      <w:proofErr w:type="spellEnd"/>
    </w:p>
    <w:p w:rsidR="006444A9" w:rsidRPr="006368D9" w:rsidRDefault="006444A9" w:rsidP="006444A9">
      <w:pPr>
        <w:rPr>
          <w:rFonts w:cs="Arial"/>
          <w:sz w:val="20"/>
        </w:rPr>
      </w:pPr>
    </w:p>
    <w:p w:rsidR="006444A9" w:rsidRPr="006368D9" w:rsidRDefault="006444A9" w:rsidP="006444A9">
      <w:pPr>
        <w:pStyle w:val="Zkladntext32"/>
        <w:tabs>
          <w:tab w:val="clear" w:pos="-720"/>
        </w:tabs>
        <w:spacing w:line="240" w:lineRule="auto"/>
        <w:rPr>
          <w:rFonts w:ascii="Koop Office" w:hAnsi="Koop Office" w:cs="Arial"/>
        </w:rPr>
      </w:pPr>
      <w:r w:rsidRPr="006368D9">
        <w:rPr>
          <w:rFonts w:ascii="Koop Office" w:hAnsi="Koop Office" w:cs="Arial"/>
        </w:rPr>
        <w:t>a</w:t>
      </w:r>
    </w:p>
    <w:p w:rsidR="006444A9" w:rsidRPr="006368D9" w:rsidRDefault="006444A9" w:rsidP="006444A9">
      <w:pPr>
        <w:rPr>
          <w:rFonts w:cs="Arial"/>
          <w:sz w:val="20"/>
        </w:rPr>
      </w:pPr>
    </w:p>
    <w:p w:rsidR="00896C58" w:rsidRPr="008C7FEC" w:rsidRDefault="00896C58" w:rsidP="00896C58">
      <w:pPr>
        <w:jc w:val="both"/>
        <w:rPr>
          <w:rFonts w:cs="Arial"/>
          <w:b/>
          <w:i/>
          <w:sz w:val="32"/>
        </w:rPr>
      </w:pPr>
      <w:r w:rsidRPr="008C7FEC">
        <w:rPr>
          <w:rFonts w:cs="Arial"/>
          <w:b/>
          <w:sz w:val="32"/>
          <w:szCs w:val="32"/>
        </w:rPr>
        <w:t>Město Strakonice</w:t>
      </w:r>
    </w:p>
    <w:p w:rsidR="00896C58" w:rsidRPr="006368D9" w:rsidRDefault="00896C58" w:rsidP="00896C58">
      <w:pPr>
        <w:jc w:val="both"/>
        <w:rPr>
          <w:rFonts w:cs="Arial"/>
          <w:b/>
        </w:rPr>
      </w:pPr>
      <w:r w:rsidRPr="006368D9">
        <w:rPr>
          <w:rFonts w:cs="Arial"/>
          <w:b/>
        </w:rPr>
        <w:t xml:space="preserve">se sídlem </w:t>
      </w:r>
      <w:proofErr w:type="gramStart"/>
      <w:r w:rsidRPr="008E4080">
        <w:rPr>
          <w:rFonts w:cs="Arial"/>
          <w:b/>
        </w:rPr>
        <w:t>386 21  Strakonice</w:t>
      </w:r>
      <w:proofErr w:type="gramEnd"/>
      <w:r w:rsidRPr="008E4080">
        <w:rPr>
          <w:rFonts w:cs="Arial"/>
          <w:b/>
        </w:rPr>
        <w:t>, Velké náměstí 2</w:t>
      </w:r>
    </w:p>
    <w:p w:rsidR="00896C58" w:rsidRPr="003B6AF3" w:rsidRDefault="00896C58" w:rsidP="00896C58">
      <w:pPr>
        <w:pStyle w:val="Zkladntext3"/>
        <w:rPr>
          <w:rFonts w:ascii="Koop Office" w:hAnsi="Koop Office" w:cs="Arial"/>
          <w:b/>
          <w:sz w:val="22"/>
          <w:szCs w:val="22"/>
        </w:rPr>
      </w:pPr>
      <w:r w:rsidRPr="003B6AF3">
        <w:rPr>
          <w:rFonts w:ascii="Koop Office" w:hAnsi="Koop Office" w:cs="Arial"/>
          <w:b/>
          <w:sz w:val="22"/>
          <w:szCs w:val="22"/>
        </w:rPr>
        <w:t>IČO : 002 51 810</w:t>
      </w:r>
    </w:p>
    <w:p w:rsidR="00896C58" w:rsidRPr="006368D9" w:rsidRDefault="00896C58" w:rsidP="00896C58">
      <w:pPr>
        <w:jc w:val="both"/>
        <w:rPr>
          <w:rFonts w:cs="Arial"/>
          <w:bCs/>
          <w:sz w:val="20"/>
        </w:rPr>
      </w:pPr>
      <w:r w:rsidRPr="006368D9">
        <w:rPr>
          <w:rFonts w:cs="Arial"/>
          <w:bCs/>
          <w:sz w:val="20"/>
        </w:rPr>
        <w:t xml:space="preserve"> (dále jen „</w:t>
      </w:r>
      <w:r w:rsidRPr="006368D9">
        <w:rPr>
          <w:rFonts w:cs="Arial"/>
          <w:b/>
          <w:sz w:val="20"/>
        </w:rPr>
        <w:t>pojistník“</w:t>
      </w:r>
      <w:r w:rsidRPr="006368D9">
        <w:rPr>
          <w:rFonts w:cs="Arial"/>
          <w:bCs/>
          <w:sz w:val="20"/>
        </w:rPr>
        <w:t>)</w:t>
      </w:r>
    </w:p>
    <w:p w:rsidR="00896C58" w:rsidRPr="006368D9" w:rsidRDefault="00896C58" w:rsidP="00896C58">
      <w:pPr>
        <w:jc w:val="both"/>
        <w:rPr>
          <w:rFonts w:cs="Arial"/>
          <w:bCs/>
          <w:sz w:val="20"/>
        </w:rPr>
      </w:pPr>
      <w:r w:rsidRPr="006368D9">
        <w:rPr>
          <w:rFonts w:cs="Arial"/>
          <w:bCs/>
          <w:sz w:val="20"/>
        </w:rPr>
        <w:t xml:space="preserve">zastoupený/jednající </w:t>
      </w:r>
      <w:r>
        <w:rPr>
          <w:rFonts w:cs="Arial"/>
          <w:bCs/>
          <w:sz w:val="20"/>
        </w:rPr>
        <w:t>Mgr. Břetislav Hrdlička, starosta města</w:t>
      </w:r>
    </w:p>
    <w:p w:rsidR="00896C58" w:rsidRPr="006368D9" w:rsidRDefault="00896C58" w:rsidP="00896C58">
      <w:pPr>
        <w:pStyle w:val="Styl10bZarovnatdobloku"/>
      </w:pPr>
    </w:p>
    <w:p w:rsidR="00896C58" w:rsidRPr="00F8547E" w:rsidRDefault="00896C58" w:rsidP="00896C58">
      <w:pPr>
        <w:pStyle w:val="Zkladntext2"/>
        <w:rPr>
          <w:rFonts w:ascii="Koop Office" w:hAnsi="Koop Office"/>
          <w:bCs/>
          <w:sz w:val="20"/>
        </w:rPr>
      </w:pPr>
      <w:r w:rsidRPr="00824C7A">
        <w:rPr>
          <w:rFonts w:ascii="Koop Office" w:hAnsi="Koop Office" w:cs="Arial"/>
          <w:b/>
          <w:sz w:val="20"/>
        </w:rPr>
        <w:t xml:space="preserve">Korespondenční adresa: </w:t>
      </w:r>
      <w:r w:rsidRPr="00F8547E">
        <w:rPr>
          <w:rFonts w:ascii="Koop Office" w:hAnsi="Koop Office"/>
          <w:sz w:val="20"/>
        </w:rPr>
        <w:t xml:space="preserve">VAFIS s.r.o., </w:t>
      </w:r>
      <w:proofErr w:type="spellStart"/>
      <w:r w:rsidRPr="00F8547E">
        <w:rPr>
          <w:rFonts w:ascii="Koop Office" w:hAnsi="Koop Office"/>
          <w:bCs/>
          <w:sz w:val="20"/>
        </w:rPr>
        <w:t>Bavorovská</w:t>
      </w:r>
      <w:proofErr w:type="spellEnd"/>
      <w:r w:rsidRPr="00F8547E">
        <w:rPr>
          <w:rFonts w:ascii="Koop Office" w:hAnsi="Koop Office"/>
          <w:bCs/>
          <w:sz w:val="20"/>
        </w:rPr>
        <w:t xml:space="preserve"> 590, Vodňany, PSČ 389 01</w:t>
      </w:r>
    </w:p>
    <w:p w:rsidR="006444A9" w:rsidRDefault="006444A9" w:rsidP="006444A9">
      <w:pPr>
        <w:rPr>
          <w:rFonts w:cs="Arial"/>
          <w:sz w:val="20"/>
          <w:szCs w:val="20"/>
        </w:rPr>
      </w:pPr>
      <w:r w:rsidRPr="000307DD">
        <w:rPr>
          <w:rFonts w:cs="Arial"/>
          <w:sz w:val="20"/>
          <w:szCs w:val="20"/>
        </w:rPr>
        <w:t xml:space="preserve">uzavírají </w:t>
      </w:r>
    </w:p>
    <w:p w:rsidR="006444A9" w:rsidRPr="000307DD" w:rsidRDefault="006444A9" w:rsidP="006444A9">
      <w:pPr>
        <w:rPr>
          <w:rFonts w:cs="Arial"/>
          <w:sz w:val="20"/>
          <w:szCs w:val="20"/>
        </w:rPr>
      </w:pPr>
    </w:p>
    <w:p w:rsidR="00C31187" w:rsidRDefault="00C31187" w:rsidP="00C31187">
      <w:pPr>
        <w:pStyle w:val="Zkladntext32"/>
        <w:spacing w:line="240" w:lineRule="auto"/>
        <w:jc w:val="both"/>
        <w:rPr>
          <w:rFonts w:ascii="Koop Office" w:hAnsi="Koop Office" w:cs="Arial"/>
        </w:rPr>
      </w:pPr>
      <w:r w:rsidRPr="006368D9">
        <w:rPr>
          <w:rFonts w:ascii="Koop Office" w:hAnsi="Koop Office" w:cs="Arial"/>
        </w:rPr>
        <w:t xml:space="preserve">ve smyslu zákona č. 89/2012 Sb., občanského zákoníku, </w:t>
      </w:r>
      <w:r>
        <w:rPr>
          <w:rFonts w:ascii="Koop Office" w:hAnsi="Koop Office" w:cs="Arial"/>
        </w:rPr>
        <w:t xml:space="preserve">tento dodatek, který </w:t>
      </w:r>
      <w:r w:rsidRPr="006368D9">
        <w:rPr>
          <w:rFonts w:ascii="Koop Office" w:hAnsi="Koop Office" w:cs="Arial"/>
        </w:rPr>
        <w:t>spolu s</w:t>
      </w:r>
      <w:r>
        <w:rPr>
          <w:rFonts w:ascii="Koop Office" w:hAnsi="Koop Office" w:cs="Arial"/>
        </w:rPr>
        <w:t xml:space="preserve"> výše uvedenou pojistnou smlouvou, </w:t>
      </w:r>
      <w:r w:rsidRPr="006368D9">
        <w:rPr>
          <w:rFonts w:ascii="Koop Office" w:hAnsi="Koop Office" w:cs="Arial"/>
        </w:rPr>
        <w:t>pojistnými podmínkami pojistitele a přílohami, na které se</w:t>
      </w:r>
      <w:r>
        <w:rPr>
          <w:rFonts w:ascii="Koop Office" w:hAnsi="Koop Office" w:cs="Arial"/>
        </w:rPr>
        <w:t xml:space="preserve"> pojistná smlouva (ve znění tohoto dodatku)</w:t>
      </w:r>
      <w:r w:rsidRPr="006368D9">
        <w:rPr>
          <w:rFonts w:ascii="Koop Office" w:hAnsi="Koop Office" w:cs="Arial"/>
        </w:rPr>
        <w:t xml:space="preserve"> odvolává, tvoří nedílný celek.</w:t>
      </w:r>
    </w:p>
    <w:p w:rsidR="006444A9" w:rsidRPr="006368D9" w:rsidRDefault="006444A9" w:rsidP="00D7357B">
      <w:pPr>
        <w:pStyle w:val="Zkladntext32"/>
        <w:spacing w:line="240" w:lineRule="auto"/>
        <w:jc w:val="both"/>
        <w:rPr>
          <w:rFonts w:ascii="Koop Office" w:hAnsi="Koop Office" w:cs="Arial"/>
          <w:b/>
        </w:rPr>
      </w:pPr>
    </w:p>
    <w:p w:rsidR="00D7357B" w:rsidRPr="006368D9" w:rsidRDefault="00D7357B" w:rsidP="00D7357B">
      <w:pPr>
        <w:rPr>
          <w:rFonts w:cs="Arial"/>
          <w:sz w:val="20"/>
        </w:rPr>
      </w:pPr>
    </w:p>
    <w:p w:rsidR="00D7357B" w:rsidRPr="006368D9" w:rsidRDefault="00DF7D71" w:rsidP="006444A9">
      <w:pPr>
        <w:spacing w:after="120"/>
        <w:rPr>
          <w:rFonts w:cs="Arial"/>
          <w:sz w:val="20"/>
        </w:rPr>
      </w:pPr>
      <w:r>
        <w:rPr>
          <w:rFonts w:cs="Arial"/>
          <w:sz w:val="20"/>
        </w:rPr>
        <w:t>Tento dodatek</w:t>
      </w:r>
      <w:r w:rsidR="00D7357B" w:rsidRPr="006368D9">
        <w:rPr>
          <w:rFonts w:cs="Arial"/>
          <w:sz w:val="20"/>
        </w:rPr>
        <w:t xml:space="preserve"> </w:t>
      </w:r>
      <w:r>
        <w:rPr>
          <w:rFonts w:cs="Arial"/>
          <w:sz w:val="20"/>
        </w:rPr>
        <w:t xml:space="preserve">byl sjednán </w:t>
      </w:r>
      <w:r w:rsidR="00D7357B" w:rsidRPr="006368D9">
        <w:rPr>
          <w:rFonts w:cs="Arial"/>
          <w:sz w:val="20"/>
        </w:rPr>
        <w:t xml:space="preserve">prostřednictvím pojišťovacího makléře </w:t>
      </w:r>
    </w:p>
    <w:p w:rsidR="00896C58" w:rsidRPr="004D4DFE" w:rsidRDefault="00896C58" w:rsidP="00896C58">
      <w:pPr>
        <w:jc w:val="both"/>
        <w:rPr>
          <w:b/>
          <w:sz w:val="28"/>
          <w:szCs w:val="28"/>
        </w:rPr>
      </w:pPr>
      <w:r w:rsidRPr="004D4DFE">
        <w:rPr>
          <w:b/>
          <w:sz w:val="28"/>
          <w:szCs w:val="28"/>
        </w:rPr>
        <w:t>VAFIS s.r.o.</w:t>
      </w:r>
    </w:p>
    <w:p w:rsidR="00896C58" w:rsidRPr="004D4DFE" w:rsidRDefault="00896C58" w:rsidP="00896C58">
      <w:pPr>
        <w:pStyle w:val="Zkladntext2"/>
        <w:spacing w:after="0" w:line="240" w:lineRule="auto"/>
        <w:rPr>
          <w:rFonts w:ascii="Koop Office" w:hAnsi="Koop Office"/>
          <w:b/>
          <w:bCs/>
        </w:rPr>
      </w:pPr>
      <w:proofErr w:type="spellStart"/>
      <w:r w:rsidRPr="004D4DFE">
        <w:rPr>
          <w:rFonts w:ascii="Koop Office" w:hAnsi="Koop Office"/>
          <w:b/>
          <w:bCs/>
        </w:rPr>
        <w:t>Bavorovská</w:t>
      </w:r>
      <w:proofErr w:type="spellEnd"/>
      <w:r w:rsidRPr="004D4DFE">
        <w:rPr>
          <w:rFonts w:ascii="Koop Office" w:hAnsi="Koop Office"/>
          <w:b/>
          <w:bCs/>
        </w:rPr>
        <w:t xml:space="preserve"> 590, Vodňany, PSČ 389 01</w:t>
      </w:r>
    </w:p>
    <w:p w:rsidR="00896C58" w:rsidRPr="004D4DFE" w:rsidRDefault="00896C58" w:rsidP="00896C58">
      <w:pPr>
        <w:jc w:val="both"/>
        <w:rPr>
          <w:b/>
          <w:bCs/>
        </w:rPr>
      </w:pPr>
      <w:r w:rsidRPr="004D4DFE">
        <w:rPr>
          <w:b/>
          <w:bCs/>
        </w:rPr>
        <w:t>IČ</w:t>
      </w:r>
      <w:r>
        <w:rPr>
          <w:b/>
          <w:bCs/>
        </w:rPr>
        <w:t>O</w:t>
      </w:r>
      <w:r w:rsidRPr="004D4DFE">
        <w:rPr>
          <w:b/>
          <w:bCs/>
        </w:rPr>
        <w:t>: 280 65 166</w:t>
      </w:r>
    </w:p>
    <w:p w:rsidR="00896C58" w:rsidRPr="006368D9" w:rsidRDefault="00896C58" w:rsidP="00896C58">
      <w:pPr>
        <w:jc w:val="both"/>
        <w:rPr>
          <w:rFonts w:cs="Arial"/>
          <w:bCs/>
          <w:sz w:val="20"/>
          <w:szCs w:val="20"/>
        </w:rPr>
      </w:pPr>
      <w:r w:rsidRPr="006368D9">
        <w:rPr>
          <w:rFonts w:cs="Arial"/>
          <w:bCs/>
          <w:sz w:val="20"/>
          <w:szCs w:val="20"/>
        </w:rPr>
        <w:t xml:space="preserve"> (dále jen „</w:t>
      </w:r>
      <w:r w:rsidRPr="006368D9">
        <w:rPr>
          <w:rFonts w:cs="Arial"/>
          <w:b/>
          <w:sz w:val="20"/>
          <w:szCs w:val="20"/>
        </w:rPr>
        <w:t>pojišťovací makléř</w:t>
      </w:r>
      <w:r w:rsidRPr="006368D9">
        <w:rPr>
          <w:rFonts w:cs="Arial"/>
          <w:sz w:val="20"/>
          <w:szCs w:val="20"/>
        </w:rPr>
        <w:t>“</w:t>
      </w:r>
      <w:r w:rsidRPr="006368D9">
        <w:rPr>
          <w:rFonts w:cs="Arial"/>
          <w:bCs/>
          <w:sz w:val="20"/>
          <w:szCs w:val="20"/>
        </w:rPr>
        <w:t>)</w:t>
      </w:r>
    </w:p>
    <w:p w:rsidR="00896C58" w:rsidRPr="006368D9" w:rsidRDefault="00896C58" w:rsidP="00896C58">
      <w:pPr>
        <w:rPr>
          <w:rFonts w:cs="Arial"/>
          <w:bCs/>
          <w:sz w:val="20"/>
        </w:rPr>
      </w:pPr>
      <w:r w:rsidRPr="006368D9">
        <w:rPr>
          <w:rFonts w:cs="Arial"/>
          <w:b/>
          <w:bCs/>
          <w:sz w:val="20"/>
        </w:rPr>
        <w:t>Korespondenční adresa pojišťovacího makléře:</w:t>
      </w:r>
    </w:p>
    <w:p w:rsidR="00896C58" w:rsidRPr="006368D9" w:rsidRDefault="00896C58" w:rsidP="00896C58">
      <w:pPr>
        <w:rPr>
          <w:rFonts w:cs="Arial"/>
          <w:sz w:val="20"/>
          <w:u w:val="single"/>
        </w:rPr>
      </w:pPr>
      <w:r w:rsidRPr="006368D9">
        <w:rPr>
          <w:rFonts w:cs="Arial"/>
          <w:bCs/>
          <w:sz w:val="20"/>
        </w:rPr>
        <w:t>Korespondenční adresa pojišťovacího makléře je totožná s výše uvedenou adresou pojišťovacího makléře.</w:t>
      </w:r>
    </w:p>
    <w:p w:rsidR="00D7357B" w:rsidRPr="006368D9" w:rsidRDefault="00D7357B" w:rsidP="00D7357B">
      <w:pPr>
        <w:rPr>
          <w:rFonts w:cs="Arial"/>
          <w:sz w:val="20"/>
        </w:rPr>
      </w:pPr>
    </w:p>
    <w:p w:rsidR="00B653FD" w:rsidRDefault="003A0453" w:rsidP="000A7B53">
      <w:pPr>
        <w:tabs>
          <w:tab w:val="left" w:pos="-720"/>
        </w:tabs>
        <w:spacing w:before="120"/>
        <w:jc w:val="both"/>
        <w:rPr>
          <w:rFonts w:cs="Arial"/>
          <w:sz w:val="20"/>
        </w:rPr>
      </w:pPr>
      <w:r>
        <w:rPr>
          <w:rFonts w:cs="Arial"/>
          <w:sz w:val="20"/>
        </w:rPr>
        <w:t>S účinností</w:t>
      </w:r>
      <w:r w:rsidRPr="00483DCD">
        <w:rPr>
          <w:rFonts w:cs="Arial"/>
          <w:sz w:val="20"/>
        </w:rPr>
        <w:t xml:space="preserve"> od </w:t>
      </w:r>
      <w:r w:rsidR="00842929">
        <w:rPr>
          <w:rFonts w:cs="Arial"/>
          <w:b/>
          <w:sz w:val="20"/>
        </w:rPr>
        <w:t>24. září 2016</w:t>
      </w:r>
      <w:r w:rsidR="00896C58">
        <w:rPr>
          <w:rFonts w:cs="Arial"/>
          <w:sz w:val="20"/>
        </w:rPr>
        <w:t xml:space="preserve"> </w:t>
      </w:r>
      <w:r>
        <w:rPr>
          <w:rFonts w:cs="Arial"/>
          <w:sz w:val="20"/>
        </w:rPr>
        <w:t xml:space="preserve"> </w:t>
      </w:r>
      <w:r w:rsidR="00EE4394">
        <w:rPr>
          <w:rFonts w:cs="Arial"/>
          <w:sz w:val="20"/>
        </w:rPr>
        <w:t>se</w:t>
      </w:r>
      <w:r>
        <w:rPr>
          <w:rFonts w:cs="Arial"/>
          <w:sz w:val="20"/>
        </w:rPr>
        <w:t xml:space="preserve"> výše uvedená </w:t>
      </w:r>
      <w:r w:rsidRPr="00483DCD">
        <w:rPr>
          <w:rFonts w:cs="Arial"/>
          <w:sz w:val="20"/>
        </w:rPr>
        <w:t>pojistná smlouva</w:t>
      </w:r>
      <w:r w:rsidR="00EE4394">
        <w:rPr>
          <w:rFonts w:cs="Arial"/>
          <w:sz w:val="20"/>
        </w:rPr>
        <w:t xml:space="preserve"> </w:t>
      </w:r>
      <w:r w:rsidR="00B02415">
        <w:rPr>
          <w:rFonts w:cs="Arial"/>
          <w:sz w:val="20"/>
        </w:rPr>
        <w:t>(včetně výše uvedených údajů o výše uvedených subjektech</w:t>
      </w:r>
      <w:r w:rsidR="00B02415" w:rsidRPr="00010534">
        <w:rPr>
          <w:rFonts w:cs="Arial"/>
          <w:sz w:val="20"/>
        </w:rPr>
        <w:t>)</w:t>
      </w:r>
      <w:r w:rsidR="00B02415" w:rsidRPr="00010534">
        <w:rPr>
          <w:rFonts w:cs="Arial"/>
          <w:b/>
          <w:sz w:val="20"/>
        </w:rPr>
        <w:t xml:space="preserve"> </w:t>
      </w:r>
      <w:r w:rsidR="00EE4394" w:rsidRPr="00010534">
        <w:rPr>
          <w:rFonts w:cs="Arial"/>
          <w:b/>
          <w:sz w:val="20"/>
        </w:rPr>
        <w:t>mění</w:t>
      </w:r>
      <w:r w:rsidRPr="00483DCD">
        <w:rPr>
          <w:rFonts w:cs="Arial"/>
          <w:sz w:val="20"/>
        </w:rPr>
        <w:t xml:space="preserve"> </w:t>
      </w:r>
      <w:proofErr w:type="gramStart"/>
      <w:r w:rsidRPr="00483DCD">
        <w:rPr>
          <w:rFonts w:cs="Arial"/>
          <w:sz w:val="20"/>
        </w:rPr>
        <w:t>takto</w:t>
      </w:r>
      <w:r w:rsidR="00500455">
        <w:rPr>
          <w:rFonts w:cs="Arial"/>
          <w:sz w:val="20"/>
        </w:rPr>
        <w:t xml:space="preserve"> </w:t>
      </w:r>
      <w:r w:rsidR="00500455">
        <w:rPr>
          <w:rFonts w:cs="Arial"/>
          <w:sz w:val="20"/>
          <w:vertAlign w:val="superscript"/>
        </w:rPr>
        <w:t xml:space="preserve">* </w:t>
      </w:r>
      <w:r w:rsidRPr="00483DCD">
        <w:rPr>
          <w:rFonts w:cs="Arial"/>
          <w:sz w:val="20"/>
        </w:rPr>
        <w:t>:</w:t>
      </w:r>
      <w:proofErr w:type="gramEnd"/>
    </w:p>
    <w:p w:rsidR="00500455" w:rsidRPr="000A7B53" w:rsidRDefault="00500455" w:rsidP="000A7B53">
      <w:pPr>
        <w:tabs>
          <w:tab w:val="left" w:pos="-720"/>
        </w:tabs>
        <w:spacing w:before="120"/>
        <w:jc w:val="both"/>
        <w:rPr>
          <w:sz w:val="20"/>
          <w:szCs w:val="20"/>
          <w:vertAlign w:val="superscript"/>
        </w:rPr>
      </w:pPr>
      <w:r w:rsidRPr="000A7B53">
        <w:rPr>
          <w:rFonts w:cs="Arial"/>
          <w:sz w:val="20"/>
          <w:vertAlign w:val="superscript"/>
        </w:rPr>
        <w:t>* pokud se v tomto novém znění používá pojem „tento dodatek“, považuje se za něj tento dodatek</w:t>
      </w:r>
    </w:p>
    <w:p w:rsidR="003603C0" w:rsidRDefault="003603C0" w:rsidP="003603C0">
      <w:pPr>
        <w:tabs>
          <w:tab w:val="left" w:pos="-720"/>
        </w:tabs>
        <w:jc w:val="both"/>
        <w:rPr>
          <w:b/>
          <w:i/>
          <w:color w:val="00B050"/>
          <w:sz w:val="20"/>
          <w:szCs w:val="20"/>
        </w:rPr>
      </w:pPr>
    </w:p>
    <w:p w:rsidR="005B07B2" w:rsidRDefault="005B07B2" w:rsidP="003603C0">
      <w:pPr>
        <w:tabs>
          <w:tab w:val="left" w:pos="-720"/>
        </w:tabs>
        <w:jc w:val="both"/>
        <w:rPr>
          <w:b/>
          <w:i/>
          <w:color w:val="00B050"/>
          <w:sz w:val="20"/>
          <w:szCs w:val="20"/>
        </w:rPr>
      </w:pPr>
    </w:p>
    <w:p w:rsidR="00643FB1" w:rsidRPr="00A9756D" w:rsidRDefault="00643FB1" w:rsidP="00643FB1">
      <w:pPr>
        <w:rPr>
          <w:rFonts w:cs="Arial"/>
          <w:sz w:val="24"/>
          <w:u w:val="single"/>
        </w:rPr>
      </w:pPr>
    </w:p>
    <w:p w:rsidR="00ED2B9A" w:rsidRPr="0003546D" w:rsidRDefault="007F117B" w:rsidP="007F117B">
      <w:pPr>
        <w:pStyle w:val="Odstavecseseznamem"/>
        <w:numPr>
          <w:ilvl w:val="0"/>
          <w:numId w:val="25"/>
        </w:numPr>
        <w:jc w:val="both"/>
        <w:rPr>
          <w:rFonts w:ascii="Koop Office" w:hAnsi="Koop Office"/>
          <w:sz w:val="20"/>
          <w:szCs w:val="20"/>
        </w:rPr>
      </w:pPr>
      <w:r>
        <w:rPr>
          <w:rFonts w:ascii="Koop Office" w:hAnsi="Koop Office"/>
          <w:sz w:val="20"/>
          <w:szCs w:val="20"/>
        </w:rPr>
        <w:t xml:space="preserve">V Oddílu A - </w:t>
      </w:r>
      <w:r w:rsidRPr="007F117B">
        <w:rPr>
          <w:rFonts w:ascii="Koop Office" w:hAnsi="Koop Office"/>
          <w:sz w:val="20"/>
          <w:szCs w:val="20"/>
        </w:rPr>
        <w:t xml:space="preserve">pojištění majetku, odpovědnosti a lesních porostů </w:t>
      </w:r>
      <w:r>
        <w:rPr>
          <w:rFonts w:ascii="Koop Office" w:hAnsi="Koop Office"/>
          <w:sz w:val="20"/>
          <w:szCs w:val="20"/>
        </w:rPr>
        <w:t>–</w:t>
      </w:r>
      <w:r w:rsidRPr="007F117B">
        <w:rPr>
          <w:rFonts w:ascii="Koop Office" w:hAnsi="Koop Office"/>
          <w:sz w:val="20"/>
          <w:szCs w:val="20"/>
        </w:rPr>
        <w:t xml:space="preserve"> 7720937511</w:t>
      </w:r>
      <w:r>
        <w:rPr>
          <w:rFonts w:ascii="Koop Office" w:hAnsi="Koop Office"/>
          <w:sz w:val="20"/>
          <w:szCs w:val="20"/>
        </w:rPr>
        <w:t>, v č</w:t>
      </w:r>
      <w:r w:rsidRPr="00731202">
        <w:rPr>
          <w:rFonts w:ascii="Koop Office" w:hAnsi="Koop Office"/>
          <w:sz w:val="20"/>
          <w:szCs w:val="20"/>
        </w:rPr>
        <w:t xml:space="preserve">lánku </w:t>
      </w:r>
      <w:r w:rsidR="00ED2B9A" w:rsidRPr="00731202">
        <w:rPr>
          <w:rFonts w:ascii="Koop Office" w:hAnsi="Koop Office"/>
          <w:sz w:val="20"/>
          <w:szCs w:val="20"/>
        </w:rPr>
        <w:t>II.</w:t>
      </w:r>
      <w:r w:rsidR="00643FB1" w:rsidRPr="00731202">
        <w:rPr>
          <w:rFonts w:ascii="Koop Office" w:hAnsi="Koop Office"/>
          <w:sz w:val="20"/>
          <w:szCs w:val="20"/>
        </w:rPr>
        <w:t xml:space="preserve"> </w:t>
      </w:r>
      <w:r w:rsidR="00ED2B9A" w:rsidRPr="00731202">
        <w:rPr>
          <w:rFonts w:ascii="Koop Office" w:hAnsi="Koop Office"/>
          <w:sz w:val="20"/>
          <w:szCs w:val="20"/>
        </w:rPr>
        <w:t>(Druhy a způsoby pojištění, předměty pojištění)</w:t>
      </w:r>
      <w:r w:rsidR="00731202" w:rsidRPr="00731202">
        <w:rPr>
          <w:rFonts w:ascii="Koop Office" w:hAnsi="Koop Office"/>
          <w:sz w:val="20"/>
          <w:szCs w:val="20"/>
        </w:rPr>
        <w:t xml:space="preserve">, </w:t>
      </w:r>
      <w:r w:rsidR="00ED2B9A" w:rsidRPr="00731202">
        <w:rPr>
          <w:rFonts w:ascii="Koop Office" w:hAnsi="Koop Office"/>
          <w:sz w:val="20"/>
          <w:szCs w:val="20"/>
        </w:rPr>
        <w:t xml:space="preserve">bodě </w:t>
      </w:r>
      <w:r w:rsidR="00896C58" w:rsidRPr="00731202">
        <w:rPr>
          <w:rFonts w:ascii="Koop Office" w:hAnsi="Koop Office"/>
          <w:sz w:val="20"/>
          <w:szCs w:val="20"/>
        </w:rPr>
        <w:t>2</w:t>
      </w:r>
      <w:r w:rsidR="00ED2B9A" w:rsidRPr="00731202">
        <w:rPr>
          <w:rFonts w:ascii="Koop Office" w:hAnsi="Koop Office"/>
          <w:sz w:val="20"/>
          <w:szCs w:val="20"/>
        </w:rPr>
        <w:t>.</w:t>
      </w:r>
      <w:r w:rsidR="00731202" w:rsidRPr="00731202">
        <w:rPr>
          <w:rFonts w:ascii="Koop Office" w:hAnsi="Koop Office"/>
          <w:sz w:val="20"/>
          <w:szCs w:val="20"/>
        </w:rPr>
        <w:t xml:space="preserve">, </w:t>
      </w:r>
      <w:r w:rsidR="00ED2B9A" w:rsidRPr="00731202">
        <w:rPr>
          <w:rFonts w:ascii="Koop Office" w:hAnsi="Koop Office"/>
          <w:sz w:val="20"/>
          <w:szCs w:val="20"/>
        </w:rPr>
        <w:t xml:space="preserve">tabulce </w:t>
      </w:r>
      <w:r w:rsidR="00896C58" w:rsidRPr="00731202">
        <w:rPr>
          <w:rFonts w:ascii="Koop Office" w:hAnsi="Koop Office"/>
          <w:sz w:val="20"/>
          <w:szCs w:val="20"/>
        </w:rPr>
        <w:t>2.2</w:t>
      </w:r>
      <w:r w:rsidR="00ED2B9A" w:rsidRPr="00731202">
        <w:rPr>
          <w:rFonts w:ascii="Koop Office" w:hAnsi="Koop Office"/>
          <w:bCs/>
          <w:sz w:val="20"/>
          <w:szCs w:val="20"/>
        </w:rPr>
        <w:t>.</w:t>
      </w:r>
      <w:r w:rsidR="00896C58" w:rsidRPr="00731202">
        <w:rPr>
          <w:rFonts w:ascii="Koop Office" w:hAnsi="Koop Office"/>
          <w:bCs/>
          <w:sz w:val="20"/>
          <w:szCs w:val="20"/>
        </w:rPr>
        <w:t>1</w:t>
      </w:r>
      <w:r w:rsidR="00ED2B9A" w:rsidRPr="00731202">
        <w:rPr>
          <w:rFonts w:ascii="Koop Office" w:hAnsi="Koop Office"/>
          <w:bCs/>
          <w:sz w:val="20"/>
          <w:szCs w:val="20"/>
        </w:rPr>
        <w:t>.</w:t>
      </w:r>
      <w:r w:rsidR="00ED2B9A" w:rsidRPr="00731202">
        <w:rPr>
          <w:rFonts w:ascii="Koop Office" w:hAnsi="Koop Office"/>
          <w:sz w:val="20"/>
          <w:szCs w:val="20"/>
        </w:rPr>
        <w:t xml:space="preserve"> </w:t>
      </w:r>
      <w:r w:rsidR="00896C58" w:rsidRPr="00731202">
        <w:rPr>
          <w:rFonts w:ascii="Koop Office" w:hAnsi="Koop Office"/>
          <w:sz w:val="20"/>
          <w:szCs w:val="20"/>
        </w:rPr>
        <w:t>Živelní pojištění</w:t>
      </w:r>
      <w:r w:rsidR="00ED2B9A" w:rsidRPr="00731202">
        <w:rPr>
          <w:rFonts w:ascii="Koop Office" w:hAnsi="Koop Office"/>
          <w:sz w:val="20"/>
          <w:szCs w:val="20"/>
        </w:rPr>
        <w:t xml:space="preserve"> </w:t>
      </w:r>
      <w:r w:rsidR="00ED2B9A" w:rsidRPr="0003546D">
        <w:rPr>
          <w:rFonts w:ascii="Koop Office" w:hAnsi="Koop Office"/>
          <w:sz w:val="20"/>
          <w:szCs w:val="20"/>
        </w:rPr>
        <w:t xml:space="preserve">se </w:t>
      </w:r>
      <w:r w:rsidR="00C27AED" w:rsidRPr="0003546D">
        <w:rPr>
          <w:rFonts w:ascii="Koop Office" w:hAnsi="Koop Office"/>
          <w:sz w:val="20"/>
          <w:szCs w:val="20"/>
        </w:rPr>
        <w:t xml:space="preserve">sjednává </w:t>
      </w:r>
      <w:r w:rsidR="009A72E2">
        <w:rPr>
          <w:rFonts w:ascii="Koop Office" w:hAnsi="Koop Office"/>
          <w:sz w:val="20"/>
          <w:szCs w:val="20"/>
        </w:rPr>
        <w:t xml:space="preserve">nové pojištění </w:t>
      </w:r>
      <w:r w:rsidR="00C27AED" w:rsidRPr="0003546D">
        <w:rPr>
          <w:rFonts w:ascii="Koop Office" w:hAnsi="Koop Office"/>
          <w:sz w:val="20"/>
          <w:szCs w:val="20"/>
        </w:rPr>
        <w:t xml:space="preserve">pod </w:t>
      </w:r>
      <w:proofErr w:type="spellStart"/>
      <w:r w:rsidR="00C27AED" w:rsidRPr="0003546D">
        <w:rPr>
          <w:rFonts w:ascii="Koop Office" w:hAnsi="Koop Office"/>
          <w:sz w:val="20"/>
          <w:szCs w:val="20"/>
        </w:rPr>
        <w:t>po</w:t>
      </w:r>
      <w:r w:rsidR="00ED2B9A" w:rsidRPr="0003546D">
        <w:rPr>
          <w:rFonts w:ascii="Koop Office" w:hAnsi="Koop Office"/>
          <w:sz w:val="20"/>
          <w:szCs w:val="20"/>
        </w:rPr>
        <w:t>ř</w:t>
      </w:r>
      <w:proofErr w:type="spellEnd"/>
      <w:r w:rsidR="00ED2B9A" w:rsidRPr="0003546D">
        <w:rPr>
          <w:rFonts w:ascii="Koop Office" w:hAnsi="Koop Office"/>
          <w:sz w:val="20"/>
          <w:szCs w:val="20"/>
        </w:rPr>
        <w:t>. č</w:t>
      </w:r>
      <w:r w:rsidR="00C27AED" w:rsidRPr="0003546D">
        <w:rPr>
          <w:rFonts w:ascii="Koop Office" w:hAnsi="Koop Office"/>
          <w:sz w:val="20"/>
          <w:szCs w:val="20"/>
        </w:rPr>
        <w:t>íslem</w:t>
      </w:r>
      <w:r w:rsidR="00ED2B9A" w:rsidRPr="0003546D">
        <w:rPr>
          <w:rFonts w:ascii="Koop Office" w:hAnsi="Koop Office"/>
          <w:sz w:val="20"/>
          <w:szCs w:val="20"/>
        </w:rPr>
        <w:t xml:space="preserve"> </w:t>
      </w:r>
      <w:r w:rsidR="00C27AED" w:rsidRPr="0003546D">
        <w:rPr>
          <w:rFonts w:ascii="Koop Office" w:hAnsi="Koop Office"/>
          <w:sz w:val="20"/>
          <w:szCs w:val="20"/>
        </w:rPr>
        <w:t>25</w:t>
      </w:r>
      <w:r w:rsidR="00731202" w:rsidRPr="0003546D">
        <w:rPr>
          <w:rFonts w:ascii="Koop Office" w:hAnsi="Koop Office"/>
          <w:sz w:val="20"/>
          <w:szCs w:val="20"/>
        </w:rPr>
        <w:t xml:space="preserve"> </w:t>
      </w:r>
      <w:r w:rsidR="00C27AED" w:rsidRPr="0003546D">
        <w:rPr>
          <w:rFonts w:ascii="Koop Office" w:hAnsi="Koop Office"/>
          <w:sz w:val="20"/>
          <w:szCs w:val="20"/>
        </w:rPr>
        <w:t xml:space="preserve">pojištění následovně: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560"/>
        <w:gridCol w:w="1706"/>
        <w:gridCol w:w="1837"/>
        <w:gridCol w:w="1493"/>
        <w:gridCol w:w="1230"/>
        <w:gridCol w:w="1198"/>
      </w:tblGrid>
      <w:tr w:rsidR="0003546D" w:rsidRPr="00972291" w:rsidTr="00C61625">
        <w:trPr>
          <w:cantSplit/>
          <w:trHeight w:val="285"/>
        </w:trPr>
        <w:tc>
          <w:tcPr>
            <w:tcW w:w="9661" w:type="dxa"/>
            <w:gridSpan w:val="7"/>
            <w:vAlign w:val="center"/>
          </w:tcPr>
          <w:p w:rsidR="0003546D" w:rsidRPr="00972291" w:rsidRDefault="0003546D" w:rsidP="0003546D">
            <w:pPr>
              <w:pStyle w:val="Zkladntext3"/>
              <w:widowControl w:val="0"/>
              <w:spacing w:after="0"/>
              <w:rPr>
                <w:rFonts w:ascii="Koop Office" w:hAnsi="Koop Office" w:cs="Arial"/>
                <w:color w:val="000000"/>
                <w:sz w:val="20"/>
                <w:szCs w:val="20"/>
              </w:rPr>
            </w:pPr>
            <w:r w:rsidRPr="00972291">
              <w:rPr>
                <w:rFonts w:ascii="Koop Office" w:hAnsi="Koop Office" w:cs="Arial"/>
                <w:color w:val="000000"/>
                <w:sz w:val="20"/>
                <w:szCs w:val="20"/>
              </w:rPr>
              <w:t xml:space="preserve">Místo pojištění: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 </w:t>
            </w:r>
          </w:p>
        </w:tc>
      </w:tr>
      <w:tr w:rsidR="0003546D" w:rsidRPr="00972291" w:rsidTr="00C61625">
        <w:trPr>
          <w:cantSplit/>
          <w:trHeight w:val="330"/>
        </w:trPr>
        <w:tc>
          <w:tcPr>
            <w:tcW w:w="9661" w:type="dxa"/>
            <w:gridSpan w:val="7"/>
            <w:vAlign w:val="center"/>
          </w:tcPr>
          <w:p w:rsidR="0003546D" w:rsidRPr="00B56DB6" w:rsidRDefault="0003546D" w:rsidP="00A32A8B">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p>
        </w:tc>
      </w:tr>
      <w:tr w:rsidR="0003546D" w:rsidRPr="00B56DB6" w:rsidTr="00C61625">
        <w:trPr>
          <w:cantSplit/>
          <w:trHeight w:val="285"/>
        </w:trPr>
        <w:tc>
          <w:tcPr>
            <w:tcW w:w="9661" w:type="dxa"/>
            <w:gridSpan w:val="7"/>
            <w:vAlign w:val="center"/>
          </w:tcPr>
          <w:p w:rsidR="0003546D" w:rsidRPr="00D70D99" w:rsidRDefault="0003546D" w:rsidP="0003546D">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w:t>
            </w:r>
            <w:r w:rsidRPr="00B56DB6">
              <w:rPr>
                <w:rFonts w:cs="Arial"/>
                <w:b/>
                <w:sz w:val="20"/>
                <w:szCs w:val="20"/>
              </w:rPr>
              <w:t>DOB10</w:t>
            </w:r>
            <w:r>
              <w:rPr>
                <w:rFonts w:cs="Arial"/>
                <w:b/>
                <w:sz w:val="20"/>
                <w:szCs w:val="20"/>
              </w:rPr>
              <w:t xml:space="preserve">7 </w:t>
            </w:r>
          </w:p>
        </w:tc>
      </w:tr>
      <w:tr w:rsidR="0003546D" w:rsidRPr="00A62170" w:rsidTr="00C61625">
        <w:trPr>
          <w:cantSplit/>
        </w:trPr>
        <w:tc>
          <w:tcPr>
            <w:tcW w:w="637" w:type="dxa"/>
            <w:tcBorders>
              <w:bottom w:val="single" w:sz="18" w:space="0" w:color="auto"/>
              <w:right w:val="single" w:sz="4" w:space="0" w:color="auto"/>
            </w:tcBorders>
            <w:vAlign w:val="center"/>
          </w:tcPr>
          <w:p w:rsidR="0003546D" w:rsidRPr="0003546D" w:rsidRDefault="0003546D" w:rsidP="00A32A8B">
            <w:pPr>
              <w:widowControl w:val="0"/>
              <w:jc w:val="center"/>
              <w:rPr>
                <w:rFonts w:cs="Arial"/>
                <w:b/>
                <w:color w:val="000000"/>
                <w:sz w:val="20"/>
              </w:rPr>
            </w:pPr>
            <w:proofErr w:type="spellStart"/>
            <w:r w:rsidRPr="0003546D">
              <w:rPr>
                <w:rFonts w:cs="Arial"/>
                <w:b/>
                <w:color w:val="000000"/>
                <w:sz w:val="20"/>
              </w:rPr>
              <w:t>Poř</w:t>
            </w:r>
            <w:proofErr w:type="spellEnd"/>
            <w:r w:rsidRPr="0003546D">
              <w:rPr>
                <w:rFonts w:cs="Arial"/>
                <w:b/>
                <w:color w:val="000000"/>
                <w:sz w:val="20"/>
              </w:rPr>
              <w:t>. číslo</w:t>
            </w:r>
          </w:p>
        </w:tc>
        <w:tc>
          <w:tcPr>
            <w:tcW w:w="1560" w:type="dxa"/>
            <w:tcBorders>
              <w:left w:val="single" w:sz="4" w:space="0" w:color="auto"/>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rFonts w:cs="Arial"/>
                <w:b/>
                <w:color w:val="000000"/>
                <w:sz w:val="20"/>
              </w:rPr>
              <w:t>Předmět pojištění</w:t>
            </w:r>
          </w:p>
        </w:tc>
        <w:tc>
          <w:tcPr>
            <w:tcW w:w="1706" w:type="dxa"/>
            <w:tcBorders>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b/>
                <w:sz w:val="20"/>
                <w:szCs w:val="20"/>
              </w:rPr>
              <w:t>Pojistná částka</w:t>
            </w:r>
            <w:r w:rsidRPr="0003546D">
              <w:rPr>
                <w:b/>
                <w:sz w:val="20"/>
                <w:szCs w:val="20"/>
                <w:vertAlign w:val="superscript"/>
              </w:rPr>
              <w:t>10)</w:t>
            </w:r>
          </w:p>
        </w:tc>
        <w:tc>
          <w:tcPr>
            <w:tcW w:w="1837" w:type="dxa"/>
            <w:tcBorders>
              <w:bottom w:val="single" w:sz="18" w:space="0" w:color="auto"/>
            </w:tcBorders>
            <w:vAlign w:val="center"/>
          </w:tcPr>
          <w:p w:rsidR="0003546D" w:rsidRPr="0003546D" w:rsidRDefault="0003546D" w:rsidP="00A32A8B">
            <w:pPr>
              <w:widowControl w:val="0"/>
              <w:jc w:val="center"/>
              <w:rPr>
                <w:rFonts w:cs="Arial"/>
                <w:b/>
                <w:color w:val="000000"/>
                <w:sz w:val="20"/>
              </w:rPr>
            </w:pPr>
            <w:r w:rsidRPr="0003546D">
              <w:rPr>
                <w:rFonts w:cs="Arial"/>
                <w:b/>
                <w:color w:val="000000"/>
                <w:sz w:val="20"/>
              </w:rPr>
              <w:t>Spoluúčast</w:t>
            </w:r>
            <w:r w:rsidRPr="0003546D">
              <w:rPr>
                <w:rFonts w:cs="Arial"/>
                <w:color w:val="000000"/>
                <w:sz w:val="20"/>
                <w:vertAlign w:val="superscript"/>
              </w:rPr>
              <w:t>5)</w:t>
            </w:r>
          </w:p>
        </w:tc>
        <w:tc>
          <w:tcPr>
            <w:tcW w:w="1493" w:type="dxa"/>
            <w:tcBorders>
              <w:bottom w:val="single" w:sz="18" w:space="0" w:color="auto"/>
            </w:tcBorders>
            <w:vAlign w:val="center"/>
          </w:tcPr>
          <w:p w:rsidR="0003546D" w:rsidRPr="0003546D" w:rsidRDefault="0003546D" w:rsidP="00A32A8B">
            <w:pPr>
              <w:widowControl w:val="0"/>
              <w:jc w:val="center"/>
              <w:rPr>
                <w:rFonts w:cs="Arial"/>
                <w:color w:val="000000"/>
                <w:sz w:val="20"/>
                <w:vertAlign w:val="superscript"/>
              </w:rPr>
            </w:pPr>
            <w:r w:rsidRPr="0003546D">
              <w:rPr>
                <w:b/>
                <w:sz w:val="20"/>
                <w:szCs w:val="20"/>
              </w:rPr>
              <w:t>Pojištění se sjednává na cenu</w:t>
            </w:r>
            <w:r w:rsidRPr="0003546D">
              <w:rPr>
                <w:b/>
                <w:sz w:val="20"/>
                <w:szCs w:val="20"/>
                <w:vertAlign w:val="superscript"/>
              </w:rPr>
              <w:t>*1)</w:t>
            </w:r>
          </w:p>
        </w:tc>
        <w:tc>
          <w:tcPr>
            <w:tcW w:w="1230" w:type="dxa"/>
            <w:tcBorders>
              <w:bottom w:val="single" w:sz="18" w:space="0" w:color="auto"/>
            </w:tcBorders>
            <w:vAlign w:val="center"/>
          </w:tcPr>
          <w:p w:rsidR="0003546D" w:rsidRPr="0003546D" w:rsidRDefault="0003546D" w:rsidP="00A32A8B">
            <w:pPr>
              <w:widowControl w:val="0"/>
              <w:jc w:val="center"/>
              <w:rPr>
                <w:b/>
                <w:sz w:val="20"/>
                <w:szCs w:val="20"/>
                <w:vertAlign w:val="superscript"/>
              </w:rPr>
            </w:pPr>
            <w:r w:rsidRPr="0003546D">
              <w:rPr>
                <w:b/>
                <w:sz w:val="20"/>
                <w:szCs w:val="20"/>
              </w:rPr>
              <w:t>MRLP</w:t>
            </w:r>
            <w:r w:rsidRPr="0003546D">
              <w:rPr>
                <w:b/>
                <w:sz w:val="20"/>
                <w:szCs w:val="20"/>
                <w:vertAlign w:val="superscript"/>
              </w:rPr>
              <w:t xml:space="preserve">3) </w:t>
            </w:r>
          </w:p>
          <w:p w:rsidR="0003546D" w:rsidRPr="0003546D" w:rsidRDefault="0003546D" w:rsidP="00A32A8B">
            <w:pPr>
              <w:widowControl w:val="0"/>
              <w:jc w:val="center"/>
              <w:rPr>
                <w:rFonts w:cs="Arial"/>
                <w:b/>
                <w:color w:val="000000"/>
                <w:sz w:val="20"/>
                <w:vertAlign w:val="superscript"/>
              </w:rPr>
            </w:pPr>
            <w:r w:rsidRPr="0003546D">
              <w:rPr>
                <w:b/>
                <w:sz w:val="20"/>
                <w:szCs w:val="20"/>
              </w:rPr>
              <w:t>První riziko</w:t>
            </w:r>
            <w:r w:rsidRPr="0003546D">
              <w:rPr>
                <w:b/>
                <w:sz w:val="20"/>
                <w:szCs w:val="20"/>
                <w:vertAlign w:val="superscript"/>
              </w:rPr>
              <w:t>2)</w:t>
            </w:r>
          </w:p>
        </w:tc>
        <w:tc>
          <w:tcPr>
            <w:tcW w:w="1198" w:type="dxa"/>
            <w:tcBorders>
              <w:bottom w:val="single" w:sz="18" w:space="0" w:color="auto"/>
            </w:tcBorders>
            <w:vAlign w:val="center"/>
          </w:tcPr>
          <w:p w:rsidR="0003546D" w:rsidRPr="00A62170" w:rsidRDefault="0003546D" w:rsidP="00A32A8B">
            <w:pPr>
              <w:widowControl w:val="0"/>
              <w:jc w:val="center"/>
              <w:rPr>
                <w:rFonts w:cs="Arial"/>
                <w:bCs/>
                <w:color w:val="000000"/>
                <w:sz w:val="20"/>
              </w:rPr>
            </w:pPr>
            <w:r w:rsidRPr="0003546D">
              <w:rPr>
                <w:b/>
                <w:sz w:val="20"/>
                <w:szCs w:val="20"/>
              </w:rPr>
              <w:t>MRLP</w:t>
            </w:r>
            <w:r w:rsidRPr="0003546D">
              <w:rPr>
                <w:b/>
                <w:sz w:val="20"/>
                <w:szCs w:val="20"/>
                <w:vertAlign w:val="superscript"/>
              </w:rPr>
              <w:t>3)</w:t>
            </w:r>
          </w:p>
        </w:tc>
      </w:tr>
      <w:tr w:rsidR="0003546D" w:rsidRPr="00A62170" w:rsidTr="00C61625">
        <w:trPr>
          <w:cantSplit/>
          <w:trHeight w:val="305"/>
        </w:trPr>
        <w:tc>
          <w:tcPr>
            <w:tcW w:w="637"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25.</w:t>
            </w:r>
          </w:p>
        </w:tc>
        <w:tc>
          <w:tcPr>
            <w:tcW w:w="1560"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236 000 Kč</w:t>
            </w:r>
          </w:p>
        </w:tc>
        <w:tc>
          <w:tcPr>
            <w:tcW w:w="1837" w:type="dxa"/>
            <w:tcBorders>
              <w:top w:val="single" w:sz="6" w:space="0" w:color="auto"/>
              <w:bottom w:val="nil"/>
            </w:tcBorders>
            <w:vAlign w:val="center"/>
          </w:tcPr>
          <w:p w:rsidR="0003546D" w:rsidRPr="0003546D" w:rsidRDefault="0003546D" w:rsidP="0003546D">
            <w:pPr>
              <w:widowControl w:val="0"/>
              <w:jc w:val="center"/>
              <w:rPr>
                <w:rFonts w:cs="Arial"/>
                <w:sz w:val="20"/>
              </w:rPr>
            </w:pPr>
            <w:r>
              <w:rPr>
                <w:rFonts w:cs="Arial"/>
                <w:sz w:val="20"/>
              </w:rPr>
              <w:t>požární nebezpečí 10 000 Kč, povodeň nebo záplava 20 000 Kč, ostatní pojistná nebezpečí 1 000 Kč</w:t>
            </w:r>
          </w:p>
        </w:tc>
        <w:tc>
          <w:tcPr>
            <w:tcW w:w="1493"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03546D" w:rsidRPr="00A62170" w:rsidRDefault="0003546D" w:rsidP="00A32A8B">
            <w:pPr>
              <w:widowControl w:val="0"/>
              <w:jc w:val="center"/>
              <w:rPr>
                <w:rFonts w:cs="Arial"/>
                <w:color w:val="000000"/>
                <w:sz w:val="20"/>
              </w:rPr>
            </w:pPr>
            <w:r>
              <w:rPr>
                <w:rFonts w:cs="Arial"/>
                <w:color w:val="000000"/>
                <w:sz w:val="20"/>
              </w:rPr>
              <w:t>-</w:t>
            </w:r>
          </w:p>
        </w:tc>
        <w:tc>
          <w:tcPr>
            <w:tcW w:w="1198" w:type="dxa"/>
            <w:tcBorders>
              <w:top w:val="single" w:sz="6" w:space="0" w:color="auto"/>
              <w:bottom w:val="nil"/>
            </w:tcBorders>
            <w:vAlign w:val="center"/>
          </w:tcPr>
          <w:p w:rsidR="0003546D" w:rsidRPr="00A62170" w:rsidRDefault="0003546D" w:rsidP="00A32A8B">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w:t>
            </w:r>
          </w:p>
        </w:tc>
      </w:tr>
      <w:tr w:rsidR="0003546D" w:rsidRPr="0008446C" w:rsidTr="00C61625">
        <w:trPr>
          <w:cantSplit/>
          <w:trHeight w:val="295"/>
        </w:trPr>
        <w:tc>
          <w:tcPr>
            <w:tcW w:w="9661" w:type="dxa"/>
            <w:gridSpan w:val="7"/>
            <w:tcBorders>
              <w:top w:val="single" w:sz="4" w:space="0" w:color="auto"/>
              <w:bottom w:val="single" w:sz="4" w:space="0" w:color="auto"/>
              <w:right w:val="single" w:sz="4" w:space="0" w:color="auto"/>
            </w:tcBorders>
            <w:vAlign w:val="center"/>
          </w:tcPr>
          <w:p w:rsidR="0003546D" w:rsidRPr="003447D8" w:rsidRDefault="0003546D" w:rsidP="00A32A8B">
            <w:pPr>
              <w:widowControl w:val="0"/>
              <w:rPr>
                <w:rFonts w:cs="Arial"/>
                <w:color w:val="000000"/>
                <w:sz w:val="20"/>
                <w:szCs w:val="20"/>
              </w:rPr>
            </w:pPr>
            <w:r w:rsidRPr="003447D8">
              <w:rPr>
                <w:rFonts w:cs="Arial"/>
                <w:color w:val="000000"/>
                <w:sz w:val="20"/>
                <w:szCs w:val="20"/>
              </w:rPr>
              <w:t>Poznámky:</w:t>
            </w:r>
          </w:p>
          <w:p w:rsidR="0003546D" w:rsidRPr="0003546D" w:rsidRDefault="0003546D" w:rsidP="0003546D">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Pr>
                <w:b/>
                <w:sz w:val="20"/>
                <w:szCs w:val="20"/>
              </w:rPr>
              <w:t>25</w:t>
            </w:r>
            <w:r w:rsidRPr="003447D8">
              <w:rPr>
                <w:b/>
                <w:sz w:val="20"/>
                <w:szCs w:val="20"/>
              </w:rPr>
              <w:t xml:space="preserve"> – </w:t>
            </w:r>
            <w:r>
              <w:rPr>
                <w:sz w:val="20"/>
                <w:szCs w:val="20"/>
              </w:rPr>
              <w:t xml:space="preserve">Plovoucí molo ukotvené ke břehu na řece Otavě na Podskalí. Ujednání </w:t>
            </w:r>
            <w:proofErr w:type="gramStart"/>
            <w:r>
              <w:rPr>
                <w:sz w:val="20"/>
                <w:szCs w:val="20"/>
              </w:rPr>
              <w:t>viz.</w:t>
            </w:r>
            <w:proofErr w:type="gramEnd"/>
            <w:r>
              <w:rPr>
                <w:sz w:val="20"/>
                <w:szCs w:val="20"/>
              </w:rPr>
              <w:t xml:space="preserve"> Článek V. – Zvláštní ujednání</w:t>
            </w:r>
            <w:r w:rsidRPr="003447D8">
              <w:rPr>
                <w:sz w:val="20"/>
                <w:szCs w:val="20"/>
              </w:rPr>
              <w:t>.</w:t>
            </w:r>
          </w:p>
        </w:tc>
      </w:tr>
    </w:tbl>
    <w:p w:rsidR="0003546D" w:rsidRPr="00731202" w:rsidRDefault="0003546D" w:rsidP="0003546D">
      <w:pPr>
        <w:pStyle w:val="Odstavecseseznamem"/>
        <w:jc w:val="both"/>
        <w:rPr>
          <w:rFonts w:ascii="Koop Office" w:hAnsi="Koop Office"/>
          <w:b/>
          <w:sz w:val="20"/>
          <w:szCs w:val="20"/>
        </w:rPr>
      </w:pPr>
    </w:p>
    <w:p w:rsidR="0003546D" w:rsidRPr="00C039E2" w:rsidRDefault="007F117B" w:rsidP="00C039E2">
      <w:pPr>
        <w:pStyle w:val="Odstavecseseznamem"/>
        <w:numPr>
          <w:ilvl w:val="0"/>
          <w:numId w:val="25"/>
        </w:numPr>
        <w:jc w:val="both"/>
        <w:rPr>
          <w:rFonts w:ascii="Koop Office" w:hAnsi="Koop Office"/>
          <w:sz w:val="20"/>
          <w:szCs w:val="20"/>
        </w:rPr>
      </w:pPr>
      <w:r w:rsidRPr="00C039E2">
        <w:rPr>
          <w:rFonts w:ascii="Koop Office" w:hAnsi="Koop Office"/>
          <w:sz w:val="20"/>
          <w:szCs w:val="20"/>
        </w:rPr>
        <w:t>V Oddílu A - pojištění majetku, odpovědnosti a lesních porostů – 7720937511,   v článku</w:t>
      </w:r>
      <w:r w:rsidR="00731202" w:rsidRPr="00C039E2">
        <w:rPr>
          <w:rFonts w:ascii="Koop Office" w:hAnsi="Koop Office"/>
          <w:sz w:val="20"/>
          <w:szCs w:val="20"/>
        </w:rPr>
        <w:t xml:space="preserve"> II. (Druhy a způsoby pojištění, předměty pojištění), bodě 2., tab</w:t>
      </w:r>
      <w:r w:rsidR="005B07B2" w:rsidRPr="00C039E2">
        <w:rPr>
          <w:rFonts w:ascii="Koop Office" w:hAnsi="Koop Office"/>
          <w:sz w:val="20"/>
          <w:szCs w:val="20"/>
        </w:rPr>
        <w:t>ulce 2.3.1 Pojištění pro případ odcizení</w:t>
      </w:r>
      <w:r w:rsidR="0003546D" w:rsidRPr="00C039E2">
        <w:rPr>
          <w:rFonts w:ascii="Koop Office" w:hAnsi="Koop Office"/>
          <w:sz w:val="20"/>
          <w:szCs w:val="20"/>
        </w:rPr>
        <w:t xml:space="preserve"> se sjednává </w:t>
      </w:r>
      <w:r w:rsidR="009A72E2">
        <w:rPr>
          <w:rFonts w:ascii="Koop Office" w:hAnsi="Koop Office"/>
          <w:sz w:val="20"/>
          <w:szCs w:val="20"/>
        </w:rPr>
        <w:t xml:space="preserve">nové pojištění </w:t>
      </w:r>
      <w:r w:rsidR="0003546D" w:rsidRPr="00C039E2">
        <w:rPr>
          <w:rFonts w:ascii="Koop Office" w:hAnsi="Koop Office"/>
          <w:sz w:val="20"/>
          <w:szCs w:val="20"/>
        </w:rPr>
        <w:t xml:space="preserve">pod </w:t>
      </w:r>
      <w:proofErr w:type="spellStart"/>
      <w:r w:rsidR="0003546D" w:rsidRPr="00C039E2">
        <w:rPr>
          <w:rFonts w:ascii="Koop Office" w:hAnsi="Koop Office"/>
          <w:sz w:val="20"/>
          <w:szCs w:val="20"/>
        </w:rPr>
        <w:t>poř</w:t>
      </w:r>
      <w:proofErr w:type="spellEnd"/>
      <w:r w:rsidR="0003546D" w:rsidRPr="00C039E2">
        <w:rPr>
          <w:rFonts w:ascii="Koop Office" w:hAnsi="Koop Office"/>
          <w:sz w:val="20"/>
          <w:szCs w:val="20"/>
        </w:rPr>
        <w:t xml:space="preserve">. číslem </w:t>
      </w:r>
      <w:r w:rsidR="00C039E2">
        <w:rPr>
          <w:rFonts w:ascii="Koop Office" w:hAnsi="Koop Office"/>
          <w:sz w:val="20"/>
          <w:szCs w:val="20"/>
        </w:rPr>
        <w:t>26</w:t>
      </w:r>
      <w:r w:rsidR="0003546D" w:rsidRPr="00C039E2">
        <w:rPr>
          <w:rFonts w:ascii="Koop Office" w:hAnsi="Koop Office"/>
          <w:sz w:val="20"/>
          <w:szCs w:val="20"/>
        </w:rPr>
        <w:t xml:space="preserve"> pojištění následovně: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79"/>
      </w:tblGrid>
      <w:tr w:rsidR="00C039E2" w:rsidRPr="007719BE" w:rsidTr="00A32A8B">
        <w:trPr>
          <w:cantSplit/>
          <w:trHeight w:val="285"/>
        </w:trPr>
        <w:tc>
          <w:tcPr>
            <w:tcW w:w="9709" w:type="dxa"/>
            <w:gridSpan w:val="7"/>
            <w:vAlign w:val="center"/>
          </w:tcPr>
          <w:p w:rsidR="00C039E2" w:rsidRPr="007719BE" w:rsidRDefault="00C039E2" w:rsidP="00A32A8B">
            <w:pPr>
              <w:pStyle w:val="Zkladntext3"/>
              <w:widowControl w:val="0"/>
              <w:spacing w:after="0"/>
              <w:rPr>
                <w:rFonts w:ascii="Koop Office" w:hAnsi="Koop Office" w:cs="Arial"/>
                <w:b/>
                <w:color w:val="000000"/>
                <w:sz w:val="20"/>
                <w:szCs w:val="20"/>
              </w:rPr>
            </w:pPr>
            <w:r w:rsidRPr="007719BE">
              <w:rPr>
                <w:rFonts w:ascii="Koop Office" w:hAnsi="Koop Office" w:cs="Arial"/>
                <w:color w:val="000000"/>
                <w:sz w:val="20"/>
                <w:szCs w:val="20"/>
              </w:rPr>
              <w:t>Místo pojištění:</w:t>
            </w:r>
            <w:r w:rsidRPr="007719BE">
              <w:rPr>
                <w:rFonts w:ascii="Koop Office" w:hAnsi="Koop Office" w:cs="Arial"/>
                <w:b/>
                <w:color w:val="000000"/>
                <w:sz w:val="20"/>
                <w:szCs w:val="20"/>
              </w:rPr>
              <w:t xml:space="preserve">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w:t>
            </w:r>
          </w:p>
        </w:tc>
      </w:tr>
      <w:tr w:rsidR="00C039E2" w:rsidRPr="007719BE" w:rsidTr="00A32A8B">
        <w:trPr>
          <w:cantSplit/>
          <w:trHeight w:val="330"/>
        </w:trPr>
        <w:tc>
          <w:tcPr>
            <w:tcW w:w="9709" w:type="dxa"/>
            <w:gridSpan w:val="7"/>
            <w:vAlign w:val="center"/>
          </w:tcPr>
          <w:p w:rsidR="00C039E2" w:rsidRPr="007719BE" w:rsidRDefault="00C039E2" w:rsidP="00A32A8B">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Rozsah pojištění: </w:t>
            </w:r>
            <w:r w:rsidRPr="007719BE">
              <w:rPr>
                <w:rFonts w:ascii="Koop Office" w:hAnsi="Koop Office"/>
                <w:b/>
                <w:sz w:val="20"/>
                <w:szCs w:val="20"/>
              </w:rPr>
              <w:t>pojištění pro případ odcizení (s výjimkou loupeže přepravovaných peněz nebo cenin)</w:t>
            </w:r>
          </w:p>
        </w:tc>
      </w:tr>
      <w:tr w:rsidR="00C039E2" w:rsidRPr="007719BE" w:rsidTr="00A32A8B">
        <w:trPr>
          <w:cantSplit/>
          <w:trHeight w:val="285"/>
        </w:trPr>
        <w:tc>
          <w:tcPr>
            <w:tcW w:w="9709" w:type="dxa"/>
            <w:gridSpan w:val="7"/>
            <w:vAlign w:val="center"/>
          </w:tcPr>
          <w:p w:rsidR="00C039E2" w:rsidRPr="007719BE" w:rsidRDefault="00C039E2" w:rsidP="00C039E2">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Pojištění se řídí: </w:t>
            </w:r>
            <w:r w:rsidRPr="007719BE">
              <w:rPr>
                <w:rFonts w:ascii="Koop Office" w:hAnsi="Koop Office"/>
                <w:b/>
                <w:sz w:val="20"/>
                <w:szCs w:val="20"/>
              </w:rPr>
              <w:t xml:space="preserve">VPP P-100/14, ZPP P-200/14 </w:t>
            </w:r>
            <w:r w:rsidRPr="007719BE">
              <w:rPr>
                <w:rFonts w:ascii="Koop Office" w:hAnsi="Koop Office"/>
                <w:sz w:val="20"/>
                <w:szCs w:val="20"/>
              </w:rPr>
              <w:t>a doložkami</w:t>
            </w:r>
            <w:r w:rsidRPr="007719BE">
              <w:rPr>
                <w:rFonts w:ascii="Koop Office" w:hAnsi="Koop Office"/>
                <w:b/>
                <w:sz w:val="20"/>
                <w:szCs w:val="20"/>
              </w:rPr>
              <w:t xml:space="preserve"> DOB101, DOB103, DOZ101, DOZ105</w:t>
            </w:r>
          </w:p>
        </w:tc>
      </w:tr>
      <w:tr w:rsidR="00C039E2" w:rsidRPr="00A62170" w:rsidTr="00A32A8B">
        <w:trPr>
          <w:cantSplit/>
        </w:trPr>
        <w:tc>
          <w:tcPr>
            <w:tcW w:w="637" w:type="dxa"/>
            <w:tcBorders>
              <w:bottom w:val="single" w:sz="18" w:space="0" w:color="auto"/>
              <w:right w:val="single" w:sz="4" w:space="0" w:color="auto"/>
            </w:tcBorders>
            <w:vAlign w:val="center"/>
          </w:tcPr>
          <w:p w:rsidR="00C039E2" w:rsidRPr="00C039E2" w:rsidRDefault="00C039E2" w:rsidP="00A32A8B">
            <w:pPr>
              <w:widowControl w:val="0"/>
              <w:jc w:val="center"/>
              <w:rPr>
                <w:rFonts w:cs="Arial"/>
                <w:b/>
                <w:color w:val="000000"/>
                <w:sz w:val="20"/>
              </w:rPr>
            </w:pPr>
            <w:proofErr w:type="spellStart"/>
            <w:r w:rsidRPr="00C039E2">
              <w:rPr>
                <w:rFonts w:cs="Arial"/>
                <w:b/>
                <w:color w:val="000000"/>
                <w:sz w:val="20"/>
              </w:rPr>
              <w:t>Poř</w:t>
            </w:r>
            <w:proofErr w:type="spellEnd"/>
            <w:r w:rsidRPr="00C039E2">
              <w:rPr>
                <w:rFonts w:cs="Arial"/>
                <w:b/>
                <w:color w:val="000000"/>
                <w:sz w:val="20"/>
              </w:rPr>
              <w:t>. číslo</w:t>
            </w:r>
          </w:p>
        </w:tc>
        <w:tc>
          <w:tcPr>
            <w:tcW w:w="2127" w:type="dxa"/>
            <w:tcBorders>
              <w:left w:val="single" w:sz="4" w:space="0" w:color="auto"/>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rFonts w:cs="Arial"/>
                <w:b/>
                <w:color w:val="000000"/>
                <w:sz w:val="20"/>
              </w:rPr>
              <w:t>Předmět pojištění</w:t>
            </w:r>
          </w:p>
        </w:tc>
        <w:tc>
          <w:tcPr>
            <w:tcW w:w="1706" w:type="dxa"/>
            <w:tcBorders>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b/>
                <w:sz w:val="20"/>
                <w:szCs w:val="20"/>
              </w:rPr>
              <w:t>Pojistná částka</w:t>
            </w:r>
            <w:r w:rsidRPr="00C039E2">
              <w:rPr>
                <w:b/>
                <w:sz w:val="20"/>
                <w:szCs w:val="20"/>
                <w:vertAlign w:val="superscript"/>
              </w:rPr>
              <w:t>10)</w:t>
            </w:r>
          </w:p>
        </w:tc>
        <w:tc>
          <w:tcPr>
            <w:tcW w:w="1337" w:type="dxa"/>
            <w:tcBorders>
              <w:bottom w:val="single" w:sz="18" w:space="0" w:color="auto"/>
            </w:tcBorders>
            <w:vAlign w:val="center"/>
          </w:tcPr>
          <w:p w:rsidR="00C039E2" w:rsidRPr="00C039E2" w:rsidRDefault="00C039E2" w:rsidP="00A32A8B">
            <w:pPr>
              <w:widowControl w:val="0"/>
              <w:jc w:val="center"/>
              <w:rPr>
                <w:rFonts w:cs="Arial"/>
                <w:b/>
                <w:color w:val="000000"/>
                <w:sz w:val="20"/>
              </w:rPr>
            </w:pPr>
            <w:r w:rsidRPr="00C039E2">
              <w:rPr>
                <w:rFonts w:cs="Arial"/>
                <w:b/>
                <w:color w:val="000000"/>
                <w:sz w:val="20"/>
              </w:rPr>
              <w:t>Spoluúčast</w:t>
            </w:r>
            <w:r w:rsidRPr="00C039E2">
              <w:rPr>
                <w:rFonts w:cs="Arial"/>
                <w:b/>
                <w:color w:val="000000"/>
                <w:sz w:val="20"/>
                <w:vertAlign w:val="superscript"/>
              </w:rPr>
              <w:t>5)</w:t>
            </w:r>
          </w:p>
        </w:tc>
        <w:tc>
          <w:tcPr>
            <w:tcW w:w="1493" w:type="dxa"/>
            <w:tcBorders>
              <w:bottom w:val="single" w:sz="18" w:space="0" w:color="auto"/>
            </w:tcBorders>
            <w:vAlign w:val="center"/>
          </w:tcPr>
          <w:p w:rsidR="00C039E2" w:rsidRPr="00C039E2" w:rsidRDefault="00C039E2" w:rsidP="00A32A8B">
            <w:pPr>
              <w:widowControl w:val="0"/>
              <w:jc w:val="center"/>
              <w:rPr>
                <w:rFonts w:cs="Arial"/>
                <w:color w:val="000000"/>
                <w:sz w:val="20"/>
                <w:vertAlign w:val="superscript"/>
              </w:rPr>
            </w:pPr>
            <w:r w:rsidRPr="00C039E2">
              <w:rPr>
                <w:b/>
                <w:sz w:val="20"/>
                <w:szCs w:val="20"/>
              </w:rPr>
              <w:t>Pojištění se sjednává na cenu</w:t>
            </w:r>
            <w:r w:rsidRPr="00C039E2">
              <w:rPr>
                <w:b/>
                <w:sz w:val="20"/>
                <w:szCs w:val="20"/>
                <w:vertAlign w:val="superscript"/>
              </w:rPr>
              <w:t>*1)</w:t>
            </w:r>
          </w:p>
        </w:tc>
        <w:tc>
          <w:tcPr>
            <w:tcW w:w="1230" w:type="dxa"/>
            <w:tcBorders>
              <w:bottom w:val="single" w:sz="18" w:space="0" w:color="auto"/>
            </w:tcBorders>
            <w:vAlign w:val="center"/>
          </w:tcPr>
          <w:p w:rsidR="00C039E2" w:rsidRPr="00C039E2" w:rsidRDefault="00C039E2" w:rsidP="00A32A8B">
            <w:pPr>
              <w:widowControl w:val="0"/>
              <w:jc w:val="center"/>
              <w:rPr>
                <w:b/>
                <w:sz w:val="20"/>
                <w:szCs w:val="20"/>
              </w:rPr>
            </w:pPr>
            <w:r w:rsidRPr="00C039E2">
              <w:rPr>
                <w:b/>
                <w:sz w:val="20"/>
                <w:szCs w:val="20"/>
              </w:rPr>
              <w:t>MRLP</w:t>
            </w:r>
            <w:r w:rsidRPr="00C039E2">
              <w:rPr>
                <w:b/>
                <w:sz w:val="20"/>
                <w:szCs w:val="20"/>
                <w:vertAlign w:val="superscript"/>
              </w:rPr>
              <w:t>3)</w:t>
            </w:r>
            <w:r w:rsidRPr="00C039E2">
              <w:rPr>
                <w:b/>
                <w:sz w:val="20"/>
                <w:szCs w:val="20"/>
              </w:rPr>
              <w:t xml:space="preserve"> </w:t>
            </w:r>
          </w:p>
          <w:p w:rsidR="00C039E2" w:rsidRPr="00C039E2" w:rsidRDefault="00C039E2" w:rsidP="00A32A8B">
            <w:pPr>
              <w:widowControl w:val="0"/>
              <w:jc w:val="center"/>
              <w:rPr>
                <w:rFonts w:cs="Arial"/>
                <w:b/>
                <w:color w:val="000000"/>
                <w:sz w:val="20"/>
                <w:vertAlign w:val="superscript"/>
              </w:rPr>
            </w:pPr>
            <w:r w:rsidRPr="00C039E2">
              <w:rPr>
                <w:b/>
                <w:sz w:val="20"/>
                <w:szCs w:val="20"/>
              </w:rPr>
              <w:t>První riziko</w:t>
            </w:r>
            <w:r w:rsidRPr="00C039E2">
              <w:rPr>
                <w:b/>
                <w:sz w:val="20"/>
                <w:szCs w:val="20"/>
                <w:vertAlign w:val="superscript"/>
              </w:rPr>
              <w:t>2)</w:t>
            </w:r>
          </w:p>
        </w:tc>
        <w:tc>
          <w:tcPr>
            <w:tcW w:w="1179" w:type="dxa"/>
            <w:tcBorders>
              <w:bottom w:val="single" w:sz="18" w:space="0" w:color="auto"/>
            </w:tcBorders>
            <w:vAlign w:val="center"/>
          </w:tcPr>
          <w:p w:rsidR="00C039E2" w:rsidRPr="00A62170" w:rsidRDefault="00C039E2" w:rsidP="00A32A8B">
            <w:pPr>
              <w:widowControl w:val="0"/>
              <w:jc w:val="center"/>
              <w:rPr>
                <w:rFonts w:cs="Arial"/>
                <w:b/>
                <w:color w:val="000000"/>
                <w:sz w:val="20"/>
              </w:rPr>
            </w:pPr>
            <w:r w:rsidRPr="00C039E2">
              <w:rPr>
                <w:b/>
                <w:sz w:val="20"/>
                <w:szCs w:val="20"/>
              </w:rPr>
              <w:t>MRLP</w:t>
            </w:r>
            <w:r w:rsidRPr="00C039E2">
              <w:rPr>
                <w:b/>
                <w:sz w:val="20"/>
                <w:szCs w:val="20"/>
                <w:vertAlign w:val="superscript"/>
              </w:rPr>
              <w:t>3)</w:t>
            </w:r>
          </w:p>
        </w:tc>
      </w:tr>
      <w:tr w:rsidR="00C039E2" w:rsidRPr="00A62170" w:rsidTr="00A32A8B">
        <w:trPr>
          <w:cantSplit/>
          <w:trHeight w:val="305"/>
        </w:trPr>
        <w:tc>
          <w:tcPr>
            <w:tcW w:w="637"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26.</w:t>
            </w:r>
          </w:p>
        </w:tc>
        <w:tc>
          <w:tcPr>
            <w:tcW w:w="2127"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236 000 Kč</w:t>
            </w:r>
          </w:p>
        </w:tc>
        <w:tc>
          <w:tcPr>
            <w:tcW w:w="1337"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1 000 Kč</w:t>
            </w:r>
          </w:p>
        </w:tc>
        <w:tc>
          <w:tcPr>
            <w:tcW w:w="1493"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w:t>
            </w:r>
          </w:p>
        </w:tc>
        <w:tc>
          <w:tcPr>
            <w:tcW w:w="1179" w:type="dxa"/>
            <w:tcBorders>
              <w:top w:val="single" w:sz="6" w:space="0" w:color="auto"/>
              <w:bottom w:val="nil"/>
            </w:tcBorders>
            <w:vAlign w:val="center"/>
          </w:tcPr>
          <w:p w:rsidR="00C039E2" w:rsidRPr="00A62170" w:rsidRDefault="00C039E2" w:rsidP="00A32A8B">
            <w:pPr>
              <w:widowControl w:val="0"/>
              <w:jc w:val="center"/>
              <w:rPr>
                <w:rFonts w:cs="Arial"/>
                <w:color w:val="000000"/>
                <w:sz w:val="20"/>
              </w:rPr>
            </w:pPr>
            <w:r>
              <w:rPr>
                <w:rFonts w:cs="Arial"/>
                <w:color w:val="000000"/>
                <w:sz w:val="20"/>
              </w:rPr>
              <w:t>-</w:t>
            </w:r>
          </w:p>
        </w:tc>
      </w:tr>
      <w:tr w:rsidR="00C039E2" w:rsidRPr="00FE085E" w:rsidTr="00A32A8B">
        <w:trPr>
          <w:cantSplit/>
          <w:trHeight w:val="295"/>
        </w:trPr>
        <w:tc>
          <w:tcPr>
            <w:tcW w:w="9709" w:type="dxa"/>
            <w:gridSpan w:val="7"/>
            <w:tcBorders>
              <w:top w:val="single" w:sz="4" w:space="0" w:color="auto"/>
              <w:bottom w:val="single" w:sz="4" w:space="0" w:color="auto"/>
              <w:right w:val="single" w:sz="4" w:space="0" w:color="auto"/>
            </w:tcBorders>
            <w:vAlign w:val="center"/>
          </w:tcPr>
          <w:p w:rsidR="00C039E2" w:rsidRPr="003447D8" w:rsidRDefault="00C039E2" w:rsidP="00A32A8B">
            <w:pPr>
              <w:widowControl w:val="0"/>
              <w:rPr>
                <w:rFonts w:cs="Arial"/>
                <w:color w:val="000000"/>
                <w:sz w:val="20"/>
                <w:szCs w:val="20"/>
              </w:rPr>
            </w:pPr>
            <w:r w:rsidRPr="003447D8">
              <w:rPr>
                <w:rFonts w:cs="Arial"/>
                <w:color w:val="000000"/>
                <w:sz w:val="20"/>
                <w:szCs w:val="20"/>
              </w:rPr>
              <w:t>Poznámky:</w:t>
            </w:r>
          </w:p>
          <w:p w:rsidR="00C039E2" w:rsidRPr="0003546D" w:rsidRDefault="00C039E2" w:rsidP="00C039E2">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Pr>
                <w:b/>
                <w:sz w:val="20"/>
                <w:szCs w:val="20"/>
              </w:rPr>
              <w:t>26</w:t>
            </w:r>
            <w:r w:rsidRPr="003447D8">
              <w:rPr>
                <w:b/>
                <w:sz w:val="20"/>
                <w:szCs w:val="20"/>
              </w:rPr>
              <w:t xml:space="preserve"> – </w:t>
            </w:r>
            <w:r>
              <w:rPr>
                <w:sz w:val="20"/>
                <w:szCs w:val="20"/>
              </w:rPr>
              <w:t xml:space="preserve">Plovoucí molo ukotvené ke břehu na řece Otavě na Podskalí. Ujednání </w:t>
            </w:r>
            <w:proofErr w:type="gramStart"/>
            <w:r>
              <w:rPr>
                <w:sz w:val="20"/>
                <w:szCs w:val="20"/>
              </w:rPr>
              <w:t>viz.</w:t>
            </w:r>
            <w:proofErr w:type="gramEnd"/>
            <w:r>
              <w:rPr>
                <w:sz w:val="20"/>
                <w:szCs w:val="20"/>
              </w:rPr>
              <w:t xml:space="preserve"> Článek V. – Zvláštní ujednání</w:t>
            </w:r>
            <w:r w:rsidRPr="003447D8">
              <w:rPr>
                <w:sz w:val="20"/>
                <w:szCs w:val="20"/>
              </w:rPr>
              <w:t>.</w:t>
            </w:r>
          </w:p>
        </w:tc>
      </w:tr>
    </w:tbl>
    <w:p w:rsidR="00020A55" w:rsidRPr="00731202" w:rsidRDefault="00020A55" w:rsidP="00020A55">
      <w:pPr>
        <w:pStyle w:val="Odstavecseseznamem"/>
        <w:jc w:val="both"/>
        <w:rPr>
          <w:rFonts w:ascii="Koop Office" w:hAnsi="Koop Office"/>
          <w:b/>
          <w:sz w:val="20"/>
          <w:szCs w:val="20"/>
        </w:rPr>
      </w:pPr>
    </w:p>
    <w:p w:rsidR="00020A55" w:rsidRPr="00020A55" w:rsidRDefault="00020A55" w:rsidP="004F466F">
      <w:pPr>
        <w:pStyle w:val="Odstavecseseznamem"/>
        <w:widowControl w:val="0"/>
        <w:numPr>
          <w:ilvl w:val="0"/>
          <w:numId w:val="25"/>
        </w:numPr>
        <w:jc w:val="both"/>
        <w:rPr>
          <w:rFonts w:ascii="Koop Office" w:hAnsi="Koop Office"/>
          <w:sz w:val="20"/>
          <w:szCs w:val="20"/>
        </w:rPr>
      </w:pPr>
      <w:r w:rsidRPr="00020A55">
        <w:rPr>
          <w:rFonts w:ascii="Koop Office" w:hAnsi="Koop Office"/>
          <w:sz w:val="20"/>
          <w:szCs w:val="20"/>
        </w:rPr>
        <w:t>V Oddílu A - pojištění majetku, odpovědnosti a lesních porostů – 7720937511,   v článku II. (Druhy a způsoby pojištění, předměty pojištění), bodě 2., tabulce 2</w:t>
      </w:r>
      <w:r>
        <w:rPr>
          <w:rFonts w:ascii="Koop Office" w:hAnsi="Koop Office"/>
          <w:sz w:val="20"/>
          <w:szCs w:val="20"/>
        </w:rPr>
        <w:t>.4</w:t>
      </w:r>
      <w:r w:rsidRPr="00020A55">
        <w:rPr>
          <w:rFonts w:ascii="Koop Office" w:hAnsi="Koop Office"/>
          <w:sz w:val="20"/>
          <w:szCs w:val="20"/>
        </w:rPr>
        <w:t xml:space="preserve">.1 Pojištění pro případ </w:t>
      </w:r>
      <w:r w:rsidR="005C6803">
        <w:rPr>
          <w:rFonts w:ascii="Koop Office" w:hAnsi="Koop Office"/>
          <w:sz w:val="20"/>
          <w:szCs w:val="20"/>
        </w:rPr>
        <w:t>vandalismu</w:t>
      </w:r>
      <w:r w:rsidRPr="00020A55">
        <w:rPr>
          <w:rFonts w:ascii="Koop Office" w:hAnsi="Koop Office"/>
          <w:sz w:val="20"/>
          <w:szCs w:val="20"/>
        </w:rPr>
        <w:t xml:space="preserve"> se sjednává </w:t>
      </w:r>
      <w:r w:rsidR="009A72E2">
        <w:rPr>
          <w:rFonts w:ascii="Koop Office" w:hAnsi="Koop Office"/>
          <w:sz w:val="20"/>
          <w:szCs w:val="20"/>
        </w:rPr>
        <w:t xml:space="preserve">nové pojištění </w:t>
      </w:r>
      <w:r w:rsidRPr="00020A55">
        <w:rPr>
          <w:rFonts w:ascii="Koop Office" w:hAnsi="Koop Office"/>
          <w:sz w:val="20"/>
          <w:szCs w:val="20"/>
        </w:rPr>
        <w:t xml:space="preserve">pod </w:t>
      </w:r>
      <w:proofErr w:type="spellStart"/>
      <w:r w:rsidRPr="00020A55">
        <w:rPr>
          <w:rFonts w:ascii="Koop Office" w:hAnsi="Koop Office"/>
          <w:sz w:val="20"/>
          <w:szCs w:val="20"/>
        </w:rPr>
        <w:t>poř</w:t>
      </w:r>
      <w:proofErr w:type="spellEnd"/>
      <w:r w:rsidRPr="00020A55">
        <w:rPr>
          <w:rFonts w:ascii="Koop Office" w:hAnsi="Koop Office"/>
          <w:sz w:val="20"/>
          <w:szCs w:val="20"/>
        </w:rPr>
        <w:t xml:space="preserve">. číslem </w:t>
      </w:r>
      <w:r>
        <w:rPr>
          <w:rFonts w:ascii="Koop Office" w:hAnsi="Koop Office"/>
          <w:sz w:val="20"/>
          <w:szCs w:val="20"/>
        </w:rPr>
        <w:t>27</w:t>
      </w:r>
      <w:r w:rsidRPr="00020A55">
        <w:rPr>
          <w:rFonts w:ascii="Koop Office" w:hAnsi="Koop Office"/>
          <w:sz w:val="20"/>
          <w:szCs w:val="20"/>
        </w:rPr>
        <w:t xml:space="preserve"> pojištění následovně: </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230"/>
        <w:gridCol w:w="1179"/>
      </w:tblGrid>
      <w:tr w:rsidR="00020A55" w:rsidRPr="003A751B" w:rsidTr="00A32A8B">
        <w:trPr>
          <w:cantSplit/>
          <w:trHeight w:val="285"/>
        </w:trPr>
        <w:tc>
          <w:tcPr>
            <w:tcW w:w="9709" w:type="dxa"/>
            <w:gridSpan w:val="7"/>
            <w:vAlign w:val="center"/>
          </w:tcPr>
          <w:p w:rsidR="00020A55" w:rsidRPr="003A751B" w:rsidRDefault="00020A55" w:rsidP="004F466F">
            <w:pPr>
              <w:pStyle w:val="Zkladntext3"/>
              <w:widowControl w:val="0"/>
              <w:spacing w:after="0"/>
              <w:rPr>
                <w:rFonts w:ascii="Koop Office" w:hAnsi="Koop Office" w:cs="Arial"/>
                <w:color w:val="000000"/>
                <w:sz w:val="20"/>
                <w:szCs w:val="20"/>
              </w:rPr>
            </w:pPr>
            <w:r w:rsidRPr="003A751B">
              <w:rPr>
                <w:rFonts w:ascii="Koop Office" w:hAnsi="Koop Office" w:cs="Arial"/>
                <w:color w:val="000000"/>
                <w:sz w:val="20"/>
                <w:szCs w:val="20"/>
              </w:rPr>
              <w:t xml:space="preserve">Místo pojištění: </w:t>
            </w:r>
            <w:proofErr w:type="spellStart"/>
            <w:r>
              <w:rPr>
                <w:rFonts w:ascii="Koop Office" w:hAnsi="Koop Office" w:cs="Arial"/>
                <w:b/>
                <w:color w:val="000000"/>
                <w:sz w:val="20"/>
                <w:szCs w:val="20"/>
              </w:rPr>
              <w:t>k.ú</w:t>
            </w:r>
            <w:proofErr w:type="spellEnd"/>
            <w:r>
              <w:rPr>
                <w:rFonts w:ascii="Koop Office" w:hAnsi="Koop Office" w:cs="Arial"/>
                <w:b/>
                <w:color w:val="000000"/>
                <w:sz w:val="20"/>
                <w:szCs w:val="20"/>
              </w:rPr>
              <w:t xml:space="preserve">. města Strakonice, </w:t>
            </w:r>
            <w:proofErr w:type="gramStart"/>
            <w:r>
              <w:rPr>
                <w:rFonts w:ascii="Koop Office" w:hAnsi="Koop Office" w:cs="Arial"/>
                <w:b/>
                <w:color w:val="000000"/>
                <w:sz w:val="20"/>
                <w:szCs w:val="20"/>
              </w:rPr>
              <w:t>viz. příloha</w:t>
            </w:r>
            <w:proofErr w:type="gramEnd"/>
            <w:r>
              <w:rPr>
                <w:rFonts w:ascii="Koop Office" w:hAnsi="Koop Office" w:cs="Arial"/>
                <w:b/>
                <w:color w:val="000000"/>
                <w:sz w:val="20"/>
                <w:szCs w:val="20"/>
              </w:rPr>
              <w:t xml:space="preserve"> č. 1</w:t>
            </w:r>
          </w:p>
        </w:tc>
      </w:tr>
      <w:tr w:rsidR="00020A55" w:rsidRPr="003A751B" w:rsidTr="00A32A8B">
        <w:trPr>
          <w:cantSplit/>
          <w:trHeight w:val="330"/>
        </w:trPr>
        <w:tc>
          <w:tcPr>
            <w:tcW w:w="9709" w:type="dxa"/>
            <w:gridSpan w:val="7"/>
            <w:vAlign w:val="center"/>
          </w:tcPr>
          <w:p w:rsidR="00020A55" w:rsidRPr="003A751B" w:rsidRDefault="00020A55" w:rsidP="004F466F">
            <w:pPr>
              <w:pStyle w:val="Zkladntext3"/>
              <w:widowControl w:val="0"/>
              <w:spacing w:after="0"/>
              <w:rPr>
                <w:rFonts w:ascii="Koop Office" w:hAnsi="Koop Office" w:cs="Arial"/>
                <w:color w:val="000000"/>
                <w:sz w:val="20"/>
                <w:szCs w:val="20"/>
              </w:rPr>
            </w:pPr>
            <w:r w:rsidRPr="003A751B">
              <w:rPr>
                <w:rFonts w:ascii="Koop Office" w:hAnsi="Koop Office" w:cs="Arial"/>
                <w:color w:val="000000"/>
                <w:sz w:val="20"/>
                <w:szCs w:val="20"/>
              </w:rPr>
              <w:t xml:space="preserve">Rozsah pojištění: </w:t>
            </w:r>
            <w:r w:rsidRPr="003A751B">
              <w:rPr>
                <w:rFonts w:ascii="Koop Office" w:hAnsi="Koop Office" w:cs="Arial"/>
                <w:b/>
                <w:color w:val="000000"/>
                <w:sz w:val="20"/>
                <w:szCs w:val="20"/>
              </w:rPr>
              <w:t>pojištění pro případ vandalismu</w:t>
            </w:r>
          </w:p>
        </w:tc>
      </w:tr>
      <w:tr w:rsidR="00020A55" w:rsidRPr="003A751B" w:rsidTr="00A32A8B">
        <w:trPr>
          <w:cantSplit/>
          <w:trHeight w:val="285"/>
        </w:trPr>
        <w:tc>
          <w:tcPr>
            <w:tcW w:w="9709" w:type="dxa"/>
            <w:gridSpan w:val="7"/>
            <w:vAlign w:val="center"/>
          </w:tcPr>
          <w:p w:rsidR="00020A55" w:rsidRPr="00303228" w:rsidRDefault="00020A55" w:rsidP="004F466F">
            <w:pPr>
              <w:widowControl w:val="0"/>
              <w:rPr>
                <w:b/>
                <w:sz w:val="20"/>
                <w:szCs w:val="20"/>
              </w:rPr>
            </w:pPr>
            <w:r w:rsidRPr="003A751B">
              <w:rPr>
                <w:sz w:val="20"/>
                <w:szCs w:val="20"/>
              </w:rPr>
              <w:t xml:space="preserve">Pojištění se řídí: </w:t>
            </w:r>
            <w:r w:rsidRPr="003A751B">
              <w:rPr>
                <w:b/>
                <w:sz w:val="20"/>
                <w:szCs w:val="20"/>
              </w:rPr>
              <w:t>VPP P-100/14, ZPP P-200/14</w:t>
            </w:r>
            <w:r w:rsidRPr="003A751B">
              <w:rPr>
                <w:sz w:val="20"/>
                <w:szCs w:val="20"/>
              </w:rPr>
              <w:t xml:space="preserve"> a doložkami </w:t>
            </w:r>
            <w:r w:rsidRPr="003A751B">
              <w:rPr>
                <w:b/>
                <w:sz w:val="20"/>
                <w:szCs w:val="20"/>
              </w:rPr>
              <w:t>DOB101, DOB103</w:t>
            </w:r>
            <w:r>
              <w:rPr>
                <w:b/>
                <w:sz w:val="20"/>
                <w:szCs w:val="20"/>
              </w:rPr>
              <w:t xml:space="preserve"> </w:t>
            </w:r>
          </w:p>
        </w:tc>
      </w:tr>
      <w:tr w:rsidR="00020A55" w:rsidRPr="00A62170" w:rsidTr="00A32A8B">
        <w:trPr>
          <w:cantSplit/>
        </w:trPr>
        <w:tc>
          <w:tcPr>
            <w:tcW w:w="637" w:type="dxa"/>
            <w:tcBorders>
              <w:bottom w:val="single" w:sz="18" w:space="0" w:color="auto"/>
              <w:right w:val="single" w:sz="4" w:space="0" w:color="auto"/>
            </w:tcBorders>
            <w:vAlign w:val="center"/>
          </w:tcPr>
          <w:p w:rsidR="00020A55" w:rsidRPr="00C61625" w:rsidRDefault="00020A55" w:rsidP="004F466F">
            <w:pPr>
              <w:widowControl w:val="0"/>
              <w:jc w:val="center"/>
              <w:rPr>
                <w:rFonts w:cs="Arial"/>
                <w:b/>
                <w:color w:val="000000"/>
                <w:sz w:val="20"/>
              </w:rPr>
            </w:pPr>
            <w:proofErr w:type="spellStart"/>
            <w:r w:rsidRPr="00C61625">
              <w:rPr>
                <w:rFonts w:cs="Arial"/>
                <w:b/>
                <w:color w:val="000000"/>
                <w:sz w:val="20"/>
              </w:rPr>
              <w:t>Poř</w:t>
            </w:r>
            <w:proofErr w:type="spellEnd"/>
            <w:r w:rsidRPr="00C61625">
              <w:rPr>
                <w:rFonts w:cs="Arial"/>
                <w:b/>
                <w:color w:val="000000"/>
                <w:sz w:val="20"/>
              </w:rPr>
              <w:t>. číslo</w:t>
            </w:r>
          </w:p>
        </w:tc>
        <w:tc>
          <w:tcPr>
            <w:tcW w:w="2127" w:type="dxa"/>
            <w:tcBorders>
              <w:left w:val="single" w:sz="4" w:space="0" w:color="auto"/>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rFonts w:cs="Arial"/>
                <w:b/>
                <w:color w:val="000000"/>
                <w:sz w:val="20"/>
              </w:rPr>
              <w:t>Předmět pojištění</w:t>
            </w:r>
          </w:p>
        </w:tc>
        <w:tc>
          <w:tcPr>
            <w:tcW w:w="1706" w:type="dxa"/>
            <w:tcBorders>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b/>
                <w:sz w:val="20"/>
                <w:szCs w:val="20"/>
              </w:rPr>
              <w:t>Pojistná částka</w:t>
            </w:r>
            <w:r w:rsidRPr="00C61625">
              <w:rPr>
                <w:b/>
                <w:sz w:val="20"/>
                <w:szCs w:val="20"/>
                <w:vertAlign w:val="superscript"/>
              </w:rPr>
              <w:t>10)</w:t>
            </w:r>
          </w:p>
        </w:tc>
        <w:tc>
          <w:tcPr>
            <w:tcW w:w="1337" w:type="dxa"/>
            <w:tcBorders>
              <w:bottom w:val="single" w:sz="18" w:space="0" w:color="auto"/>
            </w:tcBorders>
            <w:vAlign w:val="center"/>
          </w:tcPr>
          <w:p w:rsidR="00020A55" w:rsidRPr="00C61625" w:rsidRDefault="00020A55" w:rsidP="004F466F">
            <w:pPr>
              <w:widowControl w:val="0"/>
              <w:jc w:val="center"/>
              <w:rPr>
                <w:rFonts w:cs="Arial"/>
                <w:b/>
                <w:color w:val="000000"/>
                <w:sz w:val="20"/>
              </w:rPr>
            </w:pPr>
            <w:r w:rsidRPr="00C61625">
              <w:rPr>
                <w:rFonts w:cs="Arial"/>
                <w:b/>
                <w:color w:val="000000"/>
                <w:sz w:val="20"/>
              </w:rPr>
              <w:t>Spoluúčast</w:t>
            </w:r>
            <w:r w:rsidRPr="00C61625">
              <w:rPr>
                <w:rFonts w:cs="Arial"/>
                <w:color w:val="000000"/>
                <w:sz w:val="20"/>
                <w:vertAlign w:val="superscript"/>
              </w:rPr>
              <w:t>5)</w:t>
            </w:r>
          </w:p>
        </w:tc>
        <w:tc>
          <w:tcPr>
            <w:tcW w:w="1493" w:type="dxa"/>
            <w:tcBorders>
              <w:bottom w:val="single" w:sz="18" w:space="0" w:color="auto"/>
            </w:tcBorders>
            <w:vAlign w:val="center"/>
          </w:tcPr>
          <w:p w:rsidR="00020A55" w:rsidRPr="00C61625" w:rsidRDefault="00020A55" w:rsidP="004F466F">
            <w:pPr>
              <w:widowControl w:val="0"/>
              <w:jc w:val="center"/>
              <w:rPr>
                <w:b/>
                <w:sz w:val="20"/>
                <w:szCs w:val="20"/>
              </w:rPr>
            </w:pPr>
            <w:r w:rsidRPr="00C61625">
              <w:rPr>
                <w:b/>
                <w:sz w:val="20"/>
                <w:szCs w:val="20"/>
              </w:rPr>
              <w:t>Pojištění se sjednává na cenu</w:t>
            </w:r>
            <w:r w:rsidRPr="00C61625">
              <w:rPr>
                <w:b/>
                <w:sz w:val="20"/>
                <w:szCs w:val="20"/>
                <w:vertAlign w:val="superscript"/>
              </w:rPr>
              <w:t>*1)</w:t>
            </w:r>
          </w:p>
        </w:tc>
        <w:tc>
          <w:tcPr>
            <w:tcW w:w="1230" w:type="dxa"/>
            <w:tcBorders>
              <w:bottom w:val="single" w:sz="18" w:space="0" w:color="auto"/>
            </w:tcBorders>
            <w:vAlign w:val="center"/>
          </w:tcPr>
          <w:p w:rsidR="00020A55" w:rsidRPr="00C61625" w:rsidRDefault="00020A55" w:rsidP="004F466F">
            <w:pPr>
              <w:widowControl w:val="0"/>
              <w:jc w:val="center"/>
              <w:rPr>
                <w:b/>
                <w:sz w:val="20"/>
                <w:szCs w:val="20"/>
              </w:rPr>
            </w:pPr>
            <w:r w:rsidRPr="00C61625">
              <w:rPr>
                <w:b/>
                <w:sz w:val="20"/>
                <w:szCs w:val="20"/>
              </w:rPr>
              <w:t>MRLP</w:t>
            </w:r>
            <w:r w:rsidRPr="00C61625">
              <w:rPr>
                <w:b/>
                <w:sz w:val="20"/>
                <w:szCs w:val="20"/>
                <w:vertAlign w:val="superscript"/>
              </w:rPr>
              <w:t>3)</w:t>
            </w:r>
            <w:r w:rsidRPr="00C61625">
              <w:rPr>
                <w:b/>
                <w:sz w:val="20"/>
                <w:szCs w:val="20"/>
              </w:rPr>
              <w:t xml:space="preserve"> </w:t>
            </w:r>
          </w:p>
          <w:p w:rsidR="00020A55" w:rsidRPr="00C61625" w:rsidRDefault="00020A55" w:rsidP="004F466F">
            <w:pPr>
              <w:widowControl w:val="0"/>
              <w:jc w:val="center"/>
              <w:rPr>
                <w:b/>
                <w:sz w:val="20"/>
                <w:szCs w:val="20"/>
              </w:rPr>
            </w:pPr>
            <w:r w:rsidRPr="00C61625">
              <w:rPr>
                <w:b/>
                <w:sz w:val="20"/>
                <w:szCs w:val="20"/>
              </w:rPr>
              <w:t>První riziko</w:t>
            </w:r>
            <w:r w:rsidRPr="00C61625">
              <w:rPr>
                <w:b/>
                <w:sz w:val="20"/>
                <w:szCs w:val="20"/>
                <w:vertAlign w:val="superscript"/>
              </w:rPr>
              <w:t>2)</w:t>
            </w:r>
          </w:p>
        </w:tc>
        <w:tc>
          <w:tcPr>
            <w:tcW w:w="1179" w:type="dxa"/>
            <w:tcBorders>
              <w:bottom w:val="single" w:sz="18" w:space="0" w:color="auto"/>
            </w:tcBorders>
            <w:vAlign w:val="center"/>
          </w:tcPr>
          <w:p w:rsidR="00020A55" w:rsidRPr="00BB226E" w:rsidRDefault="00020A55" w:rsidP="004F466F">
            <w:pPr>
              <w:widowControl w:val="0"/>
              <w:jc w:val="center"/>
              <w:rPr>
                <w:b/>
                <w:sz w:val="20"/>
                <w:szCs w:val="20"/>
              </w:rPr>
            </w:pPr>
            <w:r w:rsidRPr="00C61625">
              <w:rPr>
                <w:b/>
                <w:sz w:val="20"/>
                <w:szCs w:val="20"/>
              </w:rPr>
              <w:t>MRLP</w:t>
            </w:r>
            <w:r w:rsidRPr="00C61625">
              <w:rPr>
                <w:b/>
                <w:sz w:val="20"/>
                <w:szCs w:val="20"/>
                <w:vertAlign w:val="superscript"/>
              </w:rPr>
              <w:t>3)</w:t>
            </w:r>
            <w:r w:rsidRPr="00BB226E">
              <w:rPr>
                <w:b/>
                <w:sz w:val="20"/>
                <w:szCs w:val="20"/>
              </w:rPr>
              <w:t xml:space="preserve"> </w:t>
            </w:r>
          </w:p>
        </w:tc>
      </w:tr>
      <w:tr w:rsidR="00020A55" w:rsidRPr="00A62170" w:rsidTr="00A32A8B">
        <w:trPr>
          <w:cantSplit/>
          <w:trHeight w:val="305"/>
        </w:trPr>
        <w:tc>
          <w:tcPr>
            <w:tcW w:w="637"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27.</w:t>
            </w:r>
          </w:p>
        </w:tc>
        <w:tc>
          <w:tcPr>
            <w:tcW w:w="2127"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Vlastní movité zařízení a vybavení</w:t>
            </w:r>
          </w:p>
        </w:tc>
        <w:tc>
          <w:tcPr>
            <w:tcW w:w="1706"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236 000 Kč</w:t>
            </w:r>
          </w:p>
        </w:tc>
        <w:tc>
          <w:tcPr>
            <w:tcW w:w="1337"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1 000 Kč</w:t>
            </w:r>
          </w:p>
        </w:tc>
        <w:tc>
          <w:tcPr>
            <w:tcW w:w="1493"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w:t>
            </w:r>
          </w:p>
        </w:tc>
        <w:tc>
          <w:tcPr>
            <w:tcW w:w="1179" w:type="dxa"/>
            <w:tcBorders>
              <w:top w:val="single" w:sz="6" w:space="0" w:color="auto"/>
              <w:bottom w:val="nil"/>
            </w:tcBorders>
            <w:vAlign w:val="center"/>
          </w:tcPr>
          <w:p w:rsidR="00020A55" w:rsidRPr="00A62170" w:rsidRDefault="00020A55" w:rsidP="004F466F">
            <w:pPr>
              <w:widowControl w:val="0"/>
              <w:jc w:val="center"/>
              <w:rPr>
                <w:rFonts w:cs="Arial"/>
                <w:color w:val="000000"/>
                <w:sz w:val="20"/>
              </w:rPr>
            </w:pPr>
            <w:r>
              <w:rPr>
                <w:rFonts w:cs="Arial"/>
                <w:color w:val="000000"/>
                <w:sz w:val="20"/>
              </w:rPr>
              <w:t>-</w:t>
            </w:r>
          </w:p>
        </w:tc>
      </w:tr>
      <w:tr w:rsidR="00020A55" w:rsidRPr="00A62170" w:rsidTr="00A32A8B">
        <w:trPr>
          <w:cantSplit/>
          <w:trHeight w:val="295"/>
        </w:trPr>
        <w:tc>
          <w:tcPr>
            <w:tcW w:w="9709" w:type="dxa"/>
            <w:gridSpan w:val="7"/>
            <w:tcBorders>
              <w:top w:val="single" w:sz="4" w:space="0" w:color="auto"/>
              <w:bottom w:val="single" w:sz="4" w:space="0" w:color="auto"/>
              <w:right w:val="single" w:sz="4" w:space="0" w:color="auto"/>
            </w:tcBorders>
            <w:vAlign w:val="center"/>
          </w:tcPr>
          <w:p w:rsidR="00020A55" w:rsidRPr="00A62170" w:rsidRDefault="00020A55" w:rsidP="004F466F">
            <w:pPr>
              <w:widowControl w:val="0"/>
              <w:rPr>
                <w:rFonts w:cs="Arial"/>
                <w:color w:val="000000"/>
                <w:sz w:val="20"/>
              </w:rPr>
            </w:pPr>
            <w:r w:rsidRPr="00A62170">
              <w:rPr>
                <w:rFonts w:cs="Arial"/>
                <w:color w:val="000000"/>
                <w:sz w:val="20"/>
              </w:rPr>
              <w:t>Poznámky:</w:t>
            </w:r>
          </w:p>
          <w:p w:rsidR="00020A55" w:rsidRPr="0073437B" w:rsidRDefault="00020A55" w:rsidP="009A72E2">
            <w:pPr>
              <w:widowControl w:val="0"/>
              <w:rPr>
                <w:sz w:val="20"/>
                <w:szCs w:val="20"/>
              </w:rPr>
            </w:pPr>
            <w:proofErr w:type="spellStart"/>
            <w:r w:rsidRPr="003447D8">
              <w:rPr>
                <w:b/>
                <w:sz w:val="20"/>
                <w:szCs w:val="20"/>
              </w:rPr>
              <w:t>Poř</w:t>
            </w:r>
            <w:proofErr w:type="spellEnd"/>
            <w:r w:rsidRPr="003447D8">
              <w:rPr>
                <w:b/>
                <w:sz w:val="20"/>
                <w:szCs w:val="20"/>
              </w:rPr>
              <w:t xml:space="preserve">. číslo </w:t>
            </w:r>
            <w:r>
              <w:rPr>
                <w:b/>
                <w:sz w:val="20"/>
                <w:szCs w:val="20"/>
              </w:rPr>
              <w:t>27</w:t>
            </w:r>
            <w:r w:rsidRPr="003447D8">
              <w:rPr>
                <w:b/>
                <w:sz w:val="20"/>
                <w:szCs w:val="20"/>
              </w:rPr>
              <w:t xml:space="preserve"> – </w:t>
            </w:r>
            <w:r>
              <w:rPr>
                <w:sz w:val="20"/>
                <w:szCs w:val="20"/>
              </w:rPr>
              <w:t xml:space="preserve">Plovoucí molo ukotvené ke břehu na řece Otavě na Podskalí. </w:t>
            </w:r>
          </w:p>
        </w:tc>
      </w:tr>
    </w:tbl>
    <w:p w:rsidR="00020A55" w:rsidRDefault="00020A55" w:rsidP="004F466F">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4F466F" w:rsidRDefault="004F466F" w:rsidP="004F466F">
      <w:pPr>
        <w:widowControl w:val="0"/>
        <w:rPr>
          <w:sz w:val="16"/>
          <w:szCs w:val="16"/>
        </w:rPr>
      </w:pPr>
    </w:p>
    <w:p w:rsidR="009A72E2" w:rsidRDefault="009A72E2" w:rsidP="004F466F">
      <w:pPr>
        <w:widowControl w:val="0"/>
        <w:rPr>
          <w:sz w:val="16"/>
          <w:szCs w:val="16"/>
        </w:rPr>
      </w:pPr>
    </w:p>
    <w:p w:rsidR="000C1A67" w:rsidRPr="006368D9" w:rsidRDefault="000C1A67" w:rsidP="000C1A67">
      <w:pPr>
        <w:tabs>
          <w:tab w:val="left" w:pos="-720"/>
        </w:tabs>
        <w:spacing w:before="120"/>
        <w:jc w:val="center"/>
        <w:rPr>
          <w:rFonts w:cs="Arial"/>
          <w:b/>
          <w:sz w:val="24"/>
        </w:rPr>
      </w:pPr>
      <w:r w:rsidRPr="006368D9">
        <w:rPr>
          <w:rFonts w:cs="Arial"/>
          <w:b/>
          <w:sz w:val="24"/>
        </w:rPr>
        <w:lastRenderedPageBreak/>
        <w:t>Článek III.</w:t>
      </w:r>
    </w:p>
    <w:p w:rsidR="000C1A67" w:rsidRPr="006368D9" w:rsidRDefault="000C1A67" w:rsidP="000C1A67">
      <w:pPr>
        <w:tabs>
          <w:tab w:val="left" w:pos="-720"/>
        </w:tabs>
        <w:jc w:val="center"/>
        <w:rPr>
          <w:rFonts w:cs="Arial"/>
          <w:b/>
          <w:sz w:val="24"/>
        </w:rPr>
      </w:pPr>
      <w:r w:rsidRPr="006368D9">
        <w:rPr>
          <w:rFonts w:cs="Arial"/>
          <w:b/>
          <w:sz w:val="24"/>
        </w:rPr>
        <w:t>Výše a způsob placení pojistného</w:t>
      </w:r>
    </w:p>
    <w:p w:rsidR="000C1A67" w:rsidRDefault="000C1A67" w:rsidP="000C1A67">
      <w:pPr>
        <w:rPr>
          <w:rFonts w:cs="Arial"/>
          <w:b/>
          <w:sz w:val="20"/>
        </w:rPr>
      </w:pPr>
    </w:p>
    <w:p w:rsidR="000C1A67" w:rsidRPr="005E083D" w:rsidRDefault="000C1A67" w:rsidP="000C1A67">
      <w:pPr>
        <w:rPr>
          <w:rFonts w:cs="Arial"/>
          <w:b/>
          <w:sz w:val="24"/>
          <w:u w:val="single"/>
        </w:rPr>
      </w:pPr>
      <w:r w:rsidRPr="005E083D">
        <w:rPr>
          <w:rFonts w:cs="Arial"/>
          <w:b/>
          <w:sz w:val="24"/>
          <w:u w:val="single"/>
        </w:rPr>
        <w:t>Oddíl A – pojištění majetku, odpovědnosti a lesních porostů - 7720937511</w:t>
      </w:r>
    </w:p>
    <w:p w:rsidR="000C1A67" w:rsidRPr="006368D9" w:rsidRDefault="000C1A67" w:rsidP="000C1A67">
      <w:pPr>
        <w:rPr>
          <w:rFonts w:cs="Arial"/>
          <w:b/>
          <w:sz w:val="20"/>
        </w:rPr>
      </w:pPr>
    </w:p>
    <w:p w:rsidR="000C1A67" w:rsidRPr="006368D9" w:rsidRDefault="000C1A67" w:rsidP="000C1A67">
      <w:pPr>
        <w:pStyle w:val="Styl10bTunZarovnatdobloku"/>
      </w:pPr>
      <w:r>
        <w:t xml:space="preserve">1.        </w:t>
      </w:r>
      <w:r w:rsidRPr="006368D9">
        <w:t>Pojistné za jeden pojistný rok činí:</w:t>
      </w:r>
    </w:p>
    <w:p w:rsidR="000C1A67" w:rsidRPr="006368D9" w:rsidRDefault="000C1A67" w:rsidP="000C1A67">
      <w:pPr>
        <w:keepNext/>
        <w:numPr>
          <w:ilvl w:val="0"/>
          <w:numId w:val="9"/>
        </w:numPr>
        <w:tabs>
          <w:tab w:val="clear" w:pos="425"/>
          <w:tab w:val="left" w:pos="-720"/>
        </w:tabs>
        <w:ind w:left="567" w:hanging="567"/>
        <w:jc w:val="both"/>
        <w:rPr>
          <w:rFonts w:cs="Arial"/>
          <w:b/>
          <w:sz w:val="20"/>
        </w:rPr>
      </w:pPr>
      <w:r w:rsidRPr="006368D9">
        <w:rPr>
          <w:rFonts w:cs="Arial"/>
          <w:b/>
          <w:sz w:val="20"/>
        </w:rPr>
        <w:t>Živelní pojištění</w:t>
      </w:r>
    </w:p>
    <w:p w:rsidR="000C1A67"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734 270</w:t>
      </w:r>
      <w:r w:rsidRPr="006368D9">
        <w:rPr>
          <w:rFonts w:cs="Arial"/>
          <w:sz w:val="20"/>
        </w:rPr>
        <w:t xml:space="preserve"> Kč</w:t>
      </w:r>
    </w:p>
    <w:p w:rsidR="000C1A67" w:rsidRPr="006368D9" w:rsidRDefault="000C1A67" w:rsidP="000C1A67">
      <w:pPr>
        <w:keepNext/>
        <w:numPr>
          <w:ilvl w:val="0"/>
          <w:numId w:val="9"/>
        </w:numPr>
        <w:tabs>
          <w:tab w:val="clear" w:pos="425"/>
          <w:tab w:val="left" w:pos="-720"/>
        </w:tabs>
        <w:ind w:left="567" w:hanging="567"/>
        <w:jc w:val="both"/>
        <w:rPr>
          <w:rFonts w:cs="Arial"/>
          <w:b/>
          <w:sz w:val="20"/>
        </w:rPr>
      </w:pPr>
      <w:r w:rsidRPr="006368D9">
        <w:rPr>
          <w:rFonts w:cs="Arial"/>
          <w:b/>
          <w:sz w:val="20"/>
        </w:rPr>
        <w:t>Živelní pojištění</w:t>
      </w:r>
      <w:r>
        <w:rPr>
          <w:rFonts w:cs="Arial"/>
          <w:b/>
          <w:sz w:val="20"/>
        </w:rPr>
        <w:t xml:space="preserve"> lesů</w:t>
      </w:r>
    </w:p>
    <w:p w:rsidR="000C1A67"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173 802</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 xml:space="preserve">Pojištění pro případ odcizení </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39 388</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pro případ vandalismu</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17 860</w:t>
      </w:r>
      <w:r w:rsidRPr="006368D9">
        <w:rPr>
          <w:rFonts w:cs="Arial"/>
          <w:sz w:val="20"/>
        </w:rPr>
        <w:t xml:space="preserve"> Kč</w:t>
      </w:r>
    </w:p>
    <w:p w:rsidR="000C1A67" w:rsidRPr="00A60A34" w:rsidRDefault="000C1A67" w:rsidP="000C1A67">
      <w:pPr>
        <w:keepNext/>
        <w:numPr>
          <w:ilvl w:val="0"/>
          <w:numId w:val="9"/>
        </w:numPr>
        <w:tabs>
          <w:tab w:val="clear" w:pos="425"/>
          <w:tab w:val="left" w:pos="-1560"/>
        </w:tabs>
        <w:ind w:left="567" w:hanging="567"/>
        <w:jc w:val="both"/>
        <w:rPr>
          <w:rFonts w:cs="Arial"/>
          <w:b/>
          <w:sz w:val="20"/>
        </w:rPr>
      </w:pPr>
      <w:r w:rsidRPr="00A60A34">
        <w:rPr>
          <w:rFonts w:cs="Arial"/>
          <w:b/>
          <w:sz w:val="20"/>
        </w:rPr>
        <w:t xml:space="preserve">Pojištění pro případ odcizení – </w:t>
      </w:r>
      <w:r w:rsidRPr="00A60A34">
        <w:rPr>
          <w:b/>
          <w:sz w:val="20"/>
          <w:szCs w:val="20"/>
        </w:rPr>
        <w:t>loupež přepravovaných peněz nebo cenin</w:t>
      </w:r>
    </w:p>
    <w:p w:rsidR="000C1A67" w:rsidRPr="00A60A34" w:rsidRDefault="000C1A67" w:rsidP="000C1A67">
      <w:pPr>
        <w:numPr>
          <w:ilvl w:val="12"/>
          <w:numId w:val="0"/>
        </w:numPr>
        <w:tabs>
          <w:tab w:val="right" w:leader="dot" w:pos="9638"/>
        </w:tabs>
        <w:ind w:left="567"/>
        <w:jc w:val="both"/>
        <w:rPr>
          <w:rFonts w:cs="Arial"/>
          <w:sz w:val="20"/>
        </w:rPr>
      </w:pPr>
      <w:r w:rsidRPr="00A60A34">
        <w:rPr>
          <w:rFonts w:cs="Arial"/>
          <w:sz w:val="20"/>
        </w:rPr>
        <w:t xml:space="preserve">Pojistné </w:t>
      </w:r>
      <w:r w:rsidRPr="00A60A34">
        <w:rPr>
          <w:rFonts w:cs="Arial"/>
          <w:sz w:val="20"/>
        </w:rPr>
        <w:tab/>
      </w:r>
      <w:r>
        <w:rPr>
          <w:rFonts w:cs="Arial"/>
          <w:sz w:val="20"/>
        </w:rPr>
        <w:t>5 000</w:t>
      </w:r>
      <w:r w:rsidRPr="00A60A34">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skla</w:t>
      </w:r>
    </w:p>
    <w:p w:rsidR="000C1A67" w:rsidRPr="006368D9" w:rsidRDefault="000C1A67" w:rsidP="000C1A6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Pr>
          <w:rFonts w:cs="Arial"/>
          <w:sz w:val="20"/>
        </w:rPr>
        <w:t>8 000</w:t>
      </w:r>
      <w:r w:rsidRPr="006368D9">
        <w:rPr>
          <w:rFonts w:cs="Arial"/>
          <w:sz w:val="20"/>
        </w:rPr>
        <w:t xml:space="preserve"> Kč</w:t>
      </w:r>
    </w:p>
    <w:p w:rsidR="000C1A67" w:rsidRPr="006368D9" w:rsidRDefault="000C1A67" w:rsidP="000C1A67">
      <w:pPr>
        <w:keepNext/>
        <w:numPr>
          <w:ilvl w:val="0"/>
          <w:numId w:val="9"/>
        </w:numPr>
        <w:tabs>
          <w:tab w:val="clear" w:pos="425"/>
          <w:tab w:val="left" w:pos="-1560"/>
        </w:tabs>
        <w:ind w:left="567" w:hanging="567"/>
        <w:jc w:val="both"/>
        <w:rPr>
          <w:rFonts w:cs="Arial"/>
          <w:b/>
          <w:sz w:val="20"/>
        </w:rPr>
      </w:pPr>
      <w:r w:rsidRPr="006368D9">
        <w:rPr>
          <w:rFonts w:cs="Arial"/>
          <w:b/>
          <w:sz w:val="20"/>
        </w:rPr>
        <w:t>Pojištění elektronických zařízení</w:t>
      </w:r>
    </w:p>
    <w:p w:rsidR="000C1A67" w:rsidRPr="006368D9" w:rsidRDefault="000C1A67" w:rsidP="000C1A67">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120 000</w:t>
      </w:r>
      <w:r w:rsidRPr="006368D9">
        <w:rPr>
          <w:rFonts w:cs="Arial"/>
          <w:sz w:val="20"/>
        </w:rPr>
        <w:t xml:space="preserve"> Kč</w:t>
      </w:r>
    </w:p>
    <w:p w:rsidR="000C1A67" w:rsidRPr="006368D9" w:rsidRDefault="000C1A67" w:rsidP="000C1A67">
      <w:pPr>
        <w:keepNext/>
        <w:numPr>
          <w:ilvl w:val="0"/>
          <w:numId w:val="9"/>
        </w:numPr>
        <w:tabs>
          <w:tab w:val="clear" w:pos="425"/>
        </w:tabs>
        <w:ind w:left="567" w:hanging="567"/>
        <w:jc w:val="both"/>
        <w:rPr>
          <w:rFonts w:cs="Arial"/>
          <w:b/>
          <w:sz w:val="20"/>
        </w:rPr>
      </w:pPr>
      <w:r w:rsidRPr="006368D9">
        <w:rPr>
          <w:rFonts w:cs="Arial"/>
          <w:b/>
          <w:sz w:val="20"/>
        </w:rPr>
        <w:t>Pojištění odpovědnosti za újmu</w:t>
      </w:r>
    </w:p>
    <w:p w:rsidR="000C1A67" w:rsidRDefault="000C1A67" w:rsidP="000C1A67">
      <w:pPr>
        <w:numPr>
          <w:ilvl w:val="12"/>
          <w:numId w:val="0"/>
        </w:numPr>
        <w:tabs>
          <w:tab w:val="right" w:leader="dot" w:pos="9638"/>
        </w:tabs>
        <w:ind w:left="425" w:firstLine="142"/>
        <w:jc w:val="both"/>
        <w:rPr>
          <w:rFonts w:cs="Arial"/>
          <w:sz w:val="20"/>
        </w:rPr>
      </w:pPr>
      <w:r w:rsidRPr="006368D9">
        <w:rPr>
          <w:rFonts w:cs="Arial"/>
          <w:sz w:val="20"/>
        </w:rPr>
        <w:t xml:space="preserve">Pojistné </w:t>
      </w:r>
      <w:r w:rsidRPr="006368D9">
        <w:rPr>
          <w:rFonts w:cs="Arial"/>
          <w:sz w:val="20"/>
        </w:rPr>
        <w:tab/>
      </w:r>
      <w:r>
        <w:rPr>
          <w:rFonts w:cs="Arial"/>
          <w:sz w:val="20"/>
        </w:rPr>
        <w:t>157 000</w:t>
      </w:r>
      <w:r w:rsidRPr="006368D9">
        <w:rPr>
          <w:rFonts w:cs="Arial"/>
          <w:sz w:val="20"/>
        </w:rPr>
        <w:t xml:space="preserve"> Kč</w:t>
      </w:r>
    </w:p>
    <w:p w:rsidR="000C1A67" w:rsidRDefault="000C1A67" w:rsidP="000C1A67">
      <w:pPr>
        <w:numPr>
          <w:ilvl w:val="12"/>
          <w:numId w:val="0"/>
        </w:numPr>
        <w:tabs>
          <w:tab w:val="right" w:leader="dot" w:pos="9638"/>
        </w:tabs>
        <w:jc w:val="both"/>
        <w:rPr>
          <w:rFonts w:cs="Arial"/>
          <w:b/>
          <w:bCs/>
          <w:sz w:val="20"/>
        </w:rPr>
      </w:pPr>
      <w:r w:rsidRPr="00A60A34">
        <w:rPr>
          <w:rFonts w:cs="Arial"/>
          <w:b/>
          <w:bCs/>
          <w:sz w:val="20"/>
        </w:rPr>
        <w:t>1.9.</w:t>
      </w:r>
      <w:r>
        <w:rPr>
          <w:rFonts w:cs="Arial"/>
          <w:bCs/>
          <w:sz w:val="20"/>
        </w:rPr>
        <w:t xml:space="preserve"> </w:t>
      </w:r>
      <w:r>
        <w:rPr>
          <w:rFonts w:cs="Arial"/>
          <w:b/>
          <w:sz w:val="20"/>
        </w:rPr>
        <w:t xml:space="preserve">    </w:t>
      </w:r>
      <w:r w:rsidRPr="006368D9">
        <w:rPr>
          <w:rFonts w:cs="Arial"/>
          <w:b/>
          <w:sz w:val="20"/>
        </w:rPr>
        <w:t>Pojištění</w:t>
      </w:r>
      <w:r w:rsidRPr="00FE0E64">
        <w:rPr>
          <w:rFonts w:cs="Arial"/>
          <w:bCs/>
          <w:sz w:val="20"/>
        </w:rPr>
        <w:t xml:space="preserve"> </w:t>
      </w:r>
      <w:r w:rsidRPr="00A60A34">
        <w:rPr>
          <w:rFonts w:cs="Arial"/>
          <w:b/>
          <w:bCs/>
          <w:sz w:val="20"/>
        </w:rPr>
        <w:t>odpovědnost zastupitelů obce</w:t>
      </w:r>
    </w:p>
    <w:p w:rsidR="000C1A67" w:rsidRDefault="000C1A67" w:rsidP="000C1A67">
      <w:pPr>
        <w:numPr>
          <w:ilvl w:val="12"/>
          <w:numId w:val="0"/>
        </w:numPr>
        <w:tabs>
          <w:tab w:val="left" w:pos="357"/>
          <w:tab w:val="right" w:leader="dot" w:pos="8998"/>
        </w:tabs>
        <w:ind w:left="357" w:right="55" w:firstLine="3"/>
        <w:rPr>
          <w:rFonts w:cs="Arial"/>
          <w:sz w:val="20"/>
        </w:rPr>
      </w:pPr>
      <w:r>
        <w:rPr>
          <w:rFonts w:cs="Arial"/>
          <w:sz w:val="20"/>
        </w:rPr>
        <w:t xml:space="preserve">    Po</w:t>
      </w:r>
      <w:r w:rsidRPr="00483DCD">
        <w:rPr>
          <w:rFonts w:cs="Arial"/>
          <w:sz w:val="20"/>
        </w:rPr>
        <w:t xml:space="preserve">jistné </w:t>
      </w:r>
      <w:r w:rsidRPr="00483DCD">
        <w:rPr>
          <w:rFonts w:cs="Arial"/>
          <w:sz w:val="20"/>
        </w:rPr>
        <w:tab/>
      </w:r>
      <w:r>
        <w:rPr>
          <w:rFonts w:cs="Arial"/>
          <w:sz w:val="20"/>
        </w:rPr>
        <w:t xml:space="preserve">………………………………………………………………………………………………………………………18 400 </w:t>
      </w:r>
      <w:r w:rsidRPr="00483DCD">
        <w:rPr>
          <w:rFonts w:cs="Arial"/>
          <w:sz w:val="20"/>
        </w:rPr>
        <w:t>Kč</w:t>
      </w:r>
    </w:p>
    <w:p w:rsidR="000C1A67" w:rsidRDefault="000C1A67" w:rsidP="000C1A67">
      <w:pPr>
        <w:keepNext/>
        <w:tabs>
          <w:tab w:val="right" w:leader="dot" w:pos="9639"/>
        </w:tabs>
        <w:spacing w:before="120" w:after="120"/>
        <w:ind w:left="284" w:hanging="284"/>
        <w:jc w:val="both"/>
        <w:rPr>
          <w:rFonts w:cs="Arial"/>
          <w:b/>
          <w:sz w:val="20"/>
        </w:rPr>
      </w:pPr>
      <w:r w:rsidRPr="0098101F">
        <w:rPr>
          <w:rFonts w:cs="Arial"/>
          <w:b/>
          <w:sz w:val="20"/>
        </w:rPr>
        <w:t>Souhrn</w:t>
      </w:r>
      <w:r w:rsidRPr="0098101F">
        <w:rPr>
          <w:rFonts w:cs="Arial"/>
          <w:sz w:val="20"/>
        </w:rPr>
        <w:t xml:space="preserve"> </w:t>
      </w:r>
      <w:r w:rsidRPr="0098101F">
        <w:rPr>
          <w:rFonts w:cs="Arial"/>
          <w:b/>
          <w:sz w:val="20"/>
        </w:rPr>
        <w:t xml:space="preserve">pojistného za sjednaná pojištění za jeden pojistný rok činí </w:t>
      </w:r>
      <w:r w:rsidRPr="0098101F">
        <w:rPr>
          <w:rFonts w:cs="Arial"/>
          <w:b/>
          <w:sz w:val="20"/>
        </w:rPr>
        <w:tab/>
      </w:r>
      <w:proofErr w:type="gramStart"/>
      <w:r>
        <w:rPr>
          <w:rFonts w:cs="Arial"/>
          <w:b/>
          <w:sz w:val="20"/>
        </w:rPr>
        <w:t>1 273 720</w:t>
      </w:r>
      <w:r w:rsidRPr="0098101F">
        <w:rPr>
          <w:rFonts w:cs="Arial"/>
          <w:b/>
          <w:sz w:val="20"/>
        </w:rPr>
        <w:t xml:space="preserve">  Kč</w:t>
      </w:r>
      <w:proofErr w:type="gramEnd"/>
    </w:p>
    <w:p w:rsidR="000C1A67" w:rsidRPr="00155DA8" w:rsidRDefault="000C1A67" w:rsidP="000C1A67">
      <w:pPr>
        <w:widowControl w:val="0"/>
        <w:tabs>
          <w:tab w:val="right" w:leader="dot" w:pos="9639"/>
        </w:tabs>
        <w:ind w:left="284" w:right="-709" w:hanging="284"/>
        <w:jc w:val="both"/>
        <w:rPr>
          <w:rFonts w:cs="Arial"/>
          <w:sz w:val="20"/>
        </w:rPr>
      </w:pPr>
      <w:r>
        <w:rPr>
          <w:rFonts w:cs="Arial"/>
          <w:sz w:val="20"/>
        </w:rPr>
        <w:t xml:space="preserve">Obchodní sleva činí 10 %, tj. </w:t>
      </w:r>
      <w:r w:rsidRPr="00155DA8">
        <w:rPr>
          <w:rFonts w:cs="Arial"/>
          <w:sz w:val="20"/>
        </w:rPr>
        <w:t xml:space="preserve"> </w:t>
      </w:r>
      <w:r w:rsidRPr="00155DA8">
        <w:rPr>
          <w:rFonts w:cs="Arial"/>
          <w:sz w:val="20"/>
        </w:rPr>
        <w:tab/>
      </w:r>
      <w:proofErr w:type="gramStart"/>
      <w:r>
        <w:rPr>
          <w:rFonts w:cs="Arial"/>
          <w:sz w:val="20"/>
        </w:rPr>
        <w:t>127 372</w:t>
      </w:r>
      <w:r w:rsidRPr="00155DA8">
        <w:rPr>
          <w:rFonts w:cs="Arial"/>
          <w:sz w:val="20"/>
        </w:rPr>
        <w:t xml:space="preserve">  Kč</w:t>
      </w:r>
      <w:proofErr w:type="gramEnd"/>
    </w:p>
    <w:p w:rsidR="000C1A67" w:rsidRDefault="000C1A67" w:rsidP="000C1A67">
      <w:pPr>
        <w:widowControl w:val="0"/>
        <w:tabs>
          <w:tab w:val="right" w:leader="dot" w:pos="9639"/>
        </w:tabs>
        <w:spacing w:before="120" w:after="120"/>
        <w:ind w:right="-1"/>
        <w:jc w:val="both"/>
        <w:rPr>
          <w:rFonts w:cs="Arial"/>
          <w:b/>
          <w:sz w:val="20"/>
        </w:rPr>
      </w:pPr>
      <w:r>
        <w:rPr>
          <w:rFonts w:cs="Arial"/>
          <w:b/>
          <w:sz w:val="20"/>
        </w:rPr>
        <w:t>Celkové pojistné za sjednaná pojištění po slevě za jeden pojistný rok činí</w:t>
      </w:r>
      <w:r w:rsidRPr="0098101F">
        <w:rPr>
          <w:rFonts w:cs="Arial"/>
          <w:b/>
          <w:sz w:val="20"/>
        </w:rPr>
        <w:t xml:space="preserve"> </w:t>
      </w:r>
      <w:r w:rsidRPr="0098101F">
        <w:rPr>
          <w:rFonts w:cs="Arial"/>
          <w:b/>
          <w:sz w:val="20"/>
        </w:rPr>
        <w:tab/>
      </w:r>
      <w:proofErr w:type="gramStart"/>
      <w:r>
        <w:rPr>
          <w:rFonts w:cs="Arial"/>
          <w:b/>
          <w:sz w:val="20"/>
        </w:rPr>
        <w:t>1 146 348</w:t>
      </w:r>
      <w:r w:rsidRPr="0098101F">
        <w:rPr>
          <w:rFonts w:cs="Arial"/>
          <w:b/>
          <w:sz w:val="20"/>
        </w:rPr>
        <w:t xml:space="preserve">  Kč</w:t>
      </w:r>
      <w:proofErr w:type="gramEnd"/>
    </w:p>
    <w:p w:rsidR="000C1A67" w:rsidRDefault="000C1A67" w:rsidP="000C1A67">
      <w:pPr>
        <w:widowControl w:val="0"/>
        <w:tabs>
          <w:tab w:val="right" w:leader="dot" w:pos="9639"/>
        </w:tabs>
        <w:spacing w:before="120" w:after="120"/>
        <w:jc w:val="both"/>
        <w:rPr>
          <w:rFonts w:cs="Arial"/>
          <w:b/>
          <w:sz w:val="20"/>
        </w:rPr>
      </w:pPr>
      <w:r>
        <w:rPr>
          <w:rFonts w:cs="Arial"/>
          <w:b/>
          <w:sz w:val="20"/>
        </w:rPr>
        <w:t xml:space="preserve">Pojistné za změny v rozsahu pojištění sjednané tímto dodatkem č. 2 pro dobu jednoho pojistného roku po slevě by činilo </w:t>
      </w:r>
      <w:r w:rsidRPr="0098101F">
        <w:rPr>
          <w:rFonts w:cs="Arial"/>
          <w:b/>
          <w:sz w:val="20"/>
        </w:rPr>
        <w:t xml:space="preserve"> </w:t>
      </w:r>
      <w:r w:rsidRPr="0098101F">
        <w:rPr>
          <w:rFonts w:cs="Arial"/>
          <w:b/>
          <w:sz w:val="20"/>
        </w:rPr>
        <w:tab/>
      </w:r>
      <w:proofErr w:type="gramStart"/>
      <w:r>
        <w:rPr>
          <w:rFonts w:cs="Arial"/>
          <w:b/>
          <w:sz w:val="20"/>
        </w:rPr>
        <w:t>4 885</w:t>
      </w:r>
      <w:r w:rsidRPr="0098101F">
        <w:rPr>
          <w:rFonts w:cs="Arial"/>
          <w:b/>
          <w:sz w:val="20"/>
        </w:rPr>
        <w:t xml:space="preserve">  Kč</w:t>
      </w:r>
      <w:proofErr w:type="gramEnd"/>
    </w:p>
    <w:p w:rsidR="000C1A67" w:rsidRPr="009C3A0F" w:rsidRDefault="000C1A67" w:rsidP="000C1A67">
      <w:pPr>
        <w:widowControl w:val="0"/>
        <w:tabs>
          <w:tab w:val="right" w:leader="dot" w:pos="9639"/>
        </w:tabs>
        <w:spacing w:before="120" w:after="120"/>
        <w:jc w:val="both"/>
        <w:rPr>
          <w:rFonts w:cs="Arial"/>
          <w:b/>
          <w:sz w:val="20"/>
        </w:rPr>
      </w:pPr>
      <w:r w:rsidRPr="009C3A0F">
        <w:rPr>
          <w:rFonts w:cs="Arial"/>
          <w:b/>
          <w:sz w:val="20"/>
        </w:rPr>
        <w:t>Poměrné pojistné</w:t>
      </w:r>
      <w:r>
        <w:rPr>
          <w:rFonts w:cs="Arial"/>
          <w:b/>
          <w:sz w:val="20"/>
        </w:rPr>
        <w:t xml:space="preserve"> za tento dodatek</w:t>
      </w:r>
      <w:r w:rsidRPr="009C3A0F">
        <w:rPr>
          <w:rFonts w:cs="Arial"/>
          <w:b/>
          <w:sz w:val="20"/>
        </w:rPr>
        <w:t xml:space="preserve"> </w:t>
      </w:r>
      <w:r>
        <w:rPr>
          <w:rFonts w:cs="Arial"/>
          <w:b/>
          <w:sz w:val="20"/>
        </w:rPr>
        <w:t xml:space="preserve">za období </w:t>
      </w:r>
      <w:r w:rsidRPr="009C3A0F">
        <w:rPr>
          <w:rFonts w:cs="Arial"/>
          <w:b/>
          <w:sz w:val="20"/>
        </w:rPr>
        <w:t xml:space="preserve">od </w:t>
      </w:r>
      <w:r>
        <w:rPr>
          <w:rFonts w:cs="Arial"/>
          <w:b/>
          <w:sz w:val="20"/>
        </w:rPr>
        <w:t xml:space="preserve">24. září 2016 do </w:t>
      </w:r>
      <w:r w:rsidR="009A72E2">
        <w:rPr>
          <w:rFonts w:cs="Arial"/>
          <w:b/>
          <w:sz w:val="20"/>
        </w:rPr>
        <w:t xml:space="preserve">31. </w:t>
      </w:r>
      <w:r w:rsidR="00D54330">
        <w:rPr>
          <w:rFonts w:cs="Arial"/>
          <w:b/>
          <w:sz w:val="20"/>
        </w:rPr>
        <w:t>p</w:t>
      </w:r>
      <w:r w:rsidR="009A72E2">
        <w:rPr>
          <w:rFonts w:cs="Arial"/>
          <w:b/>
          <w:sz w:val="20"/>
        </w:rPr>
        <w:t>rosince 2016</w:t>
      </w:r>
      <w:r w:rsidRPr="009C3A0F">
        <w:rPr>
          <w:rFonts w:cs="Arial"/>
          <w:b/>
          <w:sz w:val="20"/>
        </w:rPr>
        <w:t xml:space="preserve"> činí </w:t>
      </w:r>
      <w:r w:rsidRPr="009C3A0F">
        <w:rPr>
          <w:rFonts w:cs="Arial"/>
          <w:b/>
          <w:sz w:val="20"/>
        </w:rPr>
        <w:tab/>
      </w:r>
      <w:proofErr w:type="gramStart"/>
      <w:r>
        <w:rPr>
          <w:rFonts w:cs="Arial"/>
          <w:b/>
          <w:sz w:val="20"/>
        </w:rPr>
        <w:t>1 321</w:t>
      </w:r>
      <w:r w:rsidRPr="009C3A0F">
        <w:rPr>
          <w:rFonts w:cs="Arial"/>
          <w:b/>
          <w:sz w:val="20"/>
        </w:rPr>
        <w:t xml:space="preserve">  Kč</w:t>
      </w:r>
      <w:proofErr w:type="gramEnd"/>
    </w:p>
    <w:p w:rsidR="000C1A67" w:rsidRDefault="000C1A67" w:rsidP="000C1A67">
      <w:pPr>
        <w:pStyle w:val="Odstavecseseznamem"/>
        <w:widowControl w:val="0"/>
        <w:numPr>
          <w:ilvl w:val="0"/>
          <w:numId w:val="30"/>
        </w:numPr>
        <w:spacing w:after="120"/>
        <w:ind w:left="284" w:hanging="284"/>
        <w:jc w:val="both"/>
        <w:rPr>
          <w:rFonts w:ascii="Koop Office" w:hAnsi="Koop Office" w:cs="Arial"/>
          <w:sz w:val="20"/>
        </w:rPr>
      </w:pPr>
      <w:r w:rsidRPr="00B73EBC">
        <w:rPr>
          <w:rFonts w:ascii="Koop Office" w:hAnsi="Koop Office"/>
          <w:sz w:val="20"/>
        </w:rPr>
        <w:t xml:space="preserve">Pojistné za změny v rozsahu pojištění sjednané tímto dodatkem ve výši </w:t>
      </w:r>
      <w:r>
        <w:rPr>
          <w:rFonts w:ascii="Koop Office" w:hAnsi="Koop Office"/>
          <w:b/>
          <w:sz w:val="20"/>
        </w:rPr>
        <w:t>1 321</w:t>
      </w:r>
      <w:r w:rsidRPr="00B73EBC">
        <w:rPr>
          <w:rFonts w:ascii="Koop Office" w:hAnsi="Koop Office"/>
          <w:b/>
          <w:sz w:val="20"/>
        </w:rPr>
        <w:t xml:space="preserve"> Kč</w:t>
      </w:r>
      <w:r w:rsidRPr="00B73EBC">
        <w:rPr>
          <w:rFonts w:ascii="Koop Office" w:hAnsi="Koop Office"/>
          <w:sz w:val="20"/>
        </w:rPr>
        <w:t xml:space="preserve"> je splatné k</w:t>
      </w:r>
      <w:r>
        <w:rPr>
          <w:rFonts w:ascii="Koop Office" w:hAnsi="Koop Office"/>
          <w:sz w:val="20"/>
        </w:rPr>
        <w:t> </w:t>
      </w:r>
      <w:proofErr w:type="gramStart"/>
      <w:r w:rsidRPr="00B73EBC">
        <w:rPr>
          <w:rFonts w:ascii="Koop Office" w:hAnsi="Koop Office"/>
          <w:sz w:val="20"/>
        </w:rPr>
        <w:t>datu</w:t>
      </w:r>
      <w:r>
        <w:rPr>
          <w:rFonts w:ascii="Koop Office" w:hAnsi="Koop Office"/>
          <w:sz w:val="20"/>
        </w:rPr>
        <w:t xml:space="preserve">                             </w:t>
      </w:r>
      <w:r w:rsidRPr="00B73EBC">
        <w:rPr>
          <w:rFonts w:ascii="Koop Office" w:hAnsi="Koop Office"/>
          <w:sz w:val="20"/>
        </w:rPr>
        <w:t xml:space="preserve"> </w:t>
      </w:r>
      <w:r w:rsidR="009A72E2">
        <w:rPr>
          <w:rFonts w:ascii="Koop Office" w:hAnsi="Koop Office"/>
          <w:b/>
          <w:sz w:val="20"/>
        </w:rPr>
        <w:t>25</w:t>
      </w:r>
      <w:proofErr w:type="gramEnd"/>
      <w:r>
        <w:rPr>
          <w:rFonts w:ascii="Koop Office" w:hAnsi="Koop Office"/>
          <w:b/>
          <w:sz w:val="20"/>
        </w:rPr>
        <w:t>. října 2016</w:t>
      </w:r>
      <w:r w:rsidRPr="00B73EBC">
        <w:rPr>
          <w:rFonts w:ascii="Koop Office" w:hAnsi="Koop Office" w:cs="Arial"/>
          <w:sz w:val="20"/>
        </w:rPr>
        <w:t xml:space="preserve">. </w:t>
      </w:r>
    </w:p>
    <w:p w:rsidR="000C1A67" w:rsidRDefault="000C1A67" w:rsidP="000C1A67">
      <w:pPr>
        <w:pStyle w:val="Odstavecseseznamem"/>
        <w:widowControl w:val="0"/>
        <w:spacing w:after="120"/>
        <w:ind w:left="284"/>
        <w:jc w:val="both"/>
        <w:rPr>
          <w:rFonts w:ascii="Koop Office" w:hAnsi="Koop Office" w:cs="Arial"/>
          <w:sz w:val="20"/>
        </w:rPr>
      </w:pPr>
    </w:p>
    <w:p w:rsidR="000C1A67" w:rsidRPr="00E717F2" w:rsidRDefault="000C1A67" w:rsidP="000C1A67">
      <w:pPr>
        <w:pStyle w:val="Odstavecseseznamem"/>
        <w:widowControl w:val="0"/>
        <w:numPr>
          <w:ilvl w:val="0"/>
          <w:numId w:val="30"/>
        </w:numPr>
        <w:spacing w:after="0" w:line="240" w:lineRule="auto"/>
        <w:ind w:left="284" w:hanging="284"/>
        <w:outlineLvl w:val="0"/>
        <w:rPr>
          <w:rFonts w:ascii="Koop Office" w:hAnsi="Koop Office" w:cs="Arial"/>
          <w:bCs/>
          <w:caps/>
          <w:sz w:val="20"/>
          <w:szCs w:val="20"/>
        </w:rPr>
      </w:pPr>
      <w:r w:rsidRPr="00E717F2">
        <w:rPr>
          <w:rFonts w:ascii="Koop Office" w:hAnsi="Koop Office" w:cs="Arial"/>
          <w:b/>
          <w:sz w:val="20"/>
          <w:szCs w:val="20"/>
        </w:rPr>
        <w:t xml:space="preserve">Původní předpis pojistného se nahrazuje novým předpisem k datu </w:t>
      </w:r>
      <w:r w:rsidR="009A72E2">
        <w:rPr>
          <w:rFonts w:ascii="Koop Office" w:hAnsi="Koop Office" w:cs="Arial"/>
          <w:b/>
          <w:sz w:val="20"/>
          <w:szCs w:val="20"/>
        </w:rPr>
        <w:t xml:space="preserve">1. ledna </w:t>
      </w:r>
      <w:r w:rsidRPr="00E717F2">
        <w:rPr>
          <w:rFonts w:ascii="Koop Office" w:hAnsi="Koop Office" w:cs="Arial"/>
          <w:b/>
          <w:sz w:val="20"/>
          <w:szCs w:val="20"/>
        </w:rPr>
        <w:t>2017 a v částce takto:</w:t>
      </w:r>
    </w:p>
    <w:p w:rsidR="000C1A67" w:rsidRPr="00E717F2" w:rsidRDefault="000C1A67" w:rsidP="000C1A67">
      <w:pPr>
        <w:spacing w:before="120"/>
        <w:jc w:val="both"/>
        <w:rPr>
          <w:sz w:val="20"/>
          <w:szCs w:val="20"/>
        </w:rPr>
      </w:pPr>
      <w:r w:rsidRPr="00E717F2">
        <w:rPr>
          <w:sz w:val="20"/>
          <w:szCs w:val="20"/>
        </w:rPr>
        <w:t xml:space="preserve">     Pojistné je sjednáno jako běžné. </w:t>
      </w:r>
    </w:p>
    <w:p w:rsidR="000C1A67" w:rsidRPr="00D805FA" w:rsidRDefault="000C1A67" w:rsidP="000C1A67">
      <w:pPr>
        <w:ind w:left="284" w:hanging="284"/>
        <w:jc w:val="both"/>
        <w:rPr>
          <w:sz w:val="20"/>
          <w:szCs w:val="20"/>
        </w:rPr>
      </w:pPr>
      <w:r>
        <w:rPr>
          <w:sz w:val="20"/>
          <w:szCs w:val="20"/>
        </w:rPr>
        <w:t xml:space="preserve">     </w:t>
      </w:r>
      <w:r w:rsidRPr="00D805FA">
        <w:rPr>
          <w:sz w:val="20"/>
          <w:szCs w:val="20"/>
        </w:rPr>
        <w:t>Pojistné období je dvanáctiměsíční.</w:t>
      </w:r>
      <w:r>
        <w:rPr>
          <w:sz w:val="20"/>
          <w:szCs w:val="20"/>
        </w:rPr>
        <w:t xml:space="preserve"> </w:t>
      </w:r>
      <w:r w:rsidRPr="00D805FA">
        <w:rPr>
          <w:sz w:val="20"/>
          <w:szCs w:val="20"/>
        </w:rPr>
        <w:t xml:space="preserve">Pojistné je v každém pojistném roce počínaje datem </w:t>
      </w:r>
      <w:r w:rsidR="009A72E2">
        <w:rPr>
          <w:sz w:val="20"/>
          <w:szCs w:val="20"/>
        </w:rPr>
        <w:t>1. ledna</w:t>
      </w:r>
      <w:r>
        <w:rPr>
          <w:sz w:val="20"/>
          <w:szCs w:val="20"/>
        </w:rPr>
        <w:t xml:space="preserve"> 2017</w:t>
      </w:r>
      <w:r w:rsidRPr="00D805FA">
        <w:rPr>
          <w:sz w:val="20"/>
          <w:szCs w:val="20"/>
        </w:rPr>
        <w:t xml:space="preserve"> splatné v rámci pojistného roku k datům a v částkách takto:</w:t>
      </w:r>
    </w:p>
    <w:p w:rsidR="000C1A67" w:rsidRDefault="000C1A67" w:rsidP="000C1A67">
      <w:pPr>
        <w:tabs>
          <w:tab w:val="left" w:pos="-1560"/>
          <w:tab w:val="left" w:pos="-1418"/>
          <w:tab w:val="left" w:pos="3969"/>
        </w:tabs>
        <w:spacing w:before="120"/>
        <w:ind w:left="426"/>
        <w:jc w:val="both"/>
        <w:rPr>
          <w:rFonts w:cs="Arial"/>
          <w:sz w:val="20"/>
        </w:rPr>
      </w:pPr>
      <w:r w:rsidRPr="00D805FA">
        <w:rPr>
          <w:rFonts w:cs="Arial"/>
          <w:sz w:val="20"/>
        </w:rPr>
        <w:t xml:space="preserve">        datum:</w:t>
      </w:r>
      <w:r w:rsidRPr="00D805FA">
        <w:rPr>
          <w:rFonts w:cs="Arial"/>
          <w:sz w:val="20"/>
        </w:rPr>
        <w:tab/>
        <w:t>částka:</w:t>
      </w:r>
    </w:p>
    <w:p w:rsidR="000C1A67" w:rsidRDefault="000C1A67" w:rsidP="000C1A67">
      <w:pPr>
        <w:tabs>
          <w:tab w:val="left" w:pos="-1560"/>
          <w:tab w:val="left" w:pos="-1418"/>
          <w:tab w:val="left" w:pos="3969"/>
        </w:tabs>
        <w:ind w:left="851"/>
        <w:jc w:val="both"/>
        <w:rPr>
          <w:rFonts w:cs="Arial"/>
          <w:b/>
          <w:sz w:val="20"/>
        </w:rPr>
      </w:pPr>
      <w:r>
        <w:rPr>
          <w:rFonts w:cs="Arial"/>
          <w:b/>
          <w:sz w:val="20"/>
        </w:rPr>
        <w:t>30. června</w:t>
      </w:r>
      <w:r>
        <w:rPr>
          <w:rFonts w:cs="Arial"/>
          <w:b/>
          <w:sz w:val="20"/>
        </w:rPr>
        <w:tab/>
        <w:t>1 146 348</w:t>
      </w:r>
      <w:r w:rsidRPr="00E0663B">
        <w:rPr>
          <w:rFonts w:cs="Arial"/>
          <w:b/>
          <w:sz w:val="20"/>
        </w:rPr>
        <w:t xml:space="preserve"> Kč </w:t>
      </w:r>
    </w:p>
    <w:p w:rsidR="000C1A67" w:rsidRPr="00E0663B" w:rsidRDefault="000C1A67" w:rsidP="000C1A67">
      <w:pPr>
        <w:tabs>
          <w:tab w:val="left" w:pos="-1560"/>
          <w:tab w:val="left" w:pos="-1418"/>
          <w:tab w:val="left" w:pos="3969"/>
        </w:tabs>
        <w:ind w:left="851"/>
        <w:jc w:val="both"/>
        <w:rPr>
          <w:rFonts w:cs="Arial"/>
          <w:b/>
          <w:sz w:val="20"/>
        </w:rPr>
      </w:pPr>
    </w:p>
    <w:p w:rsidR="000C1A67" w:rsidRDefault="000C1A67" w:rsidP="000C1A67">
      <w:pPr>
        <w:numPr>
          <w:ilvl w:val="0"/>
          <w:numId w:val="30"/>
        </w:numPr>
        <w:ind w:left="284" w:hanging="284"/>
        <w:outlineLvl w:val="0"/>
        <w:rPr>
          <w:rFonts w:cs="Arial"/>
          <w:sz w:val="20"/>
        </w:rPr>
      </w:pPr>
      <w:r w:rsidRPr="0042296C">
        <w:rPr>
          <w:rFonts w:cs="Arial"/>
          <w:sz w:val="20"/>
          <w:szCs w:val="20"/>
        </w:rPr>
        <w:t>Pojistník</w:t>
      </w:r>
      <w:r>
        <w:rPr>
          <w:rFonts w:cs="Arial"/>
          <w:sz w:val="20"/>
          <w:szCs w:val="20"/>
        </w:rPr>
        <w:t xml:space="preserve"> je povinen uhradit pojistné v uvedené výši na účet pojistníka </w:t>
      </w:r>
      <w:proofErr w:type="spellStart"/>
      <w:proofErr w:type="gramStart"/>
      <w:r>
        <w:rPr>
          <w:rFonts w:cs="Arial"/>
          <w:sz w:val="20"/>
          <w:szCs w:val="20"/>
        </w:rPr>
        <w:t>č.ú</w:t>
      </w:r>
      <w:proofErr w:type="spellEnd"/>
      <w:r>
        <w:rPr>
          <w:rFonts w:cs="Arial"/>
          <w:sz w:val="20"/>
          <w:szCs w:val="20"/>
        </w:rPr>
        <w:t xml:space="preserve">. </w:t>
      </w:r>
      <w:proofErr w:type="spellStart"/>
      <w:r w:rsidR="006A3691">
        <w:rPr>
          <w:rFonts w:cs="Arial"/>
          <w:sz w:val="20"/>
          <w:szCs w:val="20"/>
        </w:rPr>
        <w:t>xxxxxxx</w:t>
      </w:r>
      <w:proofErr w:type="spellEnd"/>
      <w:r>
        <w:rPr>
          <w:rFonts w:cs="Arial"/>
          <w:sz w:val="20"/>
          <w:szCs w:val="20"/>
        </w:rPr>
        <w:t>/</w:t>
      </w:r>
      <w:proofErr w:type="spellStart"/>
      <w:r w:rsidR="006A3691">
        <w:rPr>
          <w:rFonts w:cs="Arial"/>
          <w:sz w:val="20"/>
          <w:szCs w:val="20"/>
        </w:rPr>
        <w:t>xxxx</w:t>
      </w:r>
      <w:proofErr w:type="spellEnd"/>
      <w:proofErr w:type="gramEnd"/>
      <w:r>
        <w:rPr>
          <w:rFonts w:cs="Arial"/>
          <w:sz w:val="20"/>
          <w:szCs w:val="20"/>
        </w:rPr>
        <w:t xml:space="preserve">, variabilní symbol: </w:t>
      </w:r>
      <w:proofErr w:type="spellStart"/>
      <w:r w:rsidR="006A3691">
        <w:rPr>
          <w:rFonts w:cs="Arial"/>
          <w:b/>
          <w:sz w:val="20"/>
          <w:szCs w:val="20"/>
        </w:rPr>
        <w:t>xxxxxxxxxx</w:t>
      </w:r>
      <w:proofErr w:type="spellEnd"/>
      <w:r>
        <w:rPr>
          <w:rFonts w:cs="Arial"/>
          <w:b/>
          <w:sz w:val="20"/>
          <w:szCs w:val="20"/>
        </w:rPr>
        <w:t>.</w:t>
      </w:r>
      <w:r>
        <w:rPr>
          <w:rFonts w:cs="Arial"/>
          <w:sz w:val="20"/>
        </w:rPr>
        <w:t xml:space="preserve"> </w:t>
      </w:r>
    </w:p>
    <w:p w:rsidR="000C1A67" w:rsidRDefault="000C1A67" w:rsidP="000C1A67">
      <w:pPr>
        <w:outlineLvl w:val="0"/>
        <w:rPr>
          <w:rFonts w:cs="Arial"/>
          <w:sz w:val="20"/>
        </w:rPr>
      </w:pPr>
    </w:p>
    <w:p w:rsidR="000C1A67" w:rsidRDefault="000C1A67" w:rsidP="000C1A67">
      <w:pPr>
        <w:numPr>
          <w:ilvl w:val="12"/>
          <w:numId w:val="0"/>
        </w:numPr>
        <w:tabs>
          <w:tab w:val="left" w:pos="357"/>
          <w:tab w:val="right" w:leader="dot" w:pos="8998"/>
        </w:tabs>
        <w:ind w:left="357" w:right="55" w:firstLine="3"/>
        <w:rPr>
          <w:rFonts w:cs="Arial"/>
          <w:sz w:val="20"/>
        </w:rPr>
      </w:pPr>
    </w:p>
    <w:p w:rsidR="000C1A67" w:rsidRPr="00BA1BB0" w:rsidRDefault="000C1A67" w:rsidP="000C1A67">
      <w:pPr>
        <w:tabs>
          <w:tab w:val="center" w:pos="4513"/>
        </w:tabs>
        <w:suppressAutoHyphens/>
        <w:jc w:val="both"/>
        <w:rPr>
          <w:rFonts w:cs="Arial"/>
          <w:spacing w:val="-3"/>
          <w:sz w:val="20"/>
          <w:szCs w:val="20"/>
        </w:rPr>
      </w:pPr>
      <w:r w:rsidRPr="00BA1BB0">
        <w:rPr>
          <w:rFonts w:cs="Arial"/>
          <w:spacing w:val="-3"/>
          <w:sz w:val="20"/>
          <w:szCs w:val="20"/>
        </w:rPr>
        <w:t xml:space="preserve">Pro úplnost </w:t>
      </w:r>
      <w:r>
        <w:rPr>
          <w:rFonts w:cs="Arial"/>
          <w:spacing w:val="-3"/>
          <w:sz w:val="20"/>
          <w:szCs w:val="20"/>
        </w:rPr>
        <w:t>a vyloučení všech pochybností je níže uvedena rekapitulace celkového ročního pojistného</w:t>
      </w:r>
    </w:p>
    <w:p w:rsidR="000C1A67" w:rsidRPr="00055970" w:rsidRDefault="000C1A67" w:rsidP="000C1A67">
      <w:pPr>
        <w:tabs>
          <w:tab w:val="right" w:leader="dot" w:pos="9639"/>
        </w:tabs>
        <w:spacing w:before="120"/>
        <w:jc w:val="both"/>
        <w:rPr>
          <w:rFonts w:cs="Arial"/>
          <w:b/>
          <w:sz w:val="24"/>
          <w:u w:val="single"/>
        </w:rPr>
      </w:pPr>
      <w:r w:rsidRPr="00055970">
        <w:rPr>
          <w:rFonts w:cs="Arial"/>
          <w:b/>
          <w:sz w:val="24"/>
          <w:u w:val="single"/>
        </w:rPr>
        <w:t>CELKOVÉ ROČNÍ POJISTNÉ – REKAPITULACE:</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Oddíl A – pojištění majetku, o</w:t>
      </w:r>
      <w:r>
        <w:rPr>
          <w:rFonts w:cs="Arial"/>
          <w:b/>
          <w:sz w:val="20"/>
        </w:rPr>
        <w:t>dpovědnosti a lesních porostů - 7720937511</w:t>
      </w:r>
      <w:r>
        <w:rPr>
          <w:rFonts w:cs="Arial"/>
          <w:b/>
          <w:sz w:val="20"/>
        </w:rPr>
        <w:tab/>
        <w:t xml:space="preserve">1 146 348 </w:t>
      </w:r>
      <w:r w:rsidRPr="006368D9">
        <w:rPr>
          <w:rFonts w:cs="Arial"/>
          <w:b/>
          <w:sz w:val="20"/>
        </w:rPr>
        <w:t>Kč</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 xml:space="preserve">Oddíl B – pojištění vozidel – FLOTILA - </w:t>
      </w:r>
      <w:r w:rsidRPr="00CB65F4">
        <w:rPr>
          <w:rFonts w:cs="Arial"/>
          <w:b/>
          <w:sz w:val="20"/>
        </w:rPr>
        <w:t>666 740 004 8</w:t>
      </w:r>
      <w:r>
        <w:rPr>
          <w:rFonts w:cs="Arial"/>
          <w:b/>
          <w:sz w:val="20"/>
        </w:rPr>
        <w:t xml:space="preserve"> (nemění se)</w:t>
      </w:r>
      <w:r>
        <w:rPr>
          <w:rFonts w:cs="Arial"/>
          <w:b/>
          <w:sz w:val="20"/>
        </w:rPr>
        <w:tab/>
        <w:t xml:space="preserve">   </w:t>
      </w:r>
      <w:r w:rsidRPr="00772822">
        <w:rPr>
          <w:b/>
          <w:sz w:val="20"/>
          <w:szCs w:val="20"/>
        </w:rPr>
        <w:t>309 815 Kč</w:t>
      </w:r>
    </w:p>
    <w:p w:rsidR="000C1A67" w:rsidRPr="00772822" w:rsidRDefault="000C1A67" w:rsidP="000C1A67">
      <w:pPr>
        <w:tabs>
          <w:tab w:val="left" w:pos="7938"/>
          <w:tab w:val="right" w:leader="dot" w:pos="9639"/>
        </w:tabs>
        <w:spacing w:before="120"/>
        <w:jc w:val="both"/>
        <w:rPr>
          <w:rFonts w:cs="Arial"/>
          <w:b/>
          <w:sz w:val="20"/>
        </w:rPr>
      </w:pPr>
      <w:r w:rsidRPr="00772822">
        <w:rPr>
          <w:rFonts w:cs="Arial"/>
          <w:b/>
          <w:sz w:val="20"/>
        </w:rPr>
        <w:t xml:space="preserve">Oddíl C – úrazové pojištění (administrativní pracovníci) - 8603229942 </w:t>
      </w:r>
      <w:r w:rsidR="009A72E2">
        <w:rPr>
          <w:rFonts w:cs="Arial"/>
          <w:b/>
          <w:sz w:val="20"/>
        </w:rPr>
        <w:t>(nemění se)</w:t>
      </w:r>
      <w:r>
        <w:rPr>
          <w:rFonts w:cs="Arial"/>
          <w:b/>
          <w:sz w:val="20"/>
        </w:rPr>
        <w:tab/>
        <w:t xml:space="preserve">     </w:t>
      </w:r>
      <w:r w:rsidRPr="00C4583F">
        <w:rPr>
          <w:rFonts w:cs="Arial"/>
          <w:b/>
          <w:spacing w:val="-3"/>
          <w:sz w:val="20"/>
          <w:szCs w:val="20"/>
        </w:rPr>
        <w:t>16</w:t>
      </w:r>
      <w:r>
        <w:rPr>
          <w:rFonts w:cs="Arial"/>
          <w:b/>
          <w:spacing w:val="-3"/>
          <w:sz w:val="20"/>
          <w:szCs w:val="20"/>
        </w:rPr>
        <w:t xml:space="preserve"> </w:t>
      </w:r>
      <w:r w:rsidRPr="00C4583F">
        <w:rPr>
          <w:rFonts w:cs="Arial"/>
          <w:b/>
          <w:spacing w:val="-3"/>
          <w:sz w:val="20"/>
          <w:szCs w:val="20"/>
        </w:rPr>
        <w:t>023 Kč</w:t>
      </w:r>
    </w:p>
    <w:p w:rsidR="000C1A67" w:rsidRDefault="000C1A67" w:rsidP="000C1A67">
      <w:pPr>
        <w:tabs>
          <w:tab w:val="left" w:pos="7938"/>
          <w:tab w:val="right" w:leader="dot" w:pos="9639"/>
        </w:tabs>
        <w:spacing w:before="120"/>
        <w:jc w:val="both"/>
        <w:rPr>
          <w:rFonts w:cs="Arial"/>
          <w:b/>
          <w:sz w:val="20"/>
        </w:rPr>
      </w:pPr>
      <w:r w:rsidRPr="00772822">
        <w:rPr>
          <w:rFonts w:cs="Arial"/>
          <w:b/>
          <w:sz w:val="20"/>
        </w:rPr>
        <w:t xml:space="preserve">Oddíl D – úrazové pojištění (dobrovolní hasiči) </w:t>
      </w:r>
      <w:r>
        <w:rPr>
          <w:rFonts w:cs="Arial"/>
          <w:b/>
          <w:sz w:val="20"/>
        </w:rPr>
        <w:t>–</w:t>
      </w:r>
      <w:r w:rsidRPr="00772822">
        <w:rPr>
          <w:rFonts w:cs="Arial"/>
          <w:b/>
          <w:sz w:val="20"/>
        </w:rPr>
        <w:t xml:space="preserve"> 8603230192</w:t>
      </w:r>
      <w:r w:rsidR="009A72E2">
        <w:rPr>
          <w:rFonts w:cs="Arial"/>
          <w:b/>
          <w:sz w:val="20"/>
        </w:rPr>
        <w:t xml:space="preserve"> (nemění se)</w:t>
      </w:r>
      <w:r>
        <w:rPr>
          <w:rFonts w:cs="Arial"/>
          <w:b/>
          <w:sz w:val="20"/>
        </w:rPr>
        <w:tab/>
        <w:t xml:space="preserve">     </w:t>
      </w:r>
      <w:r w:rsidRPr="001D038D">
        <w:rPr>
          <w:rFonts w:cs="Arial"/>
          <w:b/>
          <w:spacing w:val="-3"/>
          <w:sz w:val="20"/>
          <w:szCs w:val="20"/>
        </w:rPr>
        <w:t>23</w:t>
      </w:r>
      <w:r>
        <w:rPr>
          <w:rFonts w:cs="Arial"/>
          <w:b/>
          <w:spacing w:val="-3"/>
          <w:sz w:val="20"/>
          <w:szCs w:val="20"/>
        </w:rPr>
        <w:t xml:space="preserve"> </w:t>
      </w:r>
      <w:r w:rsidRPr="001D038D">
        <w:rPr>
          <w:rFonts w:cs="Arial"/>
          <w:b/>
          <w:spacing w:val="-3"/>
          <w:sz w:val="20"/>
          <w:szCs w:val="20"/>
        </w:rPr>
        <w:t xml:space="preserve">912 </w:t>
      </w:r>
      <w:r w:rsidRPr="006368D9">
        <w:rPr>
          <w:rFonts w:cs="Arial"/>
          <w:b/>
          <w:sz w:val="20"/>
        </w:rPr>
        <w:t>Kč</w:t>
      </w:r>
    </w:p>
    <w:p w:rsidR="000C1A67" w:rsidRPr="00DE030E" w:rsidRDefault="000C1A67" w:rsidP="000C1A67">
      <w:pPr>
        <w:tabs>
          <w:tab w:val="left" w:pos="7655"/>
          <w:tab w:val="right" w:leader="dot" w:pos="9072"/>
        </w:tabs>
        <w:spacing w:before="120"/>
        <w:jc w:val="both"/>
        <w:rPr>
          <w:rFonts w:cs="Arial"/>
          <w:b/>
          <w:sz w:val="20"/>
        </w:rPr>
      </w:pPr>
      <w:r w:rsidRPr="00DE030E">
        <w:rPr>
          <w:rFonts w:cs="Arial"/>
          <w:b/>
          <w:sz w:val="24"/>
          <w:u w:val="single"/>
        </w:rPr>
        <w:t>CELKOVÉ ROČNÍ POJISTNÉ</w:t>
      </w:r>
      <w:r>
        <w:rPr>
          <w:rFonts w:cs="Arial"/>
          <w:b/>
          <w:sz w:val="24"/>
          <w:u w:val="single"/>
        </w:rPr>
        <w:t xml:space="preserve"> za oddíl A, B, C, D</w:t>
      </w:r>
      <w:r>
        <w:rPr>
          <w:rFonts w:cs="Arial"/>
          <w:b/>
          <w:sz w:val="24"/>
          <w:u w:val="single"/>
        </w:rPr>
        <w:tab/>
        <w:t>1 496 098 Kč</w:t>
      </w:r>
    </w:p>
    <w:p w:rsidR="004F466F" w:rsidRPr="006368D9" w:rsidRDefault="004F466F" w:rsidP="004F466F">
      <w:pPr>
        <w:tabs>
          <w:tab w:val="left" w:pos="-720"/>
        </w:tabs>
        <w:spacing w:before="120"/>
        <w:jc w:val="center"/>
        <w:rPr>
          <w:rFonts w:cs="Arial"/>
          <w:b/>
          <w:sz w:val="24"/>
        </w:rPr>
      </w:pPr>
      <w:r w:rsidRPr="006368D9">
        <w:rPr>
          <w:rFonts w:cs="Arial"/>
          <w:b/>
          <w:sz w:val="24"/>
        </w:rPr>
        <w:lastRenderedPageBreak/>
        <w:t xml:space="preserve">Článek </w:t>
      </w:r>
      <w:r>
        <w:rPr>
          <w:rFonts w:cs="Arial"/>
          <w:b/>
          <w:sz w:val="24"/>
        </w:rPr>
        <w:t>IV</w:t>
      </w:r>
      <w:r w:rsidRPr="006368D9">
        <w:rPr>
          <w:rFonts w:cs="Arial"/>
          <w:b/>
          <w:sz w:val="24"/>
        </w:rPr>
        <w:t>.</w:t>
      </w:r>
    </w:p>
    <w:p w:rsidR="004F466F" w:rsidRDefault="004F466F" w:rsidP="004F466F">
      <w:pPr>
        <w:tabs>
          <w:tab w:val="left" w:pos="-720"/>
        </w:tabs>
        <w:jc w:val="center"/>
        <w:rPr>
          <w:rFonts w:cs="Arial"/>
          <w:b/>
          <w:sz w:val="24"/>
        </w:rPr>
      </w:pPr>
      <w:r>
        <w:rPr>
          <w:rFonts w:cs="Arial"/>
          <w:b/>
          <w:sz w:val="24"/>
        </w:rPr>
        <w:t>Hlášení škodných událostí</w:t>
      </w:r>
    </w:p>
    <w:p w:rsidR="004F466F" w:rsidRDefault="004F466F" w:rsidP="004F466F">
      <w:pPr>
        <w:tabs>
          <w:tab w:val="left" w:pos="-720"/>
        </w:tabs>
        <w:jc w:val="center"/>
        <w:rPr>
          <w:rFonts w:cs="Arial"/>
          <w:b/>
          <w:sz w:val="24"/>
        </w:rPr>
      </w:pPr>
    </w:p>
    <w:p w:rsidR="004F466F" w:rsidRPr="005E083D" w:rsidRDefault="004F466F" w:rsidP="004F466F">
      <w:pPr>
        <w:rPr>
          <w:rFonts w:cs="Arial"/>
          <w:b/>
          <w:sz w:val="24"/>
          <w:u w:val="single"/>
        </w:rPr>
      </w:pPr>
      <w:r w:rsidRPr="005E083D">
        <w:rPr>
          <w:rFonts w:cs="Arial"/>
          <w:b/>
          <w:sz w:val="24"/>
          <w:u w:val="single"/>
        </w:rPr>
        <w:t>Oddíl A – pojištění majetku, odpovědnosti a lesních porostů - 7720937511</w:t>
      </w:r>
    </w:p>
    <w:p w:rsidR="004F466F" w:rsidRPr="006368D9" w:rsidRDefault="004F466F" w:rsidP="004F466F">
      <w:pPr>
        <w:keepNext/>
        <w:numPr>
          <w:ilvl w:val="12"/>
          <w:numId w:val="0"/>
        </w:numPr>
        <w:tabs>
          <w:tab w:val="left" w:pos="-1560"/>
        </w:tabs>
        <w:spacing w:before="120"/>
        <w:jc w:val="both"/>
        <w:rPr>
          <w:rFonts w:cs="Arial"/>
          <w:sz w:val="20"/>
        </w:rPr>
      </w:pPr>
      <w:r w:rsidRPr="006368D9">
        <w:rPr>
          <w:rFonts w:cs="Arial"/>
          <w:sz w:val="20"/>
        </w:rPr>
        <w:t>Vznik škodné události je pojistník (pojištěný) povinen oznámit přímo nebo prostřednictvím zplnomocněného pojišťovacího makléře bez zbytečného odkladu na jeden z níže uvedených kontaktních údajů:</w:t>
      </w:r>
    </w:p>
    <w:p w:rsidR="004F466F" w:rsidRPr="006368D9" w:rsidRDefault="004F466F" w:rsidP="004F466F">
      <w:pPr>
        <w:pStyle w:val="Styl10bZarovnatdobloku"/>
      </w:pPr>
    </w:p>
    <w:p w:rsidR="004F466F" w:rsidRPr="006368D9" w:rsidRDefault="004F466F" w:rsidP="004F466F">
      <w:pPr>
        <w:numPr>
          <w:ilvl w:val="12"/>
          <w:numId w:val="0"/>
        </w:numPr>
        <w:tabs>
          <w:tab w:val="left" w:pos="-720"/>
          <w:tab w:val="left" w:pos="5954"/>
        </w:tabs>
        <w:jc w:val="center"/>
        <w:rPr>
          <w:sz w:val="20"/>
        </w:rPr>
      </w:pPr>
      <w:r w:rsidRPr="006368D9">
        <w:rPr>
          <w:sz w:val="20"/>
        </w:rPr>
        <w:t xml:space="preserve">Kooperativa pojišťovna, a.s., </w:t>
      </w:r>
      <w:proofErr w:type="spellStart"/>
      <w:r w:rsidRPr="006368D9">
        <w:rPr>
          <w:sz w:val="20"/>
        </w:rPr>
        <w:t>Vienna</w:t>
      </w:r>
      <w:proofErr w:type="spellEnd"/>
      <w:r w:rsidRPr="006368D9">
        <w:rPr>
          <w:sz w:val="20"/>
        </w:rPr>
        <w:t xml:space="preserve"> </w:t>
      </w:r>
      <w:proofErr w:type="spellStart"/>
      <w:r w:rsidRPr="006368D9">
        <w:rPr>
          <w:sz w:val="20"/>
        </w:rPr>
        <w:t>Insurance</w:t>
      </w:r>
      <w:proofErr w:type="spellEnd"/>
      <w:r w:rsidRPr="006368D9">
        <w:rPr>
          <w:sz w:val="20"/>
        </w:rPr>
        <w:t xml:space="preserve"> Group</w:t>
      </w:r>
    </w:p>
    <w:p w:rsidR="004F466F" w:rsidRPr="006368D9" w:rsidRDefault="004F466F" w:rsidP="004F466F">
      <w:pPr>
        <w:numPr>
          <w:ilvl w:val="12"/>
          <w:numId w:val="0"/>
        </w:numPr>
        <w:tabs>
          <w:tab w:val="left" w:pos="-720"/>
          <w:tab w:val="left" w:pos="5954"/>
        </w:tabs>
        <w:jc w:val="center"/>
        <w:rPr>
          <w:sz w:val="20"/>
        </w:rPr>
      </w:pPr>
      <w:r w:rsidRPr="006368D9">
        <w:rPr>
          <w:sz w:val="20"/>
        </w:rPr>
        <w:t>CENTRUM ZÁKAZNICKÉ PODPORY</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Centrální podatelna</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Brněnská 634,</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664 42 Modřice</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 xml:space="preserve">Tel.: </w:t>
      </w:r>
      <w:r>
        <w:rPr>
          <w:sz w:val="20"/>
        </w:rPr>
        <w:t>957</w:t>
      </w:r>
      <w:r w:rsidRPr="006368D9">
        <w:rPr>
          <w:sz w:val="20"/>
        </w:rPr>
        <w:t> 105 105</w:t>
      </w:r>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fax: 547 212 602, 547 212 561</w:t>
      </w:r>
    </w:p>
    <w:p w:rsidR="004F466F" w:rsidRPr="006368D9" w:rsidRDefault="004F466F" w:rsidP="004F466F">
      <w:pPr>
        <w:widowControl w:val="0"/>
        <w:numPr>
          <w:ilvl w:val="12"/>
          <w:numId w:val="0"/>
        </w:numPr>
        <w:tabs>
          <w:tab w:val="left" w:pos="-1560"/>
          <w:tab w:val="left" w:pos="5954"/>
        </w:tabs>
        <w:ind w:left="709" w:hanging="709"/>
        <w:jc w:val="center"/>
      </w:pPr>
      <w:r w:rsidRPr="006368D9">
        <w:rPr>
          <w:sz w:val="20"/>
        </w:rPr>
        <w:t xml:space="preserve">E-mail: </w:t>
      </w:r>
      <w:hyperlink r:id="rId10" w:history="1">
        <w:r w:rsidRPr="006368D9">
          <w:rPr>
            <w:rStyle w:val="Hypertextovodkaz"/>
            <w:sz w:val="20"/>
          </w:rPr>
          <w:t>podatelna@koop.cz</w:t>
        </w:r>
      </w:hyperlink>
    </w:p>
    <w:p w:rsidR="004F466F" w:rsidRPr="006368D9" w:rsidRDefault="004F466F" w:rsidP="004F466F">
      <w:pPr>
        <w:widowControl w:val="0"/>
        <w:numPr>
          <w:ilvl w:val="12"/>
          <w:numId w:val="0"/>
        </w:numPr>
        <w:tabs>
          <w:tab w:val="left" w:pos="-1560"/>
          <w:tab w:val="left" w:pos="5954"/>
        </w:tabs>
        <w:ind w:left="709" w:hanging="709"/>
        <w:jc w:val="center"/>
        <w:rPr>
          <w:sz w:val="20"/>
        </w:rPr>
      </w:pPr>
      <w:r w:rsidRPr="006368D9">
        <w:rPr>
          <w:sz w:val="20"/>
        </w:rPr>
        <w:t>www.koop.cz</w:t>
      </w:r>
    </w:p>
    <w:p w:rsidR="004F466F" w:rsidRPr="006368D9" w:rsidRDefault="004F466F" w:rsidP="004F466F">
      <w:pPr>
        <w:pStyle w:val="Zkladntext32"/>
        <w:numPr>
          <w:ilvl w:val="12"/>
          <w:numId w:val="0"/>
        </w:numPr>
        <w:tabs>
          <w:tab w:val="clear" w:pos="-720"/>
          <w:tab w:val="left" w:pos="-1701"/>
        </w:tabs>
        <w:spacing w:line="240" w:lineRule="auto"/>
        <w:jc w:val="both"/>
        <w:rPr>
          <w:rFonts w:ascii="Koop Office" w:hAnsi="Koop Office" w:cs="Arial"/>
        </w:rPr>
      </w:pPr>
      <w:r w:rsidRPr="006368D9">
        <w:rPr>
          <w:rFonts w:ascii="Koop Office" w:hAnsi="Koop Office" w:cs="Arial"/>
        </w:rPr>
        <w:t xml:space="preserve">Na výzvu pojistitele je pojistník (pojištěný nebo jakákoliv jiná osoba) povinen oznámit vznik škodné události písemnou formou. </w:t>
      </w:r>
    </w:p>
    <w:p w:rsidR="004F466F" w:rsidRPr="006368D9" w:rsidRDefault="004F466F" w:rsidP="004F466F">
      <w:pPr>
        <w:tabs>
          <w:tab w:val="left" w:pos="-720"/>
        </w:tabs>
        <w:jc w:val="center"/>
        <w:rPr>
          <w:rFonts w:cs="Arial"/>
          <w:b/>
          <w:sz w:val="24"/>
        </w:rPr>
      </w:pPr>
    </w:p>
    <w:p w:rsidR="004F466F" w:rsidRDefault="004F466F" w:rsidP="004F466F">
      <w:pPr>
        <w:rPr>
          <w:rFonts w:cs="Arial"/>
          <w:b/>
          <w:sz w:val="20"/>
        </w:rPr>
      </w:pPr>
    </w:p>
    <w:p w:rsidR="004F466F" w:rsidRPr="006368D9" w:rsidRDefault="004F466F" w:rsidP="004F466F">
      <w:pPr>
        <w:tabs>
          <w:tab w:val="left" w:pos="-720"/>
        </w:tabs>
        <w:spacing w:before="120"/>
        <w:jc w:val="center"/>
        <w:rPr>
          <w:rFonts w:cs="Arial"/>
          <w:b/>
          <w:sz w:val="24"/>
        </w:rPr>
      </w:pPr>
      <w:r w:rsidRPr="006368D9">
        <w:rPr>
          <w:rFonts w:cs="Arial"/>
          <w:b/>
          <w:sz w:val="24"/>
        </w:rPr>
        <w:t xml:space="preserve">Článek </w:t>
      </w:r>
      <w:r>
        <w:rPr>
          <w:rFonts w:cs="Arial"/>
          <w:b/>
          <w:sz w:val="24"/>
        </w:rPr>
        <w:t>V</w:t>
      </w:r>
      <w:r w:rsidRPr="006368D9">
        <w:rPr>
          <w:rFonts w:cs="Arial"/>
          <w:b/>
          <w:sz w:val="24"/>
        </w:rPr>
        <w:t>.</w:t>
      </w:r>
    </w:p>
    <w:p w:rsidR="004F466F" w:rsidRDefault="004F466F" w:rsidP="004F466F">
      <w:pPr>
        <w:tabs>
          <w:tab w:val="left" w:pos="-720"/>
        </w:tabs>
        <w:jc w:val="center"/>
        <w:rPr>
          <w:rFonts w:cs="Arial"/>
          <w:b/>
          <w:sz w:val="24"/>
        </w:rPr>
      </w:pPr>
      <w:r>
        <w:rPr>
          <w:rFonts w:cs="Arial"/>
          <w:b/>
          <w:sz w:val="24"/>
        </w:rPr>
        <w:t>Zvláštní ujednání</w:t>
      </w:r>
    </w:p>
    <w:p w:rsidR="004F466F" w:rsidRDefault="004F466F" w:rsidP="004F466F">
      <w:pPr>
        <w:tabs>
          <w:tab w:val="left" w:pos="-720"/>
        </w:tabs>
        <w:rPr>
          <w:rFonts w:cs="Arial"/>
          <w:b/>
          <w:sz w:val="24"/>
        </w:rPr>
      </w:pPr>
    </w:p>
    <w:p w:rsidR="004F466F" w:rsidRPr="005E083D" w:rsidRDefault="004F466F" w:rsidP="004F466F">
      <w:pPr>
        <w:rPr>
          <w:rFonts w:cs="Arial"/>
          <w:b/>
          <w:sz w:val="24"/>
          <w:u w:val="single"/>
        </w:rPr>
      </w:pPr>
      <w:r w:rsidRPr="005E083D">
        <w:rPr>
          <w:rFonts w:cs="Arial"/>
          <w:b/>
          <w:sz w:val="24"/>
          <w:u w:val="single"/>
        </w:rPr>
        <w:t>Oddíl A – pojištění majetku, odpovědnosti a lesních porostů - 7720937511</w:t>
      </w:r>
    </w:p>
    <w:p w:rsidR="004F466F" w:rsidRDefault="004F466F" w:rsidP="004F466F">
      <w:pPr>
        <w:tabs>
          <w:tab w:val="left" w:pos="-720"/>
        </w:tabs>
        <w:rPr>
          <w:rFonts w:cs="Arial"/>
          <w:b/>
          <w:sz w:val="24"/>
        </w:rPr>
      </w:pPr>
    </w:p>
    <w:p w:rsidR="00C61625" w:rsidRDefault="00C61625" w:rsidP="00AC2238">
      <w:pPr>
        <w:jc w:val="both"/>
        <w:rPr>
          <w:b/>
          <w:sz w:val="20"/>
          <w:szCs w:val="20"/>
        </w:rPr>
      </w:pPr>
      <w:proofErr w:type="spellStart"/>
      <w:r>
        <w:rPr>
          <w:b/>
          <w:sz w:val="20"/>
          <w:szCs w:val="20"/>
        </w:rPr>
        <w:t>Poř</w:t>
      </w:r>
      <w:proofErr w:type="spellEnd"/>
      <w:r>
        <w:rPr>
          <w:b/>
          <w:sz w:val="20"/>
          <w:szCs w:val="20"/>
        </w:rPr>
        <w:t>. číslo 25</w:t>
      </w:r>
    </w:p>
    <w:p w:rsidR="00C61625" w:rsidRPr="00C61625" w:rsidRDefault="00C61625" w:rsidP="00AC2238">
      <w:pPr>
        <w:jc w:val="both"/>
        <w:rPr>
          <w:sz w:val="20"/>
          <w:szCs w:val="20"/>
        </w:rPr>
      </w:pPr>
      <w:r w:rsidRPr="00C61625">
        <w:rPr>
          <w:sz w:val="20"/>
          <w:szCs w:val="20"/>
        </w:rPr>
        <w:t>Nastane-li škodná událost následkem povodně nebo v přímé souvislosti s povodní do 10 dnů po sjednání pojištění, není pojistitel z této škodné události povinen poskytnout pojistné plnění.</w:t>
      </w:r>
    </w:p>
    <w:p w:rsidR="00C61625" w:rsidRPr="00C61625" w:rsidRDefault="00C61625" w:rsidP="00AC2238">
      <w:pPr>
        <w:jc w:val="both"/>
        <w:rPr>
          <w:sz w:val="20"/>
          <w:szCs w:val="20"/>
        </w:rPr>
      </w:pPr>
      <w:r w:rsidRPr="00C61625">
        <w:rPr>
          <w:sz w:val="20"/>
          <w:szCs w:val="20"/>
        </w:rPr>
        <w:t>Ujednává se, že se ruší ustanovení čl. 1 odst. 7) a 8), čl. 3 odst. 5), čl. 6 odst. 3) a čl. 9 ZPP P-150/14.</w:t>
      </w:r>
    </w:p>
    <w:p w:rsidR="00C61625" w:rsidRDefault="00C61625" w:rsidP="00AC2238">
      <w:pPr>
        <w:jc w:val="both"/>
        <w:rPr>
          <w:sz w:val="20"/>
          <w:szCs w:val="20"/>
        </w:rPr>
      </w:pPr>
      <w:r w:rsidRPr="00C61625">
        <w:rPr>
          <w:sz w:val="20"/>
          <w:szCs w:val="20"/>
        </w:rPr>
        <w:t>V souladu ze ZPP P-150/14, článek 2, odst. 2), písm. f) se za vodovodní nebezpečí považuje i poškození nebo zničení pojištěné věci kapalinou unikající z vodovodního zařízení v důsledku jeho náhlého či nahodilého poškození (lom trubek).</w:t>
      </w:r>
    </w:p>
    <w:p w:rsidR="00C61625" w:rsidRDefault="00C61625" w:rsidP="00AC2238">
      <w:pPr>
        <w:jc w:val="both"/>
        <w:rPr>
          <w:sz w:val="20"/>
          <w:szCs w:val="20"/>
        </w:rPr>
      </w:pPr>
    </w:p>
    <w:p w:rsidR="00C61625" w:rsidRPr="00C61625" w:rsidRDefault="00C61625" w:rsidP="00AC2238">
      <w:pPr>
        <w:jc w:val="both"/>
        <w:rPr>
          <w:b/>
          <w:sz w:val="20"/>
          <w:szCs w:val="20"/>
        </w:rPr>
      </w:pPr>
      <w:proofErr w:type="spellStart"/>
      <w:r w:rsidRPr="00C61625">
        <w:rPr>
          <w:b/>
          <w:sz w:val="20"/>
          <w:szCs w:val="20"/>
        </w:rPr>
        <w:t>Poř</w:t>
      </w:r>
      <w:proofErr w:type="spellEnd"/>
      <w:r w:rsidRPr="00C61625">
        <w:rPr>
          <w:b/>
          <w:sz w:val="20"/>
          <w:szCs w:val="20"/>
        </w:rPr>
        <w:t xml:space="preserve">. číslo 26 </w:t>
      </w:r>
    </w:p>
    <w:p w:rsidR="00C61625" w:rsidRDefault="00C61625" w:rsidP="00AC2238">
      <w:pPr>
        <w:jc w:val="both"/>
        <w:rPr>
          <w:sz w:val="20"/>
          <w:szCs w:val="20"/>
        </w:rPr>
      </w:pPr>
      <w:r w:rsidRPr="00C61625">
        <w:rPr>
          <w:sz w:val="20"/>
          <w:szCs w:val="20"/>
        </w:rPr>
        <w:t>Odchylně od doložky DOZ101 se za překonání překážky považuje překonání konstrukčního upevnění.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je považováno pouze takové spojení, k jehož rozebrání je nutno použít minimálně ručního nářadí.</w:t>
      </w:r>
    </w:p>
    <w:p w:rsidR="00AC2238" w:rsidRDefault="00AC2238" w:rsidP="00AC2238">
      <w:pPr>
        <w:jc w:val="both"/>
        <w:rPr>
          <w:sz w:val="20"/>
          <w:szCs w:val="20"/>
        </w:rPr>
      </w:pPr>
    </w:p>
    <w:p w:rsidR="00AC2238" w:rsidRDefault="00AC2238" w:rsidP="00AC2238">
      <w:pPr>
        <w:jc w:val="both"/>
        <w:rPr>
          <w:sz w:val="20"/>
          <w:szCs w:val="20"/>
        </w:rPr>
      </w:pPr>
    </w:p>
    <w:p w:rsidR="00AC2238" w:rsidRDefault="00AC2238" w:rsidP="00AC2238">
      <w:pPr>
        <w:jc w:val="both"/>
        <w:rPr>
          <w:sz w:val="20"/>
          <w:szCs w:val="20"/>
        </w:rPr>
      </w:pPr>
    </w:p>
    <w:p w:rsidR="00AC2238" w:rsidRDefault="00AC2238"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Default="000C1A67" w:rsidP="00AC2238">
      <w:pPr>
        <w:jc w:val="both"/>
        <w:rPr>
          <w:sz w:val="20"/>
          <w:szCs w:val="20"/>
        </w:rPr>
      </w:pPr>
    </w:p>
    <w:p w:rsidR="000C1A67" w:rsidRPr="00C61625" w:rsidRDefault="000C1A67" w:rsidP="00AC2238">
      <w:pPr>
        <w:jc w:val="both"/>
        <w:rPr>
          <w:sz w:val="20"/>
          <w:szCs w:val="20"/>
        </w:rPr>
      </w:pPr>
    </w:p>
    <w:p w:rsidR="00B653FD" w:rsidRDefault="000A7B53" w:rsidP="004C0D9C">
      <w:pPr>
        <w:pStyle w:val="Zkladntext32"/>
        <w:numPr>
          <w:ilvl w:val="12"/>
          <w:numId w:val="0"/>
        </w:numPr>
        <w:tabs>
          <w:tab w:val="clear" w:pos="-720"/>
          <w:tab w:val="left" w:pos="-1701"/>
        </w:tabs>
        <w:spacing w:before="240" w:line="240" w:lineRule="auto"/>
        <w:jc w:val="center"/>
        <w:rPr>
          <w:rFonts w:ascii="Koop Office" w:hAnsi="Koop Office" w:cs="Arial"/>
          <w:b/>
          <w:sz w:val="24"/>
          <w:szCs w:val="24"/>
        </w:rPr>
      </w:pPr>
      <w:r>
        <w:rPr>
          <w:rFonts w:ascii="Koop Office" w:hAnsi="Koop Office" w:cs="Arial"/>
          <w:b/>
          <w:sz w:val="24"/>
          <w:szCs w:val="24"/>
        </w:rPr>
        <w:lastRenderedPageBreak/>
        <w:t>Článek VI.</w:t>
      </w:r>
    </w:p>
    <w:p w:rsidR="000A7B53" w:rsidRDefault="000A7B53"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Pr>
          <w:rFonts w:ascii="Koop Office" w:hAnsi="Koop Office" w:cs="Arial"/>
          <w:b/>
          <w:sz w:val="24"/>
          <w:szCs w:val="24"/>
        </w:rPr>
        <w:t>Prohlášení pojistníka</w:t>
      </w:r>
    </w:p>
    <w:p w:rsidR="00E202AC" w:rsidRDefault="00E202AC" w:rsidP="00210DDE">
      <w:pPr>
        <w:numPr>
          <w:ilvl w:val="0"/>
          <w:numId w:val="13"/>
        </w:numPr>
        <w:spacing w:before="120"/>
        <w:jc w:val="both"/>
        <w:rPr>
          <w:rFonts w:ascii="Calibri" w:hAnsi="Calibri"/>
          <w:sz w:val="20"/>
          <w:szCs w:val="20"/>
        </w:rPr>
      </w:pPr>
      <w:r>
        <w:rPr>
          <w:sz w:val="20"/>
          <w:szCs w:val="20"/>
        </w:rPr>
        <w:t>Pojistník potvrzuje, že před uzavřením tohoto dodatku mu byly oznámeny informace v souladu s ustanovením § 2760 občanského zákoníku.</w:t>
      </w:r>
    </w:p>
    <w:p w:rsidR="00E202AC" w:rsidRDefault="00E202AC" w:rsidP="00210DDE">
      <w:pPr>
        <w:numPr>
          <w:ilvl w:val="0"/>
          <w:numId w:val="13"/>
        </w:numPr>
        <w:spacing w:before="120"/>
        <w:jc w:val="both"/>
        <w:rPr>
          <w:sz w:val="20"/>
          <w:szCs w:val="20"/>
        </w:rPr>
      </w:pPr>
      <w:r>
        <w:rPr>
          <w:sz w:val="20"/>
          <w:szCs w:val="20"/>
        </w:rPr>
        <w:t>Pojistník potvrzuje, že byl informován o rozsahu a účelu zpracování jeho osobních údajů a o právu přístupu k nim v souladu s ustanovením § 11, 12, 21 zákona č. 101/2000 Sb. o ochraně osobních údajů.</w:t>
      </w:r>
    </w:p>
    <w:p w:rsidR="00E202AC" w:rsidRPr="00210DDE" w:rsidRDefault="00E202AC" w:rsidP="00210DDE">
      <w:pPr>
        <w:numPr>
          <w:ilvl w:val="0"/>
          <w:numId w:val="13"/>
        </w:numPr>
        <w:spacing w:before="120"/>
        <w:jc w:val="both"/>
        <w:rPr>
          <w:sz w:val="20"/>
          <w:szCs w:val="20"/>
        </w:rPr>
      </w:pPr>
      <w:r>
        <w:rPr>
          <w:rFonts w:cs="Arial"/>
          <w:sz w:val="20"/>
        </w:rPr>
        <w:t>Pojistník potvrzuje, že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E202AC" w:rsidRDefault="00E202AC" w:rsidP="00210DDE">
      <w:pPr>
        <w:numPr>
          <w:ilvl w:val="0"/>
          <w:numId w:val="13"/>
        </w:numPr>
        <w:spacing w:before="120"/>
        <w:jc w:val="both"/>
        <w:rPr>
          <w:sz w:val="20"/>
          <w:szCs w:val="20"/>
        </w:rPr>
      </w:pPr>
      <w:r>
        <w:rPr>
          <w:sz w:val="20"/>
          <w:szCs w:val="20"/>
        </w:rPr>
        <w:t>Pojistník potvrzuje, že adresa jeho sídla</w:t>
      </w:r>
      <w:r>
        <w:rPr>
          <w:rFonts w:cs="Arial"/>
          <w:sz w:val="20"/>
        </w:rPr>
        <w:t xml:space="preserve">/bydliště/trvalého pobytu/místa podnikání </w:t>
      </w:r>
      <w:r>
        <w:rPr>
          <w:sz w:val="20"/>
          <w:szCs w:val="20"/>
        </w:rPr>
        <w:t>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w:t>
      </w:r>
      <w:r>
        <w:rPr>
          <w:rFonts w:cs="Arial"/>
          <w:sz w:val="20"/>
        </w:rPr>
        <w:t>/bydliště/trvalého pobytu/místa podnikání</w:t>
      </w:r>
      <w:r>
        <w:rPr>
          <w:sz w:val="20"/>
          <w:szCs w:val="20"/>
        </w:rPr>
        <w:t xml:space="preserve"> nebo kontaktů elektronické komunikace v době trvání této pojistné smlouvy. Tím není dotčena možnost používání jiných údajů uvedených v dříve uzavřených pojistných smlouvách.</w:t>
      </w:r>
    </w:p>
    <w:p w:rsidR="00E202AC" w:rsidRDefault="00E202AC" w:rsidP="00210DDE">
      <w:pPr>
        <w:numPr>
          <w:ilvl w:val="0"/>
          <w:numId w:val="13"/>
        </w:numPr>
        <w:spacing w:before="120"/>
        <w:jc w:val="both"/>
        <w:rPr>
          <w:sz w:val="20"/>
          <w:szCs w:val="20"/>
        </w:rPr>
      </w:pPr>
      <w:r>
        <w:rPr>
          <w:sz w:val="20"/>
          <w:szCs w:val="20"/>
        </w:rPr>
        <w:t xml:space="preserve">Pojistník souhlasí, aby pojistitel předával jeho osobní údaje členům pojišťovací skupiny </w:t>
      </w:r>
      <w:proofErr w:type="spellStart"/>
      <w:r>
        <w:rPr>
          <w:sz w:val="20"/>
          <w:szCs w:val="20"/>
        </w:rPr>
        <w:t>Vienna</w:t>
      </w:r>
      <w:proofErr w:type="spellEnd"/>
      <w:r>
        <w:rPr>
          <w:sz w:val="20"/>
          <w:szCs w:val="20"/>
        </w:rPr>
        <w:t xml:space="preserve"> </w:t>
      </w:r>
      <w:proofErr w:type="spellStart"/>
      <w:r>
        <w:rPr>
          <w:sz w:val="20"/>
          <w:szCs w:val="20"/>
        </w:rPr>
        <w:t>Insurance</w:t>
      </w:r>
      <w:proofErr w:type="spellEnd"/>
      <w:r>
        <w:rPr>
          <w:sz w:val="20"/>
          <w:szCs w:val="20"/>
        </w:rPr>
        <w:t xml:space="preserv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r w:rsidR="00AC2238">
        <w:rPr>
          <w:sz w:val="20"/>
          <w:szCs w:val="20"/>
        </w:rPr>
        <w:t>.</w:t>
      </w:r>
    </w:p>
    <w:p w:rsidR="00E202AC" w:rsidRDefault="00E202AC" w:rsidP="00210DDE">
      <w:pPr>
        <w:numPr>
          <w:ilvl w:val="0"/>
          <w:numId w:val="13"/>
        </w:numPr>
        <w:spacing w:before="120"/>
        <w:jc w:val="both"/>
        <w:rPr>
          <w:sz w:val="20"/>
          <w:szCs w:val="20"/>
        </w:rPr>
      </w:pPr>
      <w:r>
        <w:rPr>
          <w:sz w:val="20"/>
          <w:szCs w:val="20"/>
        </w:rPr>
        <w:t xml:space="preserve">Pojistník prohlašuje, že má oprávněnou potřebu ochrany před následky pojistné události (pojistný zájem). </w:t>
      </w:r>
    </w:p>
    <w:p w:rsidR="00E202AC" w:rsidRDefault="00E202AC" w:rsidP="00210DDE">
      <w:pPr>
        <w:numPr>
          <w:ilvl w:val="0"/>
          <w:numId w:val="13"/>
        </w:numPr>
        <w:spacing w:before="120"/>
        <w:jc w:val="both"/>
        <w:rPr>
          <w:sz w:val="20"/>
          <w:szCs w:val="20"/>
        </w:rPr>
      </w:pPr>
      <w:r w:rsidRPr="000A7B53">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této pojistné smlouvě ve znění tohoto dodatku výslovně uvedeno jinak.</w:t>
      </w:r>
    </w:p>
    <w:p w:rsidR="001D038D" w:rsidRPr="00D543B8" w:rsidRDefault="001D038D" w:rsidP="001D038D">
      <w:pPr>
        <w:tabs>
          <w:tab w:val="left" w:pos="-1418"/>
        </w:tabs>
        <w:ind w:left="425"/>
        <w:jc w:val="both"/>
        <w:rPr>
          <w:rFonts w:cs="Arial"/>
          <w:sz w:val="20"/>
        </w:rPr>
      </w:pPr>
    </w:p>
    <w:p w:rsidR="001D038D" w:rsidRPr="003B7A77" w:rsidRDefault="001D038D" w:rsidP="001D038D">
      <w:pPr>
        <w:jc w:val="both"/>
        <w:rPr>
          <w:b/>
          <w:sz w:val="20"/>
          <w:szCs w:val="20"/>
          <w:u w:val="single"/>
        </w:rPr>
      </w:pPr>
      <w:r>
        <w:rPr>
          <w:b/>
          <w:sz w:val="20"/>
          <w:szCs w:val="20"/>
          <w:u w:val="single"/>
        </w:rPr>
        <w:t xml:space="preserve">Další prohlášení pojistníka k oddílu </w:t>
      </w:r>
      <w:r w:rsidRPr="003B7A77">
        <w:rPr>
          <w:b/>
          <w:sz w:val="20"/>
          <w:szCs w:val="20"/>
          <w:u w:val="single"/>
        </w:rPr>
        <w:t>A – pojištění majetku, odpovědnosti a lesních porostů - 7720937511</w:t>
      </w:r>
    </w:p>
    <w:p w:rsidR="001D038D" w:rsidRDefault="001D038D" w:rsidP="001D038D">
      <w:pPr>
        <w:tabs>
          <w:tab w:val="left" w:pos="-1418"/>
        </w:tabs>
        <w:spacing w:before="120"/>
        <w:ind w:left="425" w:hanging="425"/>
        <w:jc w:val="both"/>
        <w:rPr>
          <w:rFonts w:cs="Arial"/>
          <w:sz w:val="20"/>
        </w:rPr>
      </w:pPr>
      <w:r>
        <w:rPr>
          <w:rFonts w:cs="Arial"/>
          <w:sz w:val="20"/>
        </w:rPr>
        <w:t>1.</w:t>
      </w:r>
      <w:r>
        <w:rPr>
          <w:rFonts w:cs="Arial"/>
          <w:sz w:val="20"/>
        </w:rPr>
        <w:tab/>
      </w:r>
      <w:r w:rsidRPr="006368D9">
        <w:rPr>
          <w:rFonts w:cs="Arial"/>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1D038D" w:rsidRPr="00393D03" w:rsidRDefault="001D038D" w:rsidP="001D038D">
      <w:pPr>
        <w:tabs>
          <w:tab w:val="left" w:pos="-1418"/>
        </w:tabs>
        <w:spacing w:before="120"/>
        <w:jc w:val="both"/>
        <w:rPr>
          <w:rFonts w:cs="Arial"/>
          <w:sz w:val="16"/>
          <w:szCs w:val="16"/>
        </w:rPr>
      </w:pPr>
    </w:p>
    <w:p w:rsidR="001D038D" w:rsidRPr="003B7A77" w:rsidRDefault="001D038D" w:rsidP="001D038D">
      <w:pPr>
        <w:rPr>
          <w:rFonts w:cs="Arial"/>
          <w:b/>
          <w:sz w:val="20"/>
          <w:u w:val="single"/>
        </w:rPr>
      </w:pPr>
      <w:r>
        <w:rPr>
          <w:b/>
          <w:sz w:val="20"/>
          <w:szCs w:val="20"/>
          <w:u w:val="single"/>
        </w:rPr>
        <w:t xml:space="preserve">Další prohlášení pojistníka k oddílu </w:t>
      </w:r>
      <w:r w:rsidRPr="003B7A77">
        <w:rPr>
          <w:rFonts w:cs="Arial"/>
          <w:b/>
          <w:sz w:val="20"/>
          <w:u w:val="single"/>
        </w:rPr>
        <w:t>B – pojištění vozidel – FLOTILA - 666 740</w:t>
      </w:r>
      <w:r>
        <w:rPr>
          <w:rFonts w:cs="Arial"/>
          <w:b/>
          <w:sz w:val="20"/>
          <w:u w:val="single"/>
        </w:rPr>
        <w:t> </w:t>
      </w:r>
      <w:r w:rsidRPr="003B7A77">
        <w:rPr>
          <w:rFonts w:cs="Arial"/>
          <w:b/>
          <w:sz w:val="20"/>
          <w:u w:val="single"/>
        </w:rPr>
        <w:t>00</w:t>
      </w:r>
      <w:r>
        <w:rPr>
          <w:rFonts w:cs="Arial"/>
          <w:b/>
          <w:sz w:val="20"/>
          <w:u w:val="single"/>
        </w:rPr>
        <w:t>4 8</w:t>
      </w:r>
    </w:p>
    <w:p w:rsidR="001D038D" w:rsidRPr="00E04463" w:rsidRDefault="001D038D" w:rsidP="00210DDE">
      <w:pPr>
        <w:numPr>
          <w:ilvl w:val="0"/>
          <w:numId w:val="20"/>
        </w:numPr>
        <w:jc w:val="both"/>
        <w:rPr>
          <w:rFonts w:cs="Arial"/>
          <w:sz w:val="20"/>
        </w:rPr>
      </w:pPr>
      <w:r w:rsidRPr="00E04463">
        <w:rPr>
          <w:rFonts w:cs="Arial"/>
          <w:sz w:val="20"/>
        </w:rPr>
        <w:t>Pojistník prohlašuje, že:</w:t>
      </w:r>
    </w:p>
    <w:p w:rsidR="001D038D" w:rsidRPr="00E04463" w:rsidRDefault="001D038D" w:rsidP="00210DDE">
      <w:pPr>
        <w:numPr>
          <w:ilvl w:val="1"/>
          <w:numId w:val="19"/>
        </w:numPr>
        <w:jc w:val="both"/>
        <w:rPr>
          <w:rFonts w:cs="Arial"/>
          <w:sz w:val="20"/>
        </w:rPr>
      </w:pPr>
      <w:r w:rsidRPr="00E04463">
        <w:rPr>
          <w:rFonts w:cs="Arial"/>
          <w:sz w:val="20"/>
        </w:rPr>
        <w:t>věci nebo jiné hodnoty pojistného zájmu pojištěné touto pojistnou smlouvou nejsou pojištěny proti stejným nebezpečím u jiné pojišťovny, pokud neoznámil pojistiteli, že má k určitým vozidlům uzavřeno pojištění proti stejným nebezpečím u jiné pojišťovny a neuvedl rozsah takového pojištění (hranice pojistného plnění apod.) v příloze této pojistné smlouvy;</w:t>
      </w:r>
    </w:p>
    <w:p w:rsidR="001D038D" w:rsidRPr="00E04463" w:rsidRDefault="001D038D" w:rsidP="00210DDE">
      <w:pPr>
        <w:numPr>
          <w:ilvl w:val="1"/>
          <w:numId w:val="19"/>
        </w:numPr>
        <w:jc w:val="both"/>
        <w:rPr>
          <w:rFonts w:cs="Arial"/>
          <w:sz w:val="20"/>
        </w:rPr>
      </w:pPr>
      <w:r w:rsidRPr="00E04463">
        <w:rPr>
          <w:rFonts w:cs="Arial"/>
          <w:sz w:val="20"/>
        </w:rPr>
        <w:t>všechny údaje uvedené v této pojistné smlouvě odpovídají skutečnosti a bere na vědomí, že je povinen všechny případné změny nastalé za trvání pojištění bez zbytečného odkladu pojistiteli oznámit;</w:t>
      </w:r>
    </w:p>
    <w:p w:rsidR="001D038D" w:rsidRPr="00E04463" w:rsidRDefault="001D038D" w:rsidP="00210DDE">
      <w:pPr>
        <w:numPr>
          <w:ilvl w:val="1"/>
          <w:numId w:val="19"/>
        </w:numPr>
        <w:jc w:val="both"/>
        <w:rPr>
          <w:rFonts w:cs="Arial"/>
          <w:sz w:val="20"/>
        </w:rPr>
      </w:pPr>
      <w:r w:rsidRPr="00E04463">
        <w:rPr>
          <w:rFonts w:cs="Arial"/>
          <w:sz w:val="20"/>
        </w:rPr>
        <w:t>úplně a pravdivě odpověděl na písemné dotazy pojistitele týkající se sjednaného pojištění a je si vědom povinnosti v průběhu trvání pojištění bez zbytečného odkladu pojistiteli oznámit všechny případné změny těchto údajů;</w:t>
      </w:r>
    </w:p>
    <w:p w:rsidR="001D038D" w:rsidRPr="00055970" w:rsidRDefault="001D038D" w:rsidP="001D038D">
      <w:pPr>
        <w:pStyle w:val="Odstavecseseznamem"/>
        <w:spacing w:after="0" w:line="240" w:lineRule="auto"/>
        <w:rPr>
          <w:rFonts w:ascii="Koop Office" w:hAnsi="Koop Office" w:cs="Arial"/>
          <w:sz w:val="16"/>
          <w:szCs w:val="16"/>
        </w:rPr>
      </w:pPr>
    </w:p>
    <w:p w:rsidR="001D038D" w:rsidRPr="00E04463" w:rsidRDefault="001D038D" w:rsidP="00210DDE">
      <w:pPr>
        <w:numPr>
          <w:ilvl w:val="0"/>
          <w:numId w:val="20"/>
        </w:numPr>
        <w:jc w:val="both"/>
        <w:rPr>
          <w:rFonts w:cs="Arial"/>
          <w:sz w:val="20"/>
        </w:rPr>
      </w:pPr>
      <w:r w:rsidRPr="00E04463">
        <w:rPr>
          <w:rFonts w:cs="Arial"/>
          <w:sz w:val="20"/>
        </w:rPr>
        <w:t>Pojistník potvrzuje, že si je vědom, že veškeré slevy z pojistného, u nichž je výslovně uvedeno, že se poskytují na dobu pojistného roku, jsou poskytnuty jako podmíněné/ě trváním pojistné smlouvy, celkovým počtem pojištěných vozidel a celkovou výší pojistného před slevou a že v případě porušení některé z podmínek bude povinen část pojistného doplatit.</w:t>
      </w:r>
    </w:p>
    <w:p w:rsidR="006444A9" w:rsidRDefault="006444A9" w:rsidP="00E202AC">
      <w:pPr>
        <w:ind w:left="360" w:hanging="360"/>
        <w:jc w:val="both"/>
        <w:rPr>
          <w:sz w:val="20"/>
          <w:szCs w:val="20"/>
        </w:rPr>
      </w:pPr>
    </w:p>
    <w:p w:rsidR="00AC2238" w:rsidRDefault="00AC2238" w:rsidP="00E202AC">
      <w:pPr>
        <w:ind w:left="360" w:hanging="360"/>
        <w:jc w:val="both"/>
        <w:rPr>
          <w:sz w:val="20"/>
          <w:szCs w:val="20"/>
        </w:rPr>
      </w:pPr>
    </w:p>
    <w:p w:rsidR="00AC2238" w:rsidRPr="00E202AC" w:rsidRDefault="00AC2238" w:rsidP="00E202AC">
      <w:pPr>
        <w:ind w:left="360" w:hanging="360"/>
        <w:jc w:val="both"/>
        <w:rPr>
          <w:sz w:val="20"/>
          <w:szCs w:val="20"/>
        </w:rPr>
      </w:pPr>
    </w:p>
    <w:p w:rsidR="00B653FD" w:rsidRDefault="000A7B53" w:rsidP="004C0D9C">
      <w:pPr>
        <w:keepNext/>
        <w:tabs>
          <w:tab w:val="left" w:pos="-720"/>
        </w:tabs>
        <w:spacing w:before="240"/>
        <w:jc w:val="center"/>
        <w:rPr>
          <w:rFonts w:cs="Arial"/>
          <w:b/>
          <w:sz w:val="24"/>
        </w:rPr>
      </w:pPr>
      <w:r>
        <w:rPr>
          <w:rFonts w:cs="Arial"/>
          <w:b/>
          <w:sz w:val="24"/>
        </w:rPr>
        <w:lastRenderedPageBreak/>
        <w:t>Článek VII.</w:t>
      </w:r>
    </w:p>
    <w:p w:rsidR="00B84CFC" w:rsidRPr="00B653FD" w:rsidRDefault="00B84CFC" w:rsidP="004C0D9C">
      <w:pPr>
        <w:keepNext/>
        <w:tabs>
          <w:tab w:val="left" w:pos="-720"/>
        </w:tabs>
        <w:jc w:val="center"/>
        <w:rPr>
          <w:rFonts w:cs="Arial"/>
          <w:b/>
          <w:sz w:val="24"/>
        </w:rPr>
      </w:pPr>
      <w:r>
        <w:rPr>
          <w:rFonts w:cs="Arial"/>
          <w:b/>
          <w:sz w:val="24"/>
        </w:rPr>
        <w:t xml:space="preserve">Závěrečná ustanovení </w:t>
      </w:r>
    </w:p>
    <w:p w:rsidR="00E202AC" w:rsidRPr="00E202AC" w:rsidRDefault="00E202AC" w:rsidP="00210DDE">
      <w:pPr>
        <w:numPr>
          <w:ilvl w:val="0"/>
          <w:numId w:val="10"/>
        </w:numPr>
        <w:tabs>
          <w:tab w:val="left" w:pos="-1418"/>
        </w:tabs>
        <w:spacing w:before="120"/>
        <w:jc w:val="both"/>
        <w:rPr>
          <w:rFonts w:cs="Arial"/>
          <w:sz w:val="20"/>
        </w:rPr>
      </w:pPr>
      <w:r w:rsidRPr="00C91758">
        <w:rPr>
          <w:sz w:val="20"/>
        </w:rPr>
        <w:t xml:space="preserve">Pojistná smlouva se uzavírá s počátkem </w:t>
      </w:r>
      <w:r w:rsidRPr="00B6368E">
        <w:rPr>
          <w:b/>
          <w:sz w:val="20"/>
        </w:rPr>
        <w:t>od 1. 1. 2016 na dobu neurčitou.</w:t>
      </w:r>
    </w:p>
    <w:p w:rsidR="00E202AC" w:rsidRPr="00981401" w:rsidRDefault="00E202AC" w:rsidP="00E202AC">
      <w:pPr>
        <w:tabs>
          <w:tab w:val="left" w:pos="-1418"/>
        </w:tabs>
        <w:spacing w:before="120"/>
        <w:ind w:left="425"/>
        <w:jc w:val="both"/>
        <w:rPr>
          <w:rFonts w:cs="Arial"/>
          <w:sz w:val="20"/>
        </w:rPr>
      </w:pPr>
      <w:r>
        <w:rPr>
          <w:sz w:val="20"/>
          <w:szCs w:val="20"/>
        </w:rPr>
        <w:t xml:space="preserve">Tímto dodatkem provedená(é) změna(y) </w:t>
      </w:r>
      <w:proofErr w:type="gramStart"/>
      <w:r>
        <w:rPr>
          <w:sz w:val="20"/>
          <w:szCs w:val="20"/>
        </w:rPr>
        <w:t>nabývá(</w:t>
      </w:r>
      <w:proofErr w:type="spellStart"/>
      <w:r>
        <w:rPr>
          <w:sz w:val="20"/>
          <w:szCs w:val="20"/>
        </w:rPr>
        <w:t>ají</w:t>
      </w:r>
      <w:proofErr w:type="spellEnd"/>
      <w:proofErr w:type="gramEnd"/>
      <w:r>
        <w:rPr>
          <w:sz w:val="20"/>
          <w:szCs w:val="20"/>
        </w:rPr>
        <w:t xml:space="preserve">) účinnosti dnem </w:t>
      </w:r>
      <w:r w:rsidR="00AC2238">
        <w:rPr>
          <w:b/>
          <w:sz w:val="20"/>
        </w:rPr>
        <w:t xml:space="preserve">24. 9. </w:t>
      </w:r>
      <w:r w:rsidRPr="00B6368E">
        <w:rPr>
          <w:b/>
          <w:sz w:val="20"/>
        </w:rPr>
        <w:t>2016</w:t>
      </w:r>
      <w:r>
        <w:rPr>
          <w:b/>
          <w:sz w:val="20"/>
        </w:rPr>
        <w:t>.</w:t>
      </w:r>
    </w:p>
    <w:p w:rsidR="00E202AC" w:rsidRPr="004367D8" w:rsidRDefault="00E202AC" w:rsidP="00210DDE">
      <w:pPr>
        <w:numPr>
          <w:ilvl w:val="0"/>
          <w:numId w:val="10"/>
        </w:numPr>
        <w:spacing w:before="120"/>
        <w:jc w:val="both"/>
        <w:rPr>
          <w:sz w:val="20"/>
        </w:rPr>
      </w:pPr>
      <w:r w:rsidRPr="004367D8">
        <w:rPr>
          <w:sz w:val="20"/>
        </w:rPr>
        <w:t xml:space="preserve">Odchylně od </w:t>
      </w:r>
      <w:r w:rsidRPr="004367D8">
        <w:rPr>
          <w:iCs/>
          <w:sz w:val="20"/>
          <w:szCs w:val="20"/>
        </w:rPr>
        <w:t>§2807 zákona č. 89/2012 Sb., občanského zákoníku a pojistných podmínek vztahujících se k pojištění uvedených v této pojistné smlouvě</w:t>
      </w:r>
      <w:r w:rsidRPr="004367D8">
        <w:rPr>
          <w:sz w:val="20"/>
        </w:rPr>
        <w:t xml:space="preserve"> mohou pojistník i pojistitel ukončit pojištění výpovědí k poslednímu dni každého pojistného období, jde-li o pojištění s běžným pojistným; tato výpověď musí být druhé straně doručena nejméně 5 měsíců před koncem pojistného období, v opačném případě pojištění zaniká až ke konci následujícího pojistného období, pro které je 5 měsíců dodrženo.</w:t>
      </w:r>
    </w:p>
    <w:p w:rsidR="00E202AC" w:rsidRDefault="00E202AC" w:rsidP="00210DDE">
      <w:pPr>
        <w:numPr>
          <w:ilvl w:val="0"/>
          <w:numId w:val="10"/>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E202AC" w:rsidRPr="006764B1" w:rsidRDefault="00E202AC" w:rsidP="00210DDE">
      <w:pPr>
        <w:numPr>
          <w:ilvl w:val="0"/>
          <w:numId w:val="10"/>
        </w:numPr>
        <w:spacing w:before="120"/>
        <w:jc w:val="both"/>
        <w:rPr>
          <w:sz w:val="20"/>
        </w:rPr>
      </w:pPr>
      <w:r w:rsidRPr="0002560F">
        <w:rPr>
          <w:sz w:val="20"/>
        </w:rPr>
        <w:t xml:space="preserve">Město Strakonice prohlašuje, že uzavření této pojistné smlouvy bylo odsouhlaseno v Radě města </w:t>
      </w:r>
      <w:r w:rsidRPr="006764B1">
        <w:rPr>
          <w:sz w:val="20"/>
        </w:rPr>
        <w:t>Strakonice dne</w:t>
      </w:r>
      <w:r w:rsidR="006764B1">
        <w:rPr>
          <w:sz w:val="20"/>
        </w:rPr>
        <w:t xml:space="preserve"> ………………</w:t>
      </w:r>
      <w:proofErr w:type="gramStart"/>
      <w:r w:rsidRPr="006764B1">
        <w:rPr>
          <w:sz w:val="20"/>
        </w:rPr>
        <w:t>201</w:t>
      </w:r>
      <w:r w:rsidR="006764B1" w:rsidRPr="006764B1">
        <w:rPr>
          <w:sz w:val="20"/>
        </w:rPr>
        <w:t>..</w:t>
      </w:r>
      <w:r w:rsidRPr="006764B1">
        <w:rPr>
          <w:sz w:val="20"/>
        </w:rPr>
        <w:t xml:space="preserve"> pod</w:t>
      </w:r>
      <w:proofErr w:type="gramEnd"/>
      <w:r w:rsidRPr="006764B1">
        <w:rPr>
          <w:sz w:val="20"/>
        </w:rPr>
        <w:t xml:space="preserve"> číslem usnesení </w:t>
      </w:r>
      <w:r w:rsidR="006764B1" w:rsidRPr="006764B1">
        <w:rPr>
          <w:sz w:val="20"/>
        </w:rPr>
        <w:t>……………………………….</w:t>
      </w:r>
      <w:r w:rsidRPr="006764B1">
        <w:rPr>
          <w:sz w:val="20"/>
        </w:rPr>
        <w:t>.</w:t>
      </w:r>
    </w:p>
    <w:p w:rsidR="00E202AC" w:rsidRDefault="00E202AC" w:rsidP="00210DDE">
      <w:pPr>
        <w:numPr>
          <w:ilvl w:val="0"/>
          <w:numId w:val="10"/>
        </w:numPr>
        <w:spacing w:before="120"/>
        <w:jc w:val="both"/>
        <w:rPr>
          <w:sz w:val="20"/>
        </w:rPr>
      </w:pPr>
      <w:r>
        <w:rPr>
          <w:sz w:val="20"/>
        </w:rPr>
        <w:t>Smluvní strany se dohodly, že nemohou bez vzájemného souhlasu postoupit svá práva a povinnosti plynoucí ze smlouvy třetí osobě. Vzájemné finanční zápočty lze provádět jen v rámci plněné této smlouvy po předchozí dohodě.</w:t>
      </w:r>
    </w:p>
    <w:p w:rsidR="00E202AC" w:rsidRPr="0002560F" w:rsidRDefault="00E202AC" w:rsidP="00210DDE">
      <w:pPr>
        <w:numPr>
          <w:ilvl w:val="0"/>
          <w:numId w:val="10"/>
        </w:numPr>
        <w:spacing w:before="120"/>
        <w:jc w:val="both"/>
        <w:rPr>
          <w:sz w:val="20"/>
        </w:rPr>
      </w:pPr>
      <w:r>
        <w:rPr>
          <w:sz w:val="20"/>
        </w:rPr>
        <w:t>Smluvní strany se dohodly, že změnit nebo doplnit tuto smlouvu mohou jen v případě, že tím nebudou porušeny podmínky zadání veřejné zakázky a zákona č. 137/2006 Sb., o veřejných zakázkách, ve znění pozdějších předpisů, a to pouze formou písemných dodatků, které budou vzestupně číslovány, výslovně prohlášeny za dodatek této smlouvy a podepsány oprávněnými zástupci smluvních stran.</w:t>
      </w:r>
    </w:p>
    <w:p w:rsidR="00E202AC" w:rsidRPr="00E04463" w:rsidRDefault="00E202AC" w:rsidP="00210DDE">
      <w:pPr>
        <w:pStyle w:val="slovn"/>
        <w:numPr>
          <w:ilvl w:val="0"/>
          <w:numId w:val="10"/>
        </w:numPr>
        <w:rPr>
          <w:sz w:val="20"/>
        </w:rPr>
      </w:pPr>
      <w:r>
        <w:rPr>
          <w:sz w:val="20"/>
        </w:rPr>
        <w:t xml:space="preserve">Ujednává </w:t>
      </w:r>
      <w:r w:rsidRPr="00E04463">
        <w:rPr>
          <w:sz w:val="20"/>
        </w:rPr>
        <w:t xml:space="preserve">se, že pro vztah založený touto pojistnou smlouvou se nepoužijí ustanovení § 1799 a 1800 </w:t>
      </w:r>
      <w:r>
        <w:rPr>
          <w:sz w:val="20"/>
        </w:rPr>
        <w:t xml:space="preserve">zákona č. 89/2012 Sb., </w:t>
      </w:r>
      <w:r w:rsidRPr="00E04463">
        <w:rPr>
          <w:sz w:val="20"/>
        </w:rPr>
        <w:t>občanského zákoníku o smlouvách uzavíraných adhezním způsobem.</w:t>
      </w:r>
    </w:p>
    <w:p w:rsidR="00E202AC" w:rsidRPr="00CB65F4" w:rsidRDefault="00E202AC" w:rsidP="00210DDE">
      <w:pPr>
        <w:pStyle w:val="Odstavecseseznamem"/>
        <w:numPr>
          <w:ilvl w:val="0"/>
          <w:numId w:val="10"/>
        </w:numPr>
        <w:tabs>
          <w:tab w:val="left" w:pos="-720"/>
          <w:tab w:val="left" w:pos="0"/>
        </w:tabs>
        <w:suppressAutoHyphens/>
        <w:spacing w:before="120" w:after="0" w:line="240" w:lineRule="auto"/>
        <w:jc w:val="both"/>
        <w:rPr>
          <w:rFonts w:ascii="Koop Office" w:hAnsi="Koop Office"/>
          <w:spacing w:val="-3"/>
          <w:sz w:val="20"/>
          <w:szCs w:val="20"/>
        </w:rPr>
      </w:pPr>
      <w:r w:rsidRPr="00981401">
        <w:rPr>
          <w:rFonts w:ascii="Koop Office" w:hAnsi="Koop Office" w:cs="Arial"/>
          <w:sz w:val="20"/>
          <w:szCs w:val="20"/>
        </w:rPr>
        <w:t xml:space="preserve">Stejnopis této pojistné smlouvy, který obdrží pojistník, je zároveň potvrzením o uzavření pojistné smlouvy (pojistkou) ve smyslu </w:t>
      </w:r>
      <w:r>
        <w:rPr>
          <w:rFonts w:ascii="Koop Office" w:hAnsi="Koop Office" w:cs="Arial"/>
          <w:sz w:val="20"/>
          <w:szCs w:val="20"/>
        </w:rPr>
        <w:t>z</w:t>
      </w:r>
      <w:r w:rsidRPr="00981401">
        <w:rPr>
          <w:rFonts w:ascii="Koop Office" w:hAnsi="Koop Office" w:cs="Arial"/>
          <w:sz w:val="20"/>
          <w:szCs w:val="20"/>
        </w:rPr>
        <w:t>ákona</w:t>
      </w:r>
      <w:r>
        <w:rPr>
          <w:rFonts w:ascii="Koop Office" w:hAnsi="Koop Office" w:cs="Arial"/>
          <w:sz w:val="20"/>
          <w:szCs w:val="20"/>
        </w:rPr>
        <w:t xml:space="preserve"> </w:t>
      </w:r>
      <w:r w:rsidRPr="00382B05">
        <w:rPr>
          <w:rFonts w:ascii="Koop Office" w:hAnsi="Koop Office" w:cs="Arial"/>
          <w:sz w:val="20"/>
          <w:szCs w:val="20"/>
        </w:rPr>
        <w:t>č. 89/2012 Sb., občanského zákoníku</w:t>
      </w:r>
      <w:r w:rsidRPr="00981401">
        <w:rPr>
          <w:rFonts w:ascii="Koop Office" w:hAnsi="Koop Office" w:cs="Arial"/>
          <w:sz w:val="20"/>
          <w:szCs w:val="20"/>
        </w:rPr>
        <w:t>.</w:t>
      </w:r>
    </w:p>
    <w:p w:rsidR="00E202AC" w:rsidRPr="001B41EE" w:rsidRDefault="00E202AC" w:rsidP="00210DDE">
      <w:pPr>
        <w:numPr>
          <w:ilvl w:val="0"/>
          <w:numId w:val="10"/>
        </w:numPr>
        <w:tabs>
          <w:tab w:val="left" w:pos="-720"/>
        </w:tabs>
        <w:suppressAutoHyphens/>
        <w:spacing w:before="1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E202AC" w:rsidRDefault="00E202AC" w:rsidP="00210DDE">
      <w:pPr>
        <w:numPr>
          <w:ilvl w:val="0"/>
          <w:numId w:val="10"/>
        </w:numPr>
        <w:tabs>
          <w:tab w:val="left" w:pos="-720"/>
        </w:tabs>
        <w:suppressAutoHyphens/>
        <w:spacing w:before="1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E202AC" w:rsidRPr="003C768E" w:rsidRDefault="00E202AC" w:rsidP="00210DDE">
      <w:pPr>
        <w:numPr>
          <w:ilvl w:val="0"/>
          <w:numId w:val="10"/>
        </w:numPr>
        <w:tabs>
          <w:tab w:val="left" w:pos="-1418"/>
        </w:tabs>
        <w:spacing w:before="120"/>
        <w:jc w:val="both"/>
        <w:rPr>
          <w:rFonts w:cs="Arial"/>
          <w:sz w:val="20"/>
        </w:rPr>
      </w:pPr>
      <w:r w:rsidRPr="003C768E">
        <w:rPr>
          <w:rFonts w:cs="Arial"/>
          <w:sz w:val="20"/>
        </w:rPr>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rsidR="00E202AC" w:rsidRPr="003C768E" w:rsidRDefault="00E202AC" w:rsidP="00210DDE">
      <w:pPr>
        <w:numPr>
          <w:ilvl w:val="0"/>
          <w:numId w:val="10"/>
        </w:numPr>
        <w:tabs>
          <w:tab w:val="left" w:pos="-1418"/>
        </w:tabs>
        <w:spacing w:before="120"/>
        <w:jc w:val="both"/>
        <w:rPr>
          <w:rFonts w:cs="Arial"/>
          <w:sz w:val="20"/>
        </w:rPr>
      </w:pPr>
      <w:r>
        <w:rPr>
          <w:sz w:val="20"/>
          <w:szCs w:val="20"/>
        </w:rPr>
        <w:t xml:space="preserve">Tento dodatek k pojistné smlouvě byl vypracován </w:t>
      </w:r>
      <w:r w:rsidR="00D54330">
        <w:rPr>
          <w:rFonts w:cs="Arial"/>
          <w:sz w:val="20"/>
        </w:rPr>
        <w:t xml:space="preserve">ve čtyřech </w:t>
      </w:r>
      <w:r w:rsidRPr="003C768E">
        <w:rPr>
          <w:rFonts w:cs="Arial"/>
          <w:sz w:val="20"/>
        </w:rPr>
        <w:t xml:space="preserve">stejnopisech, pojistník obdrží </w:t>
      </w:r>
      <w:r w:rsidR="00AC2238">
        <w:rPr>
          <w:rFonts w:cs="Arial"/>
          <w:sz w:val="20"/>
        </w:rPr>
        <w:t xml:space="preserve">jeden </w:t>
      </w:r>
      <w:r w:rsidRPr="003C768E">
        <w:rPr>
          <w:rFonts w:cs="Arial"/>
          <w:sz w:val="20"/>
        </w:rPr>
        <w:t>s</w:t>
      </w:r>
      <w:r w:rsidR="00D54330">
        <w:rPr>
          <w:rFonts w:cs="Arial"/>
          <w:sz w:val="20"/>
        </w:rPr>
        <w:t>tejnopis, pojistitel si ponechá dva</w:t>
      </w:r>
      <w:r w:rsidR="0013291C" w:rsidRPr="003C768E">
        <w:rPr>
          <w:rFonts w:cs="Arial"/>
          <w:sz w:val="20"/>
        </w:rPr>
        <w:t xml:space="preserve"> </w:t>
      </w:r>
      <w:r w:rsidRPr="003C768E">
        <w:rPr>
          <w:rFonts w:cs="Arial"/>
          <w:sz w:val="20"/>
        </w:rPr>
        <w:t>stejnopis</w:t>
      </w:r>
      <w:r w:rsidR="0013291C">
        <w:rPr>
          <w:rFonts w:cs="Arial"/>
          <w:sz w:val="20"/>
        </w:rPr>
        <w:t>y</w:t>
      </w:r>
      <w:r>
        <w:rPr>
          <w:rFonts w:cs="Arial"/>
          <w:sz w:val="20"/>
        </w:rPr>
        <w:t>,</w:t>
      </w:r>
      <w:r w:rsidRPr="00824C7A">
        <w:rPr>
          <w:rFonts w:cs="Arial"/>
          <w:sz w:val="20"/>
        </w:rPr>
        <w:t xml:space="preserve"> </w:t>
      </w:r>
      <w:r w:rsidRPr="003C768E">
        <w:rPr>
          <w:rFonts w:cs="Arial"/>
          <w:sz w:val="20"/>
        </w:rPr>
        <w:t xml:space="preserve">pojišťovací makléř obdrží </w:t>
      </w:r>
      <w:r w:rsidR="00AC2238">
        <w:rPr>
          <w:rFonts w:cs="Arial"/>
          <w:sz w:val="20"/>
        </w:rPr>
        <w:t>jeden</w:t>
      </w:r>
      <w:r w:rsidRPr="003C768E">
        <w:rPr>
          <w:rFonts w:cs="Arial"/>
          <w:sz w:val="20"/>
        </w:rPr>
        <w:t xml:space="preserve"> stejnopis.</w:t>
      </w:r>
    </w:p>
    <w:p w:rsidR="00E202AC" w:rsidRDefault="00E202AC" w:rsidP="00210DDE">
      <w:pPr>
        <w:numPr>
          <w:ilvl w:val="0"/>
          <w:numId w:val="10"/>
        </w:numPr>
        <w:tabs>
          <w:tab w:val="left" w:pos="-1418"/>
        </w:tabs>
        <w:spacing w:before="120"/>
        <w:jc w:val="both"/>
        <w:rPr>
          <w:rFonts w:cs="Arial"/>
          <w:sz w:val="20"/>
        </w:rPr>
      </w:pPr>
      <w:bookmarkStart w:id="1" w:name="_Ref489759092"/>
      <w:r>
        <w:rPr>
          <w:rFonts w:cs="Arial"/>
          <w:sz w:val="20"/>
        </w:rPr>
        <w:t>Tento dodatek</w:t>
      </w:r>
      <w:r w:rsidRPr="008C70C4">
        <w:rPr>
          <w:rFonts w:cs="Arial"/>
          <w:sz w:val="20"/>
        </w:rPr>
        <w:t xml:space="preserve"> </w:t>
      </w:r>
      <w:r w:rsidRPr="006368D9">
        <w:rPr>
          <w:rFonts w:cs="Arial"/>
          <w:sz w:val="20"/>
        </w:rPr>
        <w:t>obsahuje</w:t>
      </w:r>
      <w:r>
        <w:rPr>
          <w:rFonts w:cs="Arial"/>
          <w:sz w:val="20"/>
        </w:rPr>
        <w:t xml:space="preserve"> </w:t>
      </w:r>
      <w:r w:rsidR="00AC2238">
        <w:rPr>
          <w:rFonts w:cs="Arial"/>
          <w:sz w:val="20"/>
        </w:rPr>
        <w:t>sedm</w:t>
      </w:r>
      <w:r w:rsidR="0013291C">
        <w:rPr>
          <w:rFonts w:cs="Arial"/>
          <w:sz w:val="20"/>
        </w:rPr>
        <w:t xml:space="preserve"> </w:t>
      </w:r>
      <w:r>
        <w:rPr>
          <w:rFonts w:cs="Arial"/>
          <w:sz w:val="20"/>
        </w:rPr>
        <w:t>s</w:t>
      </w:r>
      <w:r w:rsidRPr="006368D9">
        <w:rPr>
          <w:rFonts w:cs="Arial"/>
          <w:sz w:val="20"/>
        </w:rPr>
        <w:t>tran</w:t>
      </w:r>
      <w:r w:rsidR="00820D6A">
        <w:rPr>
          <w:rFonts w:cs="Arial"/>
          <w:sz w:val="20"/>
        </w:rPr>
        <w:t xml:space="preserve"> a jednu přílohu</w:t>
      </w:r>
      <w:r>
        <w:rPr>
          <w:rFonts w:cs="Arial"/>
          <w:sz w:val="20"/>
        </w:rPr>
        <w:t>.</w:t>
      </w:r>
      <w:bookmarkEnd w:id="1"/>
    </w:p>
    <w:p w:rsidR="00E202AC" w:rsidRDefault="00E202AC" w:rsidP="00E202AC">
      <w:pPr>
        <w:rPr>
          <w:b/>
          <w:sz w:val="20"/>
          <w:szCs w:val="20"/>
          <w:u w:val="single"/>
        </w:rPr>
      </w:pPr>
    </w:p>
    <w:p w:rsidR="00E202AC" w:rsidRPr="003B7A77" w:rsidRDefault="00E202AC" w:rsidP="00E202AC">
      <w:pPr>
        <w:rPr>
          <w:rFonts w:cs="Arial"/>
          <w:b/>
          <w:sz w:val="20"/>
          <w:u w:val="single"/>
        </w:rPr>
      </w:pPr>
      <w:r>
        <w:rPr>
          <w:b/>
          <w:sz w:val="20"/>
          <w:szCs w:val="20"/>
          <w:u w:val="single"/>
        </w:rPr>
        <w:t xml:space="preserve">Další ujednání k oddílu </w:t>
      </w:r>
      <w:r w:rsidRPr="003B7A77">
        <w:rPr>
          <w:rFonts w:cs="Arial"/>
          <w:b/>
          <w:sz w:val="20"/>
          <w:u w:val="single"/>
        </w:rPr>
        <w:t xml:space="preserve">B – pojištění vozidel – FLOTILA </w:t>
      </w:r>
      <w:r w:rsidRPr="00CB65F4">
        <w:rPr>
          <w:rFonts w:cs="Arial"/>
          <w:b/>
          <w:sz w:val="20"/>
          <w:u w:val="single"/>
        </w:rPr>
        <w:t>- 666 740 004 8</w:t>
      </w:r>
    </w:p>
    <w:p w:rsidR="00E202AC" w:rsidRDefault="00E202AC" w:rsidP="00E202AC">
      <w:pPr>
        <w:ind w:left="567"/>
        <w:jc w:val="both"/>
        <w:rPr>
          <w:rFonts w:cs="Arial"/>
          <w:sz w:val="20"/>
        </w:rPr>
      </w:pPr>
    </w:p>
    <w:p w:rsidR="00E202AC" w:rsidRPr="007C4C5F" w:rsidRDefault="00E202AC" w:rsidP="00210DDE">
      <w:pPr>
        <w:pStyle w:val="slovn"/>
        <w:numPr>
          <w:ilvl w:val="0"/>
          <w:numId w:val="21"/>
        </w:numPr>
        <w:spacing w:before="0"/>
        <w:rPr>
          <w:sz w:val="20"/>
        </w:rPr>
      </w:pPr>
      <w:r w:rsidRPr="007C4C5F">
        <w:rPr>
          <w:sz w:val="20"/>
        </w:rPr>
        <w:t>Další důvody zániku pojištění, krom důvodů uvedených ve všeobecných pojistných podmínkách:</w:t>
      </w:r>
    </w:p>
    <w:p w:rsidR="00E202AC" w:rsidRPr="007C4C5F" w:rsidRDefault="00E202AC" w:rsidP="00210DDE">
      <w:pPr>
        <w:widowControl w:val="0"/>
        <w:numPr>
          <w:ilvl w:val="1"/>
          <w:numId w:val="21"/>
        </w:numPr>
        <w:spacing w:before="120"/>
        <w:jc w:val="both"/>
        <w:rPr>
          <w:rFonts w:cs="Arial"/>
          <w:sz w:val="20"/>
        </w:rPr>
      </w:pPr>
      <w:r w:rsidRPr="007C4C5F">
        <w:rPr>
          <w:rFonts w:cs="Arial"/>
          <w:sz w:val="20"/>
        </w:rPr>
        <w:t>doručením písemného oznámení pojistitele pojistníkovi po uplynutí 30denní doby, během které nebylo pojištěno ani jedno vozidlo (tedy v situaci, kdy všechna pojištění zanikla, a během 30denní doby následující po zániku posledního pojištění žádné pojištění nevzniklo);</w:t>
      </w:r>
    </w:p>
    <w:p w:rsidR="00E202AC" w:rsidRPr="007C4C5F" w:rsidRDefault="00E202AC" w:rsidP="00210DDE">
      <w:pPr>
        <w:numPr>
          <w:ilvl w:val="0"/>
          <w:numId w:val="23"/>
        </w:numPr>
        <w:spacing w:before="120"/>
        <w:jc w:val="both"/>
        <w:rPr>
          <w:rFonts w:cs="Arial"/>
          <w:sz w:val="20"/>
        </w:rPr>
      </w:pPr>
      <w:r w:rsidRPr="007C4C5F">
        <w:rPr>
          <w:rFonts w:cs="Arial"/>
          <w:sz w:val="20"/>
        </w:rPr>
        <w:t>zánik jednotlivých pojištění dohodou na základě doručení požadavku pojistníka z DN Změna pojistiteli na vyřazení vozidla z pojištění;</w:t>
      </w:r>
    </w:p>
    <w:p w:rsidR="00E202AC" w:rsidRPr="007C4C5F" w:rsidRDefault="00E202AC" w:rsidP="00210DDE">
      <w:pPr>
        <w:numPr>
          <w:ilvl w:val="0"/>
          <w:numId w:val="23"/>
        </w:numPr>
        <w:spacing w:before="120"/>
        <w:jc w:val="both"/>
        <w:rPr>
          <w:rFonts w:cs="Arial"/>
          <w:sz w:val="20"/>
        </w:rPr>
      </w:pPr>
      <w:r w:rsidRPr="007C4C5F">
        <w:rPr>
          <w:rFonts w:cs="Arial"/>
          <w:sz w:val="20"/>
        </w:rPr>
        <w:lastRenderedPageBreak/>
        <w:t>zánik všech pojištění v důsledku zániku pojistné smlouvy;</w:t>
      </w:r>
    </w:p>
    <w:p w:rsidR="00E202AC" w:rsidRPr="007C4C5F" w:rsidRDefault="00E202AC" w:rsidP="00210DDE">
      <w:pPr>
        <w:numPr>
          <w:ilvl w:val="0"/>
          <w:numId w:val="23"/>
        </w:numPr>
        <w:spacing w:before="120"/>
        <w:jc w:val="both"/>
        <w:rPr>
          <w:rFonts w:cs="Arial"/>
          <w:sz w:val="20"/>
        </w:rPr>
      </w:pPr>
      <w:r w:rsidRPr="007C4C5F">
        <w:rPr>
          <w:rFonts w:cs="Arial"/>
          <w:sz w:val="20"/>
        </w:rPr>
        <w:t xml:space="preserve">zánik havarijního pojištění vozidla v rozsahu předběžného pojistného krytí </w:t>
      </w:r>
    </w:p>
    <w:p w:rsidR="00E202AC" w:rsidRPr="007C4C5F" w:rsidRDefault="00E202AC" w:rsidP="00210DDE">
      <w:pPr>
        <w:numPr>
          <w:ilvl w:val="0"/>
          <w:numId w:val="22"/>
        </w:numPr>
        <w:tabs>
          <w:tab w:val="clear" w:pos="567"/>
        </w:tabs>
        <w:spacing w:before="120"/>
        <w:ind w:left="993" w:hanging="142"/>
        <w:jc w:val="both"/>
        <w:rPr>
          <w:rFonts w:cs="Arial"/>
          <w:sz w:val="20"/>
        </w:rPr>
      </w:pPr>
      <w:r w:rsidRPr="007C4C5F">
        <w:rPr>
          <w:rFonts w:cs="Arial"/>
          <w:sz w:val="20"/>
        </w:rPr>
        <w:t>uplynutím doby, na kterou bylo předběžné pojistné krytí poskytnuto, aniž by před jejím uplynutím došlo k přijetí nabídky pojistníkem a k provedení odborné prohlídky vozidla s uspokojivým výsledkem;</w:t>
      </w:r>
    </w:p>
    <w:p w:rsidR="00E202AC" w:rsidRPr="007C4C5F" w:rsidRDefault="00E202AC" w:rsidP="00210DDE">
      <w:pPr>
        <w:numPr>
          <w:ilvl w:val="0"/>
          <w:numId w:val="22"/>
        </w:numPr>
        <w:tabs>
          <w:tab w:val="clear" w:pos="567"/>
        </w:tabs>
        <w:spacing w:before="120"/>
        <w:ind w:left="993" w:hanging="142"/>
        <w:jc w:val="both"/>
        <w:rPr>
          <w:rFonts w:cs="Arial"/>
          <w:sz w:val="20"/>
        </w:rPr>
      </w:pPr>
      <w:r w:rsidRPr="007C4C5F">
        <w:rPr>
          <w:rFonts w:cs="Arial"/>
          <w:sz w:val="20"/>
        </w:rPr>
        <w:t>odmítnutím nabídky kalkulace na pojištění nestandardně pojistitelného vozidla pojistníkem;</w:t>
      </w:r>
    </w:p>
    <w:p w:rsidR="00E202AC" w:rsidRPr="00E04463" w:rsidRDefault="00E202AC" w:rsidP="00210DDE">
      <w:pPr>
        <w:pStyle w:val="slovn"/>
        <w:numPr>
          <w:ilvl w:val="0"/>
          <w:numId w:val="21"/>
        </w:numPr>
        <w:rPr>
          <w:sz w:val="20"/>
        </w:rPr>
      </w:pPr>
      <w:r w:rsidRPr="00E04463">
        <w:rPr>
          <w:sz w:val="20"/>
        </w:rPr>
        <w:t xml:space="preserve">V souladu s pojistnými podmínkami nedochází při uzavření kteréhokoli pojištění jednotlivého vozidla v průběhu pojistného období ke změně výročního dne ani konce pojistných období. </w:t>
      </w:r>
    </w:p>
    <w:p w:rsidR="00E202AC" w:rsidRPr="00E04463" w:rsidRDefault="00E202AC" w:rsidP="00210DDE">
      <w:pPr>
        <w:numPr>
          <w:ilvl w:val="0"/>
          <w:numId w:val="21"/>
        </w:numPr>
        <w:spacing w:before="120"/>
        <w:jc w:val="both"/>
        <w:rPr>
          <w:sz w:val="20"/>
        </w:rPr>
      </w:pPr>
      <w:r w:rsidRPr="00E04463">
        <w:rPr>
          <w:sz w:val="20"/>
        </w:rPr>
        <w:t xml:space="preserve">Pojištění jednotlivých vozidel zaniká podle § 12 zákona o pojištění odpovědnosti z provozu vozidla v platném znění, případně podle občanského zákoníku. </w:t>
      </w:r>
      <w:r w:rsidRPr="001062D0">
        <w:rPr>
          <w:sz w:val="20"/>
        </w:rPr>
        <w:t>Požadavek</w:t>
      </w:r>
      <w:r w:rsidRPr="00E04463">
        <w:rPr>
          <w:sz w:val="20"/>
        </w:rPr>
        <w:t xml:space="preserve"> pojistníka na vyřazení vozidla z pojištění považují smluvní strany za návrh na dohodu o zániku pojištění vozidla. Dohoda je uzavřena doručením požadavku změny, který se týká vyřazení vozidla z pojištění pojistiteli</w:t>
      </w:r>
      <w:r>
        <w:rPr>
          <w:sz w:val="20"/>
        </w:rPr>
        <w:t xml:space="preserve"> (zánik všech pojištění tohoto vozidla)</w:t>
      </w:r>
      <w:r w:rsidRPr="00E04463">
        <w:rPr>
          <w:sz w:val="20"/>
        </w:rPr>
        <w:t>.</w:t>
      </w:r>
    </w:p>
    <w:p w:rsidR="00E202AC" w:rsidRPr="00E04463" w:rsidRDefault="00E202AC" w:rsidP="00210DDE">
      <w:pPr>
        <w:numPr>
          <w:ilvl w:val="0"/>
          <w:numId w:val="21"/>
        </w:numPr>
        <w:spacing w:before="120"/>
        <w:jc w:val="both"/>
        <w:rPr>
          <w:sz w:val="20"/>
        </w:rPr>
      </w:pPr>
      <w:r w:rsidRPr="00E04463">
        <w:rPr>
          <w:sz w:val="20"/>
        </w:rPr>
        <w:t>Práva a povinnosti vyplývající z této pojistné smlouvy přecházejí na případné právní nástupce smluvních stran.</w:t>
      </w:r>
    </w:p>
    <w:p w:rsidR="00E202AC" w:rsidRDefault="00E202AC" w:rsidP="00210DDE">
      <w:pPr>
        <w:numPr>
          <w:ilvl w:val="0"/>
          <w:numId w:val="21"/>
        </w:numPr>
        <w:spacing w:before="120"/>
        <w:jc w:val="both"/>
        <w:rPr>
          <w:sz w:val="20"/>
        </w:rPr>
      </w:pPr>
      <w:r w:rsidRPr="00C91758">
        <w:rPr>
          <w:sz w:val="20"/>
        </w:rPr>
        <w:t>Veškeré změny v pojistné smlouvě mohou být prováděny pouze písemnou formou po dohodě smluvních stran s výjimkou změn provedených v souladu s touto pojistnou smlouvou na základě požadavků změna.</w:t>
      </w:r>
    </w:p>
    <w:p w:rsidR="00AC2238" w:rsidRDefault="00AC2238" w:rsidP="00AC2238">
      <w:pPr>
        <w:spacing w:before="120"/>
        <w:jc w:val="both"/>
        <w:rPr>
          <w:sz w:val="20"/>
        </w:rPr>
      </w:pPr>
    </w:p>
    <w:p w:rsidR="00E202AC" w:rsidRDefault="00E202AC" w:rsidP="00E202AC">
      <w:pPr>
        <w:rPr>
          <w:rFonts w:cs="Arial"/>
          <w:b/>
          <w:sz w:val="20"/>
          <w:u w:val="single"/>
        </w:rPr>
      </w:pPr>
      <w:r>
        <w:rPr>
          <w:b/>
          <w:sz w:val="20"/>
          <w:szCs w:val="20"/>
          <w:u w:val="single"/>
        </w:rPr>
        <w:t xml:space="preserve">Další ujednání k oddílu </w:t>
      </w:r>
      <w:r w:rsidRPr="003B7A77">
        <w:rPr>
          <w:rFonts w:cs="Arial"/>
          <w:b/>
          <w:sz w:val="20"/>
          <w:u w:val="single"/>
        </w:rPr>
        <w:t>C</w:t>
      </w:r>
      <w:r>
        <w:rPr>
          <w:rFonts w:cs="Arial"/>
          <w:b/>
          <w:sz w:val="20"/>
          <w:u w:val="single"/>
        </w:rPr>
        <w:t>, oddílu D</w:t>
      </w:r>
      <w:r w:rsidRPr="003B7A77">
        <w:rPr>
          <w:rFonts w:cs="Arial"/>
          <w:b/>
          <w:sz w:val="20"/>
          <w:u w:val="single"/>
        </w:rPr>
        <w:t xml:space="preserve"> – úrazové pojištění (administrativní pracovníci</w:t>
      </w:r>
      <w:r>
        <w:rPr>
          <w:rFonts w:cs="Arial"/>
          <w:b/>
          <w:sz w:val="20"/>
          <w:u w:val="single"/>
        </w:rPr>
        <w:t>, dobrovolní hasiči</w:t>
      </w:r>
      <w:r w:rsidRPr="003B7A77">
        <w:rPr>
          <w:rFonts w:cs="Arial"/>
          <w:b/>
          <w:sz w:val="20"/>
          <w:u w:val="single"/>
        </w:rPr>
        <w:t>) - 8603229942</w:t>
      </w:r>
      <w:r>
        <w:rPr>
          <w:rFonts w:cs="Arial"/>
          <w:b/>
          <w:sz w:val="20"/>
          <w:u w:val="single"/>
        </w:rPr>
        <w:t xml:space="preserve">, </w:t>
      </w:r>
      <w:r w:rsidRPr="003B7A77">
        <w:rPr>
          <w:rFonts w:cs="Arial"/>
          <w:b/>
          <w:sz w:val="20"/>
          <w:u w:val="single"/>
        </w:rPr>
        <w:t>8603230192</w:t>
      </w:r>
    </w:p>
    <w:p w:rsidR="00E202AC" w:rsidRPr="00393D03" w:rsidRDefault="00E202AC" w:rsidP="00E202AC">
      <w:pPr>
        <w:pStyle w:val="Odstavecseseznamem"/>
        <w:tabs>
          <w:tab w:val="left" w:pos="-720"/>
          <w:tab w:val="left" w:pos="0"/>
        </w:tabs>
        <w:suppressAutoHyphens/>
        <w:spacing w:after="0" w:line="240" w:lineRule="auto"/>
        <w:jc w:val="both"/>
        <w:rPr>
          <w:rFonts w:ascii="Koop Office" w:hAnsi="Koop Office" w:cs="Arial"/>
          <w:spacing w:val="-3"/>
          <w:sz w:val="16"/>
          <w:szCs w:val="16"/>
        </w:rPr>
      </w:pPr>
    </w:p>
    <w:p w:rsidR="00E202AC" w:rsidRPr="001B41EE" w:rsidRDefault="00E202AC" w:rsidP="00210DDE">
      <w:pPr>
        <w:numPr>
          <w:ilvl w:val="0"/>
          <w:numId w:val="24"/>
        </w:numPr>
        <w:tabs>
          <w:tab w:val="left" w:pos="-720"/>
        </w:tabs>
        <w:suppressAutoHyphens/>
        <w:ind w:hanging="720"/>
        <w:jc w:val="both"/>
        <w:rPr>
          <w:rFonts w:cs="Arial"/>
          <w:spacing w:val="-3"/>
          <w:sz w:val="20"/>
          <w:szCs w:val="20"/>
        </w:rPr>
      </w:pPr>
      <w:r w:rsidRPr="001B41EE">
        <w:rPr>
          <w:color w:val="000000"/>
          <w:spacing w:val="-3"/>
          <w:sz w:val="20"/>
          <w:szCs w:val="20"/>
        </w:rPr>
        <w:t>Pojistitel potvrzuje, že veškeré úkony spojené s likvidacemi pojistných událostí budou prováděny výhradně jeho vlastními zaměstnanci.</w:t>
      </w:r>
    </w:p>
    <w:p w:rsidR="00E202AC" w:rsidRPr="00393D03" w:rsidRDefault="00E202AC" w:rsidP="00E202AC">
      <w:pPr>
        <w:tabs>
          <w:tab w:val="left" w:pos="-720"/>
        </w:tabs>
        <w:suppressAutoHyphens/>
        <w:ind w:left="720"/>
        <w:jc w:val="both"/>
        <w:rPr>
          <w:rFonts w:cs="Arial"/>
          <w:spacing w:val="-3"/>
          <w:sz w:val="16"/>
          <w:szCs w:val="16"/>
        </w:rPr>
      </w:pPr>
    </w:p>
    <w:p w:rsidR="00E202AC" w:rsidRPr="001B41EE" w:rsidRDefault="00E202AC" w:rsidP="00210DDE">
      <w:pPr>
        <w:numPr>
          <w:ilvl w:val="0"/>
          <w:numId w:val="24"/>
        </w:numPr>
        <w:tabs>
          <w:tab w:val="left" w:pos="-720"/>
        </w:tabs>
        <w:suppressAutoHyphens/>
        <w:ind w:hanging="720"/>
        <w:jc w:val="both"/>
        <w:rPr>
          <w:rFonts w:cs="Arial"/>
          <w:spacing w:val="-3"/>
          <w:sz w:val="20"/>
          <w:szCs w:val="20"/>
        </w:rPr>
      </w:pPr>
      <w:r w:rsidRPr="001B41EE">
        <w:rPr>
          <w:rFonts w:cs="Arial"/>
          <w:spacing w:val="-3"/>
          <w:sz w:val="20"/>
          <w:szCs w:val="20"/>
        </w:rPr>
        <w:t>Pojistitel se zavazuje jednat ve věci příslušné pojistné smlouvy po dobu její účinnosti se zástupcem pojistníka, který bude k těmto úkonům pojistníkem zmocněn a pojistiteli výslovně označen jako zplnomocněná osoba, když se prokáže vůči pojistiteli platnou plnou mocí, případně příkazní smlouvou.</w:t>
      </w:r>
    </w:p>
    <w:p w:rsidR="00E202AC" w:rsidRDefault="00E202AC" w:rsidP="00E202AC">
      <w:pPr>
        <w:rPr>
          <w:rFonts w:cs="Arial"/>
          <w:sz w:val="20"/>
        </w:rPr>
      </w:pPr>
    </w:p>
    <w:p w:rsidR="00820D6A" w:rsidRDefault="00820D6A" w:rsidP="00E202AC">
      <w:pPr>
        <w:rPr>
          <w:rFonts w:cs="Arial"/>
          <w:sz w:val="20"/>
        </w:rPr>
      </w:pPr>
      <w:r>
        <w:rPr>
          <w:rFonts w:cs="Arial"/>
          <w:sz w:val="20"/>
        </w:rPr>
        <w:t xml:space="preserve">Výčet příloh: </w:t>
      </w:r>
    </w:p>
    <w:p w:rsidR="00820D6A" w:rsidRDefault="00820D6A" w:rsidP="00E202AC">
      <w:pPr>
        <w:rPr>
          <w:rFonts w:cs="Arial"/>
          <w:b/>
          <w:sz w:val="20"/>
          <w:u w:val="single"/>
        </w:rPr>
      </w:pPr>
      <w:r w:rsidRPr="00820D6A">
        <w:rPr>
          <w:rFonts w:cs="Arial"/>
          <w:b/>
          <w:sz w:val="20"/>
          <w:u w:val="single"/>
        </w:rPr>
        <w:t xml:space="preserve">Oddíl A – </w:t>
      </w:r>
      <w:proofErr w:type="gramStart"/>
      <w:r w:rsidRPr="00820D6A">
        <w:rPr>
          <w:rFonts w:cs="Arial"/>
          <w:b/>
          <w:sz w:val="20"/>
          <w:u w:val="single"/>
        </w:rPr>
        <w:t>pojištění  majetku</w:t>
      </w:r>
      <w:proofErr w:type="gramEnd"/>
      <w:r w:rsidRPr="00820D6A">
        <w:rPr>
          <w:rFonts w:cs="Arial"/>
          <w:b/>
          <w:sz w:val="20"/>
          <w:u w:val="single"/>
        </w:rPr>
        <w:t>, odpovědnosti a lesních porostů – 7720937511</w:t>
      </w:r>
    </w:p>
    <w:p w:rsidR="00820D6A" w:rsidRPr="00820D6A" w:rsidRDefault="00820D6A" w:rsidP="00E202AC">
      <w:pPr>
        <w:rPr>
          <w:rFonts w:cs="Arial"/>
          <w:sz w:val="20"/>
        </w:rPr>
      </w:pPr>
      <w:r w:rsidRPr="00820D6A">
        <w:rPr>
          <w:rFonts w:cs="Arial"/>
          <w:sz w:val="20"/>
        </w:rPr>
        <w:t xml:space="preserve">Příloha č. 1 – Mapa místa pojištění </w:t>
      </w:r>
    </w:p>
    <w:p w:rsidR="00820D6A" w:rsidRDefault="00820D6A" w:rsidP="00E202AC">
      <w:pPr>
        <w:rPr>
          <w:rFonts w:cs="Arial"/>
          <w:sz w:val="20"/>
        </w:rPr>
      </w:pPr>
    </w:p>
    <w:p w:rsidR="00E202AC" w:rsidRDefault="00E202AC" w:rsidP="00E202AC">
      <w:pPr>
        <w:rPr>
          <w:rFonts w:cs="Arial"/>
          <w:sz w:val="20"/>
        </w:rPr>
      </w:pPr>
    </w:p>
    <w:p w:rsidR="00210DDE" w:rsidRDefault="00210DDE" w:rsidP="00E202AC">
      <w:pPr>
        <w:rPr>
          <w:rFonts w:cs="Arial"/>
          <w:sz w:val="20"/>
        </w:rPr>
      </w:pPr>
    </w:p>
    <w:p w:rsidR="00E202AC" w:rsidRDefault="00E202AC" w:rsidP="00E202AC">
      <w:pPr>
        <w:rPr>
          <w:rFonts w:cs="Arial"/>
          <w:sz w:val="20"/>
        </w:rPr>
      </w:pPr>
    </w:p>
    <w:p w:rsidR="00E202AC" w:rsidRDefault="00E202AC" w:rsidP="00E202AC">
      <w:pPr>
        <w:rPr>
          <w:rFonts w:cs="Arial"/>
          <w:sz w:val="20"/>
        </w:rPr>
      </w:pPr>
    </w:p>
    <w:p w:rsidR="00E202AC" w:rsidRPr="006368D9" w:rsidRDefault="00E202AC" w:rsidP="00E202AC">
      <w:pPr>
        <w:rPr>
          <w:rFonts w:cs="Arial"/>
          <w:sz w:val="20"/>
        </w:rPr>
      </w:pPr>
    </w:p>
    <w:p w:rsidR="00E202AC" w:rsidRDefault="00E202AC" w:rsidP="00E202AC">
      <w:pPr>
        <w:rPr>
          <w:rFonts w:cs="Arial"/>
          <w:sz w:val="20"/>
        </w:rPr>
      </w:pPr>
    </w:p>
    <w:p w:rsidR="00AC2238" w:rsidRDefault="00AC2238" w:rsidP="00E202AC">
      <w:pPr>
        <w:rPr>
          <w:rFonts w:cs="Arial"/>
          <w:sz w:val="20"/>
        </w:rPr>
      </w:pPr>
    </w:p>
    <w:p w:rsidR="00AC2238" w:rsidRPr="00C16094" w:rsidRDefault="00AC2238" w:rsidP="00E202AC">
      <w:pPr>
        <w:rPr>
          <w:rFonts w:cs="Arial"/>
          <w:sz w:val="20"/>
        </w:rPr>
      </w:pPr>
    </w:p>
    <w:p w:rsidR="00E202AC" w:rsidRPr="00C16094" w:rsidRDefault="00E202AC" w:rsidP="00E202AC">
      <w:pPr>
        <w:tabs>
          <w:tab w:val="left" w:pos="3261"/>
          <w:tab w:val="left" w:pos="6379"/>
        </w:tabs>
        <w:rPr>
          <w:rFonts w:cs="Arial"/>
          <w:sz w:val="20"/>
        </w:rPr>
      </w:pPr>
      <w:r w:rsidRPr="00C16094">
        <w:rPr>
          <w:rFonts w:cs="Arial"/>
          <w:sz w:val="20"/>
        </w:rPr>
        <w:t xml:space="preserve">V Č. Budějovicích dne </w:t>
      </w:r>
      <w:r w:rsidR="00AC2238">
        <w:rPr>
          <w:rFonts w:cs="Arial"/>
          <w:sz w:val="20"/>
        </w:rPr>
        <w:t>23. září 2016</w:t>
      </w:r>
      <w:r w:rsidRPr="00C16094">
        <w:rPr>
          <w:rFonts w:cs="Arial"/>
          <w:sz w:val="20"/>
        </w:rPr>
        <w:t>……………….……………………</w:t>
      </w:r>
      <w:r w:rsidRPr="00C16094">
        <w:rPr>
          <w:rFonts w:cs="Arial"/>
          <w:sz w:val="20"/>
        </w:rPr>
        <w:tab/>
        <w:t>.………………………………</w:t>
      </w:r>
    </w:p>
    <w:p w:rsidR="00E202AC" w:rsidRPr="00C16094" w:rsidRDefault="00E202AC" w:rsidP="00E202AC">
      <w:pPr>
        <w:tabs>
          <w:tab w:val="center" w:pos="4536"/>
          <w:tab w:val="center" w:pos="7655"/>
        </w:tabs>
        <w:rPr>
          <w:rFonts w:cs="Arial"/>
        </w:rPr>
      </w:pPr>
      <w:r w:rsidRPr="00C16094">
        <w:rPr>
          <w:rFonts w:cs="Arial"/>
          <w:sz w:val="20"/>
        </w:rPr>
        <w:tab/>
        <w:t>za pojistitele</w:t>
      </w:r>
      <w:r w:rsidRPr="00C16094">
        <w:rPr>
          <w:rFonts w:cs="Arial"/>
          <w:sz w:val="20"/>
        </w:rPr>
        <w:tab/>
        <w:t>za pojistitele</w:t>
      </w:r>
    </w:p>
    <w:p w:rsidR="00E202AC" w:rsidRDefault="00E202AC" w:rsidP="00E202AC">
      <w:pPr>
        <w:rPr>
          <w:rFonts w:cs="Arial"/>
          <w:sz w:val="20"/>
        </w:rPr>
      </w:pPr>
    </w:p>
    <w:p w:rsidR="00E202AC" w:rsidRDefault="00E202AC" w:rsidP="00E202AC">
      <w:pPr>
        <w:rPr>
          <w:rFonts w:cs="Arial"/>
          <w:sz w:val="20"/>
        </w:rPr>
      </w:pPr>
    </w:p>
    <w:p w:rsidR="00E202AC" w:rsidRDefault="00E202AC" w:rsidP="00E202AC">
      <w:pPr>
        <w:rPr>
          <w:rFonts w:cs="Arial"/>
          <w:sz w:val="20"/>
        </w:rPr>
      </w:pPr>
    </w:p>
    <w:p w:rsidR="00E202AC" w:rsidRDefault="00E202AC" w:rsidP="00E202AC">
      <w:pPr>
        <w:rPr>
          <w:rFonts w:cs="Arial"/>
          <w:sz w:val="20"/>
        </w:rPr>
      </w:pPr>
    </w:p>
    <w:p w:rsidR="00AC2238" w:rsidRDefault="00AC2238" w:rsidP="00E202AC">
      <w:pPr>
        <w:rPr>
          <w:rFonts w:cs="Arial"/>
          <w:sz w:val="20"/>
        </w:rPr>
      </w:pPr>
    </w:p>
    <w:p w:rsidR="00AC2238" w:rsidRPr="00C16094" w:rsidRDefault="00AC2238" w:rsidP="00E202AC">
      <w:pPr>
        <w:rPr>
          <w:rFonts w:cs="Arial"/>
          <w:sz w:val="20"/>
        </w:rPr>
      </w:pPr>
    </w:p>
    <w:p w:rsidR="00E202AC" w:rsidRPr="00C16094" w:rsidRDefault="00E202AC" w:rsidP="00E202AC">
      <w:pPr>
        <w:rPr>
          <w:rFonts w:cs="Arial"/>
          <w:sz w:val="20"/>
        </w:rPr>
      </w:pPr>
    </w:p>
    <w:p w:rsidR="00E202AC" w:rsidRPr="00C16094" w:rsidRDefault="00E202AC" w:rsidP="00E202AC">
      <w:pPr>
        <w:tabs>
          <w:tab w:val="left" w:pos="3261"/>
        </w:tabs>
        <w:rPr>
          <w:rFonts w:cs="Arial"/>
        </w:rPr>
      </w:pPr>
      <w:r w:rsidRPr="00C16094">
        <w:rPr>
          <w:rFonts w:cs="Arial"/>
          <w:sz w:val="20"/>
        </w:rPr>
        <w:t xml:space="preserve">Ve Strakonicích dne </w:t>
      </w:r>
      <w:r w:rsidR="00AC2238">
        <w:rPr>
          <w:rFonts w:cs="Arial"/>
          <w:sz w:val="20"/>
        </w:rPr>
        <w:t>23. září 2016</w:t>
      </w:r>
      <w:r w:rsidRPr="00C16094">
        <w:rPr>
          <w:rFonts w:cs="Arial"/>
          <w:sz w:val="20"/>
        </w:rPr>
        <w:tab/>
        <w:t>…………………………………….</w:t>
      </w:r>
    </w:p>
    <w:p w:rsidR="00E202AC" w:rsidRPr="00C16094" w:rsidRDefault="00E202AC" w:rsidP="00E202AC">
      <w:pPr>
        <w:tabs>
          <w:tab w:val="center" w:pos="4536"/>
        </w:tabs>
        <w:rPr>
          <w:rFonts w:cs="Arial"/>
          <w:sz w:val="20"/>
        </w:rPr>
      </w:pPr>
      <w:r w:rsidRPr="00C16094">
        <w:rPr>
          <w:rFonts w:cs="Arial"/>
          <w:sz w:val="20"/>
        </w:rPr>
        <w:tab/>
        <w:t>za pojistníka</w:t>
      </w:r>
    </w:p>
    <w:p w:rsidR="00E202AC" w:rsidRDefault="00E202AC" w:rsidP="00E202AC">
      <w:pPr>
        <w:rPr>
          <w:rFonts w:cs="Arial"/>
          <w:sz w:val="20"/>
        </w:rPr>
      </w:pPr>
    </w:p>
    <w:p w:rsidR="00AC2238" w:rsidRDefault="00AC2238" w:rsidP="00E202AC">
      <w:pPr>
        <w:rPr>
          <w:rFonts w:cs="Arial"/>
          <w:sz w:val="20"/>
        </w:rPr>
      </w:pPr>
    </w:p>
    <w:p w:rsidR="00E202AC" w:rsidRPr="00C16094" w:rsidRDefault="00E202AC" w:rsidP="00E202AC">
      <w:pPr>
        <w:pStyle w:val="Zkladntextodsazen3"/>
        <w:tabs>
          <w:tab w:val="left" w:pos="1418"/>
        </w:tabs>
        <w:spacing w:after="0"/>
        <w:ind w:left="284" w:hanging="284"/>
        <w:rPr>
          <w:rFonts w:ascii="Koop Office" w:hAnsi="Koop Office"/>
          <w:sz w:val="20"/>
        </w:rPr>
      </w:pPr>
      <w:r>
        <w:rPr>
          <w:rFonts w:ascii="Koop Office" w:hAnsi="Koop Office"/>
          <w:sz w:val="20"/>
        </w:rPr>
        <w:t>Dodatek</w:t>
      </w:r>
      <w:r w:rsidRPr="006368D9">
        <w:rPr>
          <w:rFonts w:ascii="Koop Office" w:hAnsi="Koop Office"/>
          <w:sz w:val="20"/>
        </w:rPr>
        <w:t xml:space="preserve"> vypracoval:</w:t>
      </w:r>
      <w:r w:rsidRPr="00C16094">
        <w:rPr>
          <w:rFonts w:ascii="Koop Office" w:hAnsi="Koop Office"/>
          <w:sz w:val="20"/>
        </w:rPr>
        <w:t xml:space="preserve"> </w:t>
      </w:r>
      <w:proofErr w:type="spellStart"/>
      <w:r w:rsidR="006A3691">
        <w:rPr>
          <w:rFonts w:ascii="Koop Office" w:hAnsi="Koop Office"/>
          <w:sz w:val="20"/>
        </w:rPr>
        <w:t>xxxxx</w:t>
      </w:r>
      <w:proofErr w:type="spellEnd"/>
      <w:r w:rsidR="006A3691">
        <w:rPr>
          <w:rFonts w:ascii="Koop Office" w:hAnsi="Koop Office"/>
          <w:sz w:val="20"/>
        </w:rPr>
        <w:t xml:space="preserve"> </w:t>
      </w:r>
      <w:proofErr w:type="spellStart"/>
      <w:r w:rsidR="006A3691">
        <w:rPr>
          <w:rFonts w:ascii="Koop Office" w:hAnsi="Koop Office"/>
          <w:sz w:val="20"/>
        </w:rPr>
        <w:t>xxxxxxxx</w:t>
      </w:r>
      <w:proofErr w:type="spellEnd"/>
      <w:r w:rsidRPr="00C16094">
        <w:rPr>
          <w:rFonts w:ascii="Koop Office" w:hAnsi="Koop Office"/>
          <w:sz w:val="20"/>
        </w:rPr>
        <w:t xml:space="preserve"> </w:t>
      </w:r>
    </w:p>
    <w:p w:rsidR="00E202AC" w:rsidRPr="00C16094" w:rsidRDefault="00E202AC" w:rsidP="00E202AC">
      <w:pPr>
        <w:pStyle w:val="Zkladntextodsazen3"/>
        <w:tabs>
          <w:tab w:val="left" w:pos="1418"/>
        </w:tabs>
        <w:spacing w:after="0"/>
        <w:ind w:left="284" w:hanging="284"/>
        <w:rPr>
          <w:rFonts w:ascii="Koop Office" w:hAnsi="Koop Office"/>
          <w:sz w:val="20"/>
        </w:rPr>
      </w:pPr>
      <w:r w:rsidRPr="00C16094">
        <w:rPr>
          <w:rFonts w:ascii="Koop Office" w:hAnsi="Koop Office"/>
          <w:sz w:val="20"/>
        </w:rPr>
        <w:t xml:space="preserve">Za správnost: </w:t>
      </w:r>
      <w:r w:rsidR="006A3691">
        <w:rPr>
          <w:rFonts w:ascii="Koop Office" w:hAnsi="Koop Office"/>
          <w:sz w:val="20"/>
        </w:rPr>
        <w:t>xxxxxxxx</w:t>
      </w:r>
      <w:bookmarkStart w:id="2" w:name="_GoBack"/>
      <w:bookmarkEnd w:id="2"/>
      <w:r w:rsidR="00AC2238">
        <w:rPr>
          <w:rFonts w:ascii="Koop Office" w:hAnsi="Koop Office"/>
          <w:sz w:val="20"/>
        </w:rPr>
        <w:t xml:space="preserve"> </w:t>
      </w:r>
    </w:p>
    <w:p w:rsidR="00E202AC" w:rsidRPr="00C16094" w:rsidRDefault="00E202AC" w:rsidP="00E202AC">
      <w:pPr>
        <w:pStyle w:val="Zkladntextodsazen3"/>
        <w:tabs>
          <w:tab w:val="left" w:pos="1418"/>
        </w:tabs>
        <w:spacing w:after="0"/>
        <w:ind w:left="284" w:hanging="284"/>
        <w:rPr>
          <w:rFonts w:ascii="Koop Office" w:hAnsi="Koop Office"/>
          <w:sz w:val="20"/>
        </w:rPr>
      </w:pPr>
      <w:r w:rsidRPr="00C16094">
        <w:rPr>
          <w:rFonts w:ascii="Koop Office" w:hAnsi="Koop Office"/>
          <w:sz w:val="20"/>
        </w:rPr>
        <w:t>Kontrola:</w:t>
      </w:r>
    </w:p>
    <w:p w:rsidR="00E202AC" w:rsidRDefault="00E202AC" w:rsidP="00E202AC">
      <w:pPr>
        <w:rPr>
          <w:sz w:val="20"/>
          <w:szCs w:val="20"/>
        </w:rPr>
      </w:pPr>
    </w:p>
    <w:sectPr w:rsidR="00E202AC" w:rsidSect="00B73EBC">
      <w:headerReference w:type="default" r:id="rId11"/>
      <w:footerReference w:type="default" r:id="rId12"/>
      <w:headerReference w:type="first" r:id="rId13"/>
      <w:footerReference w:type="first" r:id="rId14"/>
      <w:pgSz w:w="11906" w:h="16838" w:code="9"/>
      <w:pgMar w:top="1134" w:right="991" w:bottom="1418" w:left="1134"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F1A" w:rsidRDefault="001F7F1A">
      <w:r>
        <w:separator/>
      </w:r>
    </w:p>
  </w:endnote>
  <w:endnote w:type="continuationSeparator" w:id="0">
    <w:p w:rsidR="001F7F1A" w:rsidRDefault="001F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90548"/>
      <w:docPartObj>
        <w:docPartGallery w:val="Page Numbers (Bottom of Page)"/>
        <w:docPartUnique/>
      </w:docPartObj>
    </w:sdtPr>
    <w:sdtEndPr>
      <w:rPr>
        <w:sz w:val="18"/>
        <w:szCs w:val="18"/>
      </w:rPr>
    </w:sdtEndPr>
    <w:sdtContent>
      <w:p w:rsidR="00DA3AF1" w:rsidRPr="00877EFF" w:rsidRDefault="00DA3AF1">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6A3691">
          <w:rPr>
            <w:noProof/>
            <w:sz w:val="18"/>
            <w:szCs w:val="18"/>
          </w:rPr>
          <w:t>7</w:t>
        </w:r>
        <w:r w:rsidRPr="00877EFF">
          <w:rPr>
            <w:sz w:val="18"/>
            <w:szCs w:val="18"/>
          </w:rPr>
          <w:fldChar w:fldCharType="end"/>
        </w:r>
      </w:p>
    </w:sdtContent>
  </w:sdt>
  <w:p w:rsidR="00DA3AF1" w:rsidRDefault="00DA3A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Default="00DA3AF1">
    <w:pPr>
      <w:pStyle w:val="Zpat"/>
      <w:jc w:val="center"/>
    </w:pPr>
  </w:p>
  <w:p w:rsidR="00DA3AF1" w:rsidRDefault="00DA3A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F1A" w:rsidRDefault="001F7F1A">
      <w:r>
        <w:separator/>
      </w:r>
    </w:p>
  </w:footnote>
  <w:footnote w:type="continuationSeparator" w:id="0">
    <w:p w:rsidR="001F7F1A" w:rsidRDefault="001F7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Pr="00652055" w:rsidRDefault="00DA3AF1" w:rsidP="00652055">
    <w:pPr>
      <w:pStyle w:val="Zhlav"/>
    </w:pPr>
    <w:r>
      <w:rPr>
        <w:sz w:val="23"/>
        <w:szCs w:val="23"/>
      </w:rPr>
      <w:tab/>
    </w:r>
    <w:r>
      <w:rPr>
        <w:sz w:val="23"/>
        <w:szCs w:val="23"/>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F1" w:rsidRPr="00A61619" w:rsidRDefault="00DA3AF1" w:rsidP="00652055">
    <w:pPr>
      <w:pStyle w:val="Zhlav"/>
    </w:pPr>
    <w:r>
      <w:rPr>
        <w:sz w:val="23"/>
        <w:szCs w:val="23"/>
      </w:rPr>
      <w:tab/>
    </w:r>
    <w:r>
      <w:rPr>
        <w:sz w:val="23"/>
        <w:szCs w:val="23"/>
      </w:rPr>
      <w:tab/>
    </w:r>
  </w:p>
  <w:p w:rsidR="00DA3AF1" w:rsidRDefault="00DA3A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3022016"/>
    <w:multiLevelType w:val="hybridMultilevel"/>
    <w:tmpl w:val="99C0E3CA"/>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461619"/>
    <w:multiLevelType w:val="hybridMultilevel"/>
    <w:tmpl w:val="3D425B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2724DA"/>
    <w:multiLevelType w:val="hybridMultilevel"/>
    <w:tmpl w:val="C076EF84"/>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BD45012"/>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1F6E7DA7"/>
    <w:multiLevelType w:val="hybridMultilevel"/>
    <w:tmpl w:val="6AAE0BAE"/>
    <w:lvl w:ilvl="0" w:tplc="921CC586">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7FB1296"/>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56E06E8"/>
    <w:multiLevelType w:val="hybridMultilevel"/>
    <w:tmpl w:val="52D05D9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7">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8">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48BA531F"/>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A20598"/>
    <w:multiLevelType w:val="hybridMultilevel"/>
    <w:tmpl w:val="C4B6F824"/>
    <w:lvl w:ilvl="0" w:tplc="FFFFFFFF">
      <w:start w:val="1"/>
      <w:numFmt w:val="lowerLetter"/>
      <w:lvlText w:val="%1)"/>
      <w:lvlJc w:val="left"/>
      <w:pPr>
        <w:tabs>
          <w:tab w:val="num" w:pos="567"/>
        </w:tabs>
        <w:ind w:left="567" w:hanging="283"/>
      </w:pPr>
      <w:rPr>
        <w:rFonts w:ascii="Arial" w:hAnsi="Arial"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5FC77D1"/>
    <w:multiLevelType w:val="multilevel"/>
    <w:tmpl w:val="6D749DA2"/>
    <w:lvl w:ilvl="0">
      <w:start w:val="1"/>
      <w:numFmt w:val="decimal"/>
      <w:lvlText w:val="%1."/>
      <w:lvlJc w:val="left"/>
      <w:pPr>
        <w:tabs>
          <w:tab w:val="num" w:pos="425"/>
        </w:tabs>
        <w:ind w:left="425" w:hanging="425"/>
      </w:pPr>
      <w:rPr>
        <w:rFonts w:hint="default"/>
        <w:b/>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6582FBA"/>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nsid w:val="65B76AAB"/>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183EEB"/>
    <w:multiLevelType w:val="hybridMultilevel"/>
    <w:tmpl w:val="58425E9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nsid w:val="72B43CB9"/>
    <w:multiLevelType w:val="hybridMultilevel"/>
    <w:tmpl w:val="71E0F716"/>
    <w:lvl w:ilvl="0" w:tplc="D186BD3A">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544BE9"/>
    <w:multiLevelType w:val="hybridMultilevel"/>
    <w:tmpl w:val="D2A82F6A"/>
    <w:lvl w:ilvl="0" w:tplc="04050015">
      <w:start w:val="1"/>
      <w:numFmt w:val="upperLetter"/>
      <w:lvlText w:val="%1."/>
      <w:lvlJc w:val="left"/>
      <w:pPr>
        <w:tabs>
          <w:tab w:val="num" w:pos="567"/>
        </w:tabs>
        <w:ind w:left="567"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8"/>
  </w:num>
  <w:num w:numId="3">
    <w:abstractNumId w:val="11"/>
  </w:num>
  <w:num w:numId="4">
    <w:abstractNumId w:val="25"/>
  </w:num>
  <w:num w:numId="5">
    <w:abstractNumId w:val="17"/>
  </w:num>
  <w:num w:numId="6">
    <w:abstractNumId w:val="18"/>
  </w:num>
  <w:num w:numId="7">
    <w:abstractNumId w:val="15"/>
  </w:num>
  <w:num w:numId="8">
    <w:abstractNumId w:val="13"/>
  </w:num>
  <w:num w:numId="9">
    <w:abstractNumId w:val="22"/>
  </w:num>
  <w:num w:numId="10">
    <w:abstractNumId w:val="23"/>
  </w:num>
  <w:num w:numId="11">
    <w:abstractNumId w:val="3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9"/>
  </w:num>
  <w:num w:numId="16">
    <w:abstractNumId w:val="30"/>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7"/>
  </w:num>
  <w:num w:numId="22">
    <w:abstractNumId w:val="24"/>
  </w:num>
  <w:num w:numId="23">
    <w:abstractNumId w:val="5"/>
  </w:num>
  <w:num w:numId="24">
    <w:abstractNumId w:val="4"/>
  </w:num>
  <w:num w:numId="25">
    <w:abstractNumId w:val="26"/>
  </w:num>
  <w:num w:numId="26">
    <w:abstractNumId w:val="3"/>
  </w:num>
  <w:num w:numId="27">
    <w:abstractNumId w:val="27"/>
  </w:num>
  <w:num w:numId="28">
    <w:abstractNumId w:val="10"/>
  </w:num>
  <w:num w:numId="29">
    <w:abstractNumId w:val="16"/>
  </w:num>
  <w:num w:numId="30">
    <w:abstractNumId w:val="2"/>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B6"/>
    <w:rsid w:val="00000AEC"/>
    <w:rsid w:val="000031E3"/>
    <w:rsid w:val="00004162"/>
    <w:rsid w:val="000056C9"/>
    <w:rsid w:val="000067B5"/>
    <w:rsid w:val="0001024B"/>
    <w:rsid w:val="00010534"/>
    <w:rsid w:val="0001084B"/>
    <w:rsid w:val="00012595"/>
    <w:rsid w:val="000140B5"/>
    <w:rsid w:val="00014FBC"/>
    <w:rsid w:val="00016200"/>
    <w:rsid w:val="00020A55"/>
    <w:rsid w:val="00020DF0"/>
    <w:rsid w:val="00023E0F"/>
    <w:rsid w:val="000269DE"/>
    <w:rsid w:val="00027092"/>
    <w:rsid w:val="000277E9"/>
    <w:rsid w:val="00032351"/>
    <w:rsid w:val="000333B4"/>
    <w:rsid w:val="00033F43"/>
    <w:rsid w:val="0003415C"/>
    <w:rsid w:val="000341AF"/>
    <w:rsid w:val="000343B2"/>
    <w:rsid w:val="00034C66"/>
    <w:rsid w:val="0003546D"/>
    <w:rsid w:val="000359D6"/>
    <w:rsid w:val="0004260F"/>
    <w:rsid w:val="00045DC6"/>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10CA"/>
    <w:rsid w:val="000A2D57"/>
    <w:rsid w:val="000A3B0B"/>
    <w:rsid w:val="000A6CC5"/>
    <w:rsid w:val="000A7B53"/>
    <w:rsid w:val="000B0C00"/>
    <w:rsid w:val="000B0F48"/>
    <w:rsid w:val="000B1956"/>
    <w:rsid w:val="000B3611"/>
    <w:rsid w:val="000B3E8B"/>
    <w:rsid w:val="000C117C"/>
    <w:rsid w:val="000C19A5"/>
    <w:rsid w:val="000C1A67"/>
    <w:rsid w:val="000C6477"/>
    <w:rsid w:val="000C676E"/>
    <w:rsid w:val="000D0067"/>
    <w:rsid w:val="000D04DB"/>
    <w:rsid w:val="000D0FEA"/>
    <w:rsid w:val="000D2257"/>
    <w:rsid w:val="000E2F14"/>
    <w:rsid w:val="000E40BB"/>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820"/>
    <w:rsid w:val="00113DF5"/>
    <w:rsid w:val="00117FC6"/>
    <w:rsid w:val="00121F8B"/>
    <w:rsid w:val="00130538"/>
    <w:rsid w:val="0013291C"/>
    <w:rsid w:val="001330AA"/>
    <w:rsid w:val="00133185"/>
    <w:rsid w:val="00134D8E"/>
    <w:rsid w:val="00135937"/>
    <w:rsid w:val="0013749C"/>
    <w:rsid w:val="0014043E"/>
    <w:rsid w:val="00143FF3"/>
    <w:rsid w:val="001442F1"/>
    <w:rsid w:val="001532C9"/>
    <w:rsid w:val="00154E1F"/>
    <w:rsid w:val="00154F5A"/>
    <w:rsid w:val="00155459"/>
    <w:rsid w:val="001637A1"/>
    <w:rsid w:val="001715DD"/>
    <w:rsid w:val="00172697"/>
    <w:rsid w:val="00174270"/>
    <w:rsid w:val="00175BEA"/>
    <w:rsid w:val="00175F45"/>
    <w:rsid w:val="001768B3"/>
    <w:rsid w:val="00176FAD"/>
    <w:rsid w:val="001773E3"/>
    <w:rsid w:val="00181409"/>
    <w:rsid w:val="001823D9"/>
    <w:rsid w:val="00182F57"/>
    <w:rsid w:val="00185130"/>
    <w:rsid w:val="00186D56"/>
    <w:rsid w:val="00192160"/>
    <w:rsid w:val="00195791"/>
    <w:rsid w:val="001A01D6"/>
    <w:rsid w:val="001A2CD7"/>
    <w:rsid w:val="001A3F5A"/>
    <w:rsid w:val="001A50C9"/>
    <w:rsid w:val="001A523E"/>
    <w:rsid w:val="001A58E9"/>
    <w:rsid w:val="001A7313"/>
    <w:rsid w:val="001A738F"/>
    <w:rsid w:val="001B1FBE"/>
    <w:rsid w:val="001B3EA8"/>
    <w:rsid w:val="001B75B2"/>
    <w:rsid w:val="001C2A7F"/>
    <w:rsid w:val="001C3896"/>
    <w:rsid w:val="001C3BC4"/>
    <w:rsid w:val="001C46FA"/>
    <w:rsid w:val="001C493A"/>
    <w:rsid w:val="001C4C5E"/>
    <w:rsid w:val="001C7BF8"/>
    <w:rsid w:val="001D038D"/>
    <w:rsid w:val="001D0842"/>
    <w:rsid w:val="001D3D4C"/>
    <w:rsid w:val="001D573C"/>
    <w:rsid w:val="001D7F15"/>
    <w:rsid w:val="001E311D"/>
    <w:rsid w:val="001F1C6E"/>
    <w:rsid w:val="001F77D4"/>
    <w:rsid w:val="001F7F1A"/>
    <w:rsid w:val="00200FF3"/>
    <w:rsid w:val="002021DB"/>
    <w:rsid w:val="00207BD3"/>
    <w:rsid w:val="00210DDE"/>
    <w:rsid w:val="00213AAC"/>
    <w:rsid w:val="002153D3"/>
    <w:rsid w:val="00215E8B"/>
    <w:rsid w:val="002160DA"/>
    <w:rsid w:val="00216C2E"/>
    <w:rsid w:val="00221407"/>
    <w:rsid w:val="002228DC"/>
    <w:rsid w:val="00224037"/>
    <w:rsid w:val="00224653"/>
    <w:rsid w:val="00224672"/>
    <w:rsid w:val="00224768"/>
    <w:rsid w:val="002250DE"/>
    <w:rsid w:val="0022613A"/>
    <w:rsid w:val="002267B4"/>
    <w:rsid w:val="00230100"/>
    <w:rsid w:val="00230F59"/>
    <w:rsid w:val="002316B5"/>
    <w:rsid w:val="0023273B"/>
    <w:rsid w:val="002327ED"/>
    <w:rsid w:val="00232A2E"/>
    <w:rsid w:val="00232BA8"/>
    <w:rsid w:val="00235F27"/>
    <w:rsid w:val="002459D2"/>
    <w:rsid w:val="00247BFA"/>
    <w:rsid w:val="002504F1"/>
    <w:rsid w:val="0025079D"/>
    <w:rsid w:val="00250903"/>
    <w:rsid w:val="00251F9C"/>
    <w:rsid w:val="00252372"/>
    <w:rsid w:val="00253431"/>
    <w:rsid w:val="00254D75"/>
    <w:rsid w:val="00257C49"/>
    <w:rsid w:val="00260A6F"/>
    <w:rsid w:val="00262FC8"/>
    <w:rsid w:val="00263019"/>
    <w:rsid w:val="002634CC"/>
    <w:rsid w:val="00263CDF"/>
    <w:rsid w:val="00264FB0"/>
    <w:rsid w:val="0027116E"/>
    <w:rsid w:val="00272535"/>
    <w:rsid w:val="00272EFB"/>
    <w:rsid w:val="002738BA"/>
    <w:rsid w:val="00273FFA"/>
    <w:rsid w:val="002764DC"/>
    <w:rsid w:val="002764E4"/>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318C"/>
    <w:rsid w:val="002B4B57"/>
    <w:rsid w:val="002B57A6"/>
    <w:rsid w:val="002B6EAE"/>
    <w:rsid w:val="002C18E9"/>
    <w:rsid w:val="002C2B1D"/>
    <w:rsid w:val="002C4130"/>
    <w:rsid w:val="002C6A91"/>
    <w:rsid w:val="002D15A4"/>
    <w:rsid w:val="002D22B3"/>
    <w:rsid w:val="002E1368"/>
    <w:rsid w:val="002E138A"/>
    <w:rsid w:val="002E3523"/>
    <w:rsid w:val="002E6FFB"/>
    <w:rsid w:val="002F05B2"/>
    <w:rsid w:val="002F0718"/>
    <w:rsid w:val="002F0CD4"/>
    <w:rsid w:val="002F40FB"/>
    <w:rsid w:val="003068FE"/>
    <w:rsid w:val="00311B0D"/>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50CC"/>
    <w:rsid w:val="0034551F"/>
    <w:rsid w:val="003464F6"/>
    <w:rsid w:val="003465BD"/>
    <w:rsid w:val="00350DB1"/>
    <w:rsid w:val="0035101F"/>
    <w:rsid w:val="00356A38"/>
    <w:rsid w:val="003572A6"/>
    <w:rsid w:val="003603C0"/>
    <w:rsid w:val="00360BB0"/>
    <w:rsid w:val="00360E3C"/>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5F40"/>
    <w:rsid w:val="003865AB"/>
    <w:rsid w:val="00386E2A"/>
    <w:rsid w:val="00391366"/>
    <w:rsid w:val="0039186C"/>
    <w:rsid w:val="00392C58"/>
    <w:rsid w:val="003931F8"/>
    <w:rsid w:val="003971E3"/>
    <w:rsid w:val="0039741A"/>
    <w:rsid w:val="003A0453"/>
    <w:rsid w:val="003A118E"/>
    <w:rsid w:val="003A155F"/>
    <w:rsid w:val="003A2506"/>
    <w:rsid w:val="003A279D"/>
    <w:rsid w:val="003A2E6A"/>
    <w:rsid w:val="003A4222"/>
    <w:rsid w:val="003B2658"/>
    <w:rsid w:val="003B3C93"/>
    <w:rsid w:val="003B73D9"/>
    <w:rsid w:val="003B79BF"/>
    <w:rsid w:val="003C0DEB"/>
    <w:rsid w:val="003C191B"/>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54CF"/>
    <w:rsid w:val="003E6167"/>
    <w:rsid w:val="003F03F5"/>
    <w:rsid w:val="003F1C32"/>
    <w:rsid w:val="003F4800"/>
    <w:rsid w:val="003F7218"/>
    <w:rsid w:val="004036F1"/>
    <w:rsid w:val="00404905"/>
    <w:rsid w:val="00406A5F"/>
    <w:rsid w:val="004149EA"/>
    <w:rsid w:val="0042166D"/>
    <w:rsid w:val="004239DC"/>
    <w:rsid w:val="00425023"/>
    <w:rsid w:val="00426552"/>
    <w:rsid w:val="004337FE"/>
    <w:rsid w:val="00433D9F"/>
    <w:rsid w:val="004458BA"/>
    <w:rsid w:val="00445E75"/>
    <w:rsid w:val="0044603E"/>
    <w:rsid w:val="00447CEE"/>
    <w:rsid w:val="00452183"/>
    <w:rsid w:val="00453225"/>
    <w:rsid w:val="00453F72"/>
    <w:rsid w:val="00456426"/>
    <w:rsid w:val="0046026A"/>
    <w:rsid w:val="00464C42"/>
    <w:rsid w:val="00465726"/>
    <w:rsid w:val="004658EB"/>
    <w:rsid w:val="0046667D"/>
    <w:rsid w:val="004726C0"/>
    <w:rsid w:val="00473800"/>
    <w:rsid w:val="00476D9C"/>
    <w:rsid w:val="00477CF1"/>
    <w:rsid w:val="00481386"/>
    <w:rsid w:val="004827DC"/>
    <w:rsid w:val="00483E40"/>
    <w:rsid w:val="00484BB4"/>
    <w:rsid w:val="004909E0"/>
    <w:rsid w:val="00491468"/>
    <w:rsid w:val="0049169D"/>
    <w:rsid w:val="004927FE"/>
    <w:rsid w:val="00494E63"/>
    <w:rsid w:val="00496683"/>
    <w:rsid w:val="004977B4"/>
    <w:rsid w:val="00497A73"/>
    <w:rsid w:val="004A2A87"/>
    <w:rsid w:val="004A345D"/>
    <w:rsid w:val="004A367D"/>
    <w:rsid w:val="004A42FD"/>
    <w:rsid w:val="004A6520"/>
    <w:rsid w:val="004A73A8"/>
    <w:rsid w:val="004A7B67"/>
    <w:rsid w:val="004B2B44"/>
    <w:rsid w:val="004B5C30"/>
    <w:rsid w:val="004C0D9C"/>
    <w:rsid w:val="004D1305"/>
    <w:rsid w:val="004D25AB"/>
    <w:rsid w:val="004D3225"/>
    <w:rsid w:val="004D4F69"/>
    <w:rsid w:val="004E0C7F"/>
    <w:rsid w:val="004E11DA"/>
    <w:rsid w:val="004E3128"/>
    <w:rsid w:val="004E374F"/>
    <w:rsid w:val="004E63A5"/>
    <w:rsid w:val="004E7D98"/>
    <w:rsid w:val="004F466F"/>
    <w:rsid w:val="004F681F"/>
    <w:rsid w:val="00500455"/>
    <w:rsid w:val="00501006"/>
    <w:rsid w:val="0050101E"/>
    <w:rsid w:val="005015FA"/>
    <w:rsid w:val="00502059"/>
    <w:rsid w:val="00502A56"/>
    <w:rsid w:val="00502BF0"/>
    <w:rsid w:val="005061DA"/>
    <w:rsid w:val="00506C8E"/>
    <w:rsid w:val="00507256"/>
    <w:rsid w:val="00511206"/>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493C"/>
    <w:rsid w:val="0054567D"/>
    <w:rsid w:val="005471ED"/>
    <w:rsid w:val="00547E3D"/>
    <w:rsid w:val="00556CF6"/>
    <w:rsid w:val="00556F6C"/>
    <w:rsid w:val="005579C1"/>
    <w:rsid w:val="00561901"/>
    <w:rsid w:val="00561DCF"/>
    <w:rsid w:val="00562ADE"/>
    <w:rsid w:val="00563C77"/>
    <w:rsid w:val="005679B6"/>
    <w:rsid w:val="005715B2"/>
    <w:rsid w:val="00573B62"/>
    <w:rsid w:val="00575F21"/>
    <w:rsid w:val="0058382A"/>
    <w:rsid w:val="00587741"/>
    <w:rsid w:val="00591EAC"/>
    <w:rsid w:val="00593137"/>
    <w:rsid w:val="00593FB6"/>
    <w:rsid w:val="00597601"/>
    <w:rsid w:val="005A24AA"/>
    <w:rsid w:val="005A375C"/>
    <w:rsid w:val="005A79D1"/>
    <w:rsid w:val="005B07B2"/>
    <w:rsid w:val="005B65E3"/>
    <w:rsid w:val="005C1B8E"/>
    <w:rsid w:val="005C305B"/>
    <w:rsid w:val="005C66A6"/>
    <w:rsid w:val="005C6803"/>
    <w:rsid w:val="005D342B"/>
    <w:rsid w:val="005D443D"/>
    <w:rsid w:val="005D4456"/>
    <w:rsid w:val="005D4E95"/>
    <w:rsid w:val="005D5494"/>
    <w:rsid w:val="005D6BBE"/>
    <w:rsid w:val="005E246A"/>
    <w:rsid w:val="005E4767"/>
    <w:rsid w:val="005F060A"/>
    <w:rsid w:val="005F11F1"/>
    <w:rsid w:val="005F183C"/>
    <w:rsid w:val="005F35AD"/>
    <w:rsid w:val="005F5DA0"/>
    <w:rsid w:val="005F7341"/>
    <w:rsid w:val="005F77BE"/>
    <w:rsid w:val="00602127"/>
    <w:rsid w:val="006060A5"/>
    <w:rsid w:val="00606CE3"/>
    <w:rsid w:val="006070E6"/>
    <w:rsid w:val="006072E0"/>
    <w:rsid w:val="006110C1"/>
    <w:rsid w:val="0061304A"/>
    <w:rsid w:val="006135C1"/>
    <w:rsid w:val="00616D1F"/>
    <w:rsid w:val="00617735"/>
    <w:rsid w:val="00621D8C"/>
    <w:rsid w:val="00626C01"/>
    <w:rsid w:val="00627496"/>
    <w:rsid w:val="00627B14"/>
    <w:rsid w:val="00631EC4"/>
    <w:rsid w:val="0063279B"/>
    <w:rsid w:val="006342C6"/>
    <w:rsid w:val="00634335"/>
    <w:rsid w:val="006368D9"/>
    <w:rsid w:val="0063722B"/>
    <w:rsid w:val="00637581"/>
    <w:rsid w:val="006404B6"/>
    <w:rsid w:val="00643FB1"/>
    <w:rsid w:val="006444A9"/>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CAA"/>
    <w:rsid w:val="00671F52"/>
    <w:rsid w:val="006764B1"/>
    <w:rsid w:val="00676DAE"/>
    <w:rsid w:val="006772F3"/>
    <w:rsid w:val="006821A1"/>
    <w:rsid w:val="00682D19"/>
    <w:rsid w:val="00685928"/>
    <w:rsid w:val="00686F62"/>
    <w:rsid w:val="0068794D"/>
    <w:rsid w:val="006879E1"/>
    <w:rsid w:val="00690862"/>
    <w:rsid w:val="00690A7B"/>
    <w:rsid w:val="0069250C"/>
    <w:rsid w:val="00695652"/>
    <w:rsid w:val="006A07D3"/>
    <w:rsid w:val="006A0AFF"/>
    <w:rsid w:val="006A0B1A"/>
    <w:rsid w:val="006A3365"/>
    <w:rsid w:val="006A3691"/>
    <w:rsid w:val="006A5330"/>
    <w:rsid w:val="006A60CF"/>
    <w:rsid w:val="006A6442"/>
    <w:rsid w:val="006B6671"/>
    <w:rsid w:val="006B6F68"/>
    <w:rsid w:val="006C2792"/>
    <w:rsid w:val="006C3095"/>
    <w:rsid w:val="006C349E"/>
    <w:rsid w:val="006C3690"/>
    <w:rsid w:val="006C7AF6"/>
    <w:rsid w:val="006D0421"/>
    <w:rsid w:val="006D0E81"/>
    <w:rsid w:val="006D3277"/>
    <w:rsid w:val="006D3B94"/>
    <w:rsid w:val="006D52CD"/>
    <w:rsid w:val="006D5327"/>
    <w:rsid w:val="006D7684"/>
    <w:rsid w:val="006E12A7"/>
    <w:rsid w:val="006E30A7"/>
    <w:rsid w:val="006E3282"/>
    <w:rsid w:val="006E40B4"/>
    <w:rsid w:val="006E4294"/>
    <w:rsid w:val="006F00C2"/>
    <w:rsid w:val="006F0FB3"/>
    <w:rsid w:val="006F1AC2"/>
    <w:rsid w:val="007024F2"/>
    <w:rsid w:val="007037B8"/>
    <w:rsid w:val="00703DCC"/>
    <w:rsid w:val="00704FA8"/>
    <w:rsid w:val="00707684"/>
    <w:rsid w:val="00707D1B"/>
    <w:rsid w:val="0071310E"/>
    <w:rsid w:val="00713175"/>
    <w:rsid w:val="00716E15"/>
    <w:rsid w:val="00724C83"/>
    <w:rsid w:val="00725F46"/>
    <w:rsid w:val="007268E3"/>
    <w:rsid w:val="007271CC"/>
    <w:rsid w:val="007309D4"/>
    <w:rsid w:val="00731202"/>
    <w:rsid w:val="00731C06"/>
    <w:rsid w:val="00734423"/>
    <w:rsid w:val="007378A8"/>
    <w:rsid w:val="00737B01"/>
    <w:rsid w:val="007440FF"/>
    <w:rsid w:val="007451FC"/>
    <w:rsid w:val="0074596F"/>
    <w:rsid w:val="007459FA"/>
    <w:rsid w:val="00745B01"/>
    <w:rsid w:val="00747005"/>
    <w:rsid w:val="00747EE5"/>
    <w:rsid w:val="00752215"/>
    <w:rsid w:val="00752B1B"/>
    <w:rsid w:val="00755DA6"/>
    <w:rsid w:val="00762AB3"/>
    <w:rsid w:val="00763E54"/>
    <w:rsid w:val="00765F67"/>
    <w:rsid w:val="007671EB"/>
    <w:rsid w:val="0076734A"/>
    <w:rsid w:val="007718D5"/>
    <w:rsid w:val="00774034"/>
    <w:rsid w:val="00774CB1"/>
    <w:rsid w:val="00776BDB"/>
    <w:rsid w:val="007805AB"/>
    <w:rsid w:val="0078120A"/>
    <w:rsid w:val="007828B7"/>
    <w:rsid w:val="00783D55"/>
    <w:rsid w:val="00784D5D"/>
    <w:rsid w:val="007852FE"/>
    <w:rsid w:val="00790CF7"/>
    <w:rsid w:val="0079560F"/>
    <w:rsid w:val="007A0D3C"/>
    <w:rsid w:val="007A2187"/>
    <w:rsid w:val="007A24DE"/>
    <w:rsid w:val="007A3504"/>
    <w:rsid w:val="007A4E91"/>
    <w:rsid w:val="007A7820"/>
    <w:rsid w:val="007B07B3"/>
    <w:rsid w:val="007B0D43"/>
    <w:rsid w:val="007B5A3D"/>
    <w:rsid w:val="007B6743"/>
    <w:rsid w:val="007C2954"/>
    <w:rsid w:val="007C3392"/>
    <w:rsid w:val="007C5C59"/>
    <w:rsid w:val="007C6242"/>
    <w:rsid w:val="007D03A0"/>
    <w:rsid w:val="007D1F7E"/>
    <w:rsid w:val="007D6E4C"/>
    <w:rsid w:val="007D7C4F"/>
    <w:rsid w:val="007E27D0"/>
    <w:rsid w:val="007E5D56"/>
    <w:rsid w:val="007E77AF"/>
    <w:rsid w:val="007E77EC"/>
    <w:rsid w:val="007F03FE"/>
    <w:rsid w:val="007F09B1"/>
    <w:rsid w:val="007F117B"/>
    <w:rsid w:val="007F5278"/>
    <w:rsid w:val="007F610A"/>
    <w:rsid w:val="00802B85"/>
    <w:rsid w:val="00804381"/>
    <w:rsid w:val="008105FB"/>
    <w:rsid w:val="00811766"/>
    <w:rsid w:val="00813396"/>
    <w:rsid w:val="00814614"/>
    <w:rsid w:val="00820D6A"/>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E18"/>
    <w:rsid w:val="00842929"/>
    <w:rsid w:val="00843283"/>
    <w:rsid w:val="008433B5"/>
    <w:rsid w:val="008464DE"/>
    <w:rsid w:val="00847210"/>
    <w:rsid w:val="0085333E"/>
    <w:rsid w:val="00856950"/>
    <w:rsid w:val="00856FE8"/>
    <w:rsid w:val="008573BE"/>
    <w:rsid w:val="00857610"/>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6FED"/>
    <w:rsid w:val="00887F62"/>
    <w:rsid w:val="008901D3"/>
    <w:rsid w:val="0089031E"/>
    <w:rsid w:val="00890759"/>
    <w:rsid w:val="00891130"/>
    <w:rsid w:val="00891343"/>
    <w:rsid w:val="008938E7"/>
    <w:rsid w:val="00895948"/>
    <w:rsid w:val="00896C5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6DFE"/>
    <w:rsid w:val="008C70C4"/>
    <w:rsid w:val="008D11A9"/>
    <w:rsid w:val="008D36D2"/>
    <w:rsid w:val="008D4CE6"/>
    <w:rsid w:val="008D79F6"/>
    <w:rsid w:val="008D7E60"/>
    <w:rsid w:val="008E5B62"/>
    <w:rsid w:val="008F1C82"/>
    <w:rsid w:val="008F213B"/>
    <w:rsid w:val="008F3E07"/>
    <w:rsid w:val="008F5671"/>
    <w:rsid w:val="008F5954"/>
    <w:rsid w:val="009006E2"/>
    <w:rsid w:val="00900B3F"/>
    <w:rsid w:val="00907146"/>
    <w:rsid w:val="00907C84"/>
    <w:rsid w:val="00915200"/>
    <w:rsid w:val="00915A77"/>
    <w:rsid w:val="00923432"/>
    <w:rsid w:val="0092495E"/>
    <w:rsid w:val="009259B5"/>
    <w:rsid w:val="0092682D"/>
    <w:rsid w:val="00930F4A"/>
    <w:rsid w:val="00934C3A"/>
    <w:rsid w:val="00941328"/>
    <w:rsid w:val="00944CEB"/>
    <w:rsid w:val="009504F0"/>
    <w:rsid w:val="00950BBB"/>
    <w:rsid w:val="0095153A"/>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5653"/>
    <w:rsid w:val="00987DBC"/>
    <w:rsid w:val="00991A45"/>
    <w:rsid w:val="00992296"/>
    <w:rsid w:val="00992426"/>
    <w:rsid w:val="009928BB"/>
    <w:rsid w:val="00997131"/>
    <w:rsid w:val="009A0E3C"/>
    <w:rsid w:val="009A2F62"/>
    <w:rsid w:val="009A340F"/>
    <w:rsid w:val="009A3C2C"/>
    <w:rsid w:val="009A72E2"/>
    <w:rsid w:val="009A7349"/>
    <w:rsid w:val="009B14DA"/>
    <w:rsid w:val="009B1A8D"/>
    <w:rsid w:val="009B1C0B"/>
    <w:rsid w:val="009B2AEF"/>
    <w:rsid w:val="009B2E61"/>
    <w:rsid w:val="009B5B44"/>
    <w:rsid w:val="009B6165"/>
    <w:rsid w:val="009B6503"/>
    <w:rsid w:val="009C1FF3"/>
    <w:rsid w:val="009C25E9"/>
    <w:rsid w:val="009C48C2"/>
    <w:rsid w:val="009C50E2"/>
    <w:rsid w:val="009C5A85"/>
    <w:rsid w:val="009C6A9B"/>
    <w:rsid w:val="009C6AEE"/>
    <w:rsid w:val="009C777A"/>
    <w:rsid w:val="009C7C63"/>
    <w:rsid w:val="009C7F78"/>
    <w:rsid w:val="009D26B7"/>
    <w:rsid w:val="009E187D"/>
    <w:rsid w:val="009E54FF"/>
    <w:rsid w:val="009E5872"/>
    <w:rsid w:val="009E5C33"/>
    <w:rsid w:val="009E73BC"/>
    <w:rsid w:val="009F08A1"/>
    <w:rsid w:val="009F541E"/>
    <w:rsid w:val="009F6117"/>
    <w:rsid w:val="009F6C54"/>
    <w:rsid w:val="00A001B7"/>
    <w:rsid w:val="00A021ED"/>
    <w:rsid w:val="00A0627B"/>
    <w:rsid w:val="00A068D2"/>
    <w:rsid w:val="00A07780"/>
    <w:rsid w:val="00A106E4"/>
    <w:rsid w:val="00A108CF"/>
    <w:rsid w:val="00A13F76"/>
    <w:rsid w:val="00A14C7C"/>
    <w:rsid w:val="00A17AE6"/>
    <w:rsid w:val="00A20068"/>
    <w:rsid w:val="00A248C2"/>
    <w:rsid w:val="00A252A7"/>
    <w:rsid w:val="00A2769F"/>
    <w:rsid w:val="00A310BA"/>
    <w:rsid w:val="00A311DA"/>
    <w:rsid w:val="00A3164E"/>
    <w:rsid w:val="00A329C9"/>
    <w:rsid w:val="00A34A9E"/>
    <w:rsid w:val="00A34B30"/>
    <w:rsid w:val="00A40B91"/>
    <w:rsid w:val="00A46BF6"/>
    <w:rsid w:val="00A47E9D"/>
    <w:rsid w:val="00A501BF"/>
    <w:rsid w:val="00A50917"/>
    <w:rsid w:val="00A53A62"/>
    <w:rsid w:val="00A55671"/>
    <w:rsid w:val="00A563AE"/>
    <w:rsid w:val="00A60950"/>
    <w:rsid w:val="00A61BB5"/>
    <w:rsid w:val="00A6332F"/>
    <w:rsid w:val="00A65C48"/>
    <w:rsid w:val="00A70018"/>
    <w:rsid w:val="00A709EB"/>
    <w:rsid w:val="00A73041"/>
    <w:rsid w:val="00A73D64"/>
    <w:rsid w:val="00A75FDB"/>
    <w:rsid w:val="00A85207"/>
    <w:rsid w:val="00A87ED1"/>
    <w:rsid w:val="00A9093C"/>
    <w:rsid w:val="00A92E5F"/>
    <w:rsid w:val="00A94337"/>
    <w:rsid w:val="00A9756D"/>
    <w:rsid w:val="00AA0586"/>
    <w:rsid w:val="00AA34DB"/>
    <w:rsid w:val="00AA4846"/>
    <w:rsid w:val="00AA59FC"/>
    <w:rsid w:val="00AA5E00"/>
    <w:rsid w:val="00AA716D"/>
    <w:rsid w:val="00AB010E"/>
    <w:rsid w:val="00AB21E7"/>
    <w:rsid w:val="00AB2559"/>
    <w:rsid w:val="00AB2CAD"/>
    <w:rsid w:val="00AB51EE"/>
    <w:rsid w:val="00AB7146"/>
    <w:rsid w:val="00AB7C43"/>
    <w:rsid w:val="00AC052B"/>
    <w:rsid w:val="00AC2238"/>
    <w:rsid w:val="00AC26C2"/>
    <w:rsid w:val="00AC3C0E"/>
    <w:rsid w:val="00AC479B"/>
    <w:rsid w:val="00AC7968"/>
    <w:rsid w:val="00AC7B1C"/>
    <w:rsid w:val="00AD067F"/>
    <w:rsid w:val="00AD0830"/>
    <w:rsid w:val="00AD40EB"/>
    <w:rsid w:val="00AD4E9C"/>
    <w:rsid w:val="00AE3A79"/>
    <w:rsid w:val="00AE3AC9"/>
    <w:rsid w:val="00AE61F5"/>
    <w:rsid w:val="00AF43F9"/>
    <w:rsid w:val="00AF4C35"/>
    <w:rsid w:val="00AF521E"/>
    <w:rsid w:val="00AF59C8"/>
    <w:rsid w:val="00AF6C78"/>
    <w:rsid w:val="00B02415"/>
    <w:rsid w:val="00B03EC1"/>
    <w:rsid w:val="00B06AD7"/>
    <w:rsid w:val="00B1378E"/>
    <w:rsid w:val="00B13AD7"/>
    <w:rsid w:val="00B15405"/>
    <w:rsid w:val="00B16FA4"/>
    <w:rsid w:val="00B21C0A"/>
    <w:rsid w:val="00B225C5"/>
    <w:rsid w:val="00B25DD3"/>
    <w:rsid w:val="00B26BE9"/>
    <w:rsid w:val="00B26E58"/>
    <w:rsid w:val="00B323AA"/>
    <w:rsid w:val="00B35194"/>
    <w:rsid w:val="00B355A7"/>
    <w:rsid w:val="00B365E9"/>
    <w:rsid w:val="00B41646"/>
    <w:rsid w:val="00B41BA9"/>
    <w:rsid w:val="00B42B20"/>
    <w:rsid w:val="00B531D9"/>
    <w:rsid w:val="00B53DB4"/>
    <w:rsid w:val="00B56561"/>
    <w:rsid w:val="00B60BF4"/>
    <w:rsid w:val="00B653FD"/>
    <w:rsid w:val="00B71C4B"/>
    <w:rsid w:val="00B71D41"/>
    <w:rsid w:val="00B72440"/>
    <w:rsid w:val="00B72C89"/>
    <w:rsid w:val="00B72F91"/>
    <w:rsid w:val="00B73D27"/>
    <w:rsid w:val="00B73EBC"/>
    <w:rsid w:val="00B750EE"/>
    <w:rsid w:val="00B76B84"/>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A1725"/>
    <w:rsid w:val="00BA1BB0"/>
    <w:rsid w:val="00BA2374"/>
    <w:rsid w:val="00BA27E8"/>
    <w:rsid w:val="00BA38D7"/>
    <w:rsid w:val="00BA4DA0"/>
    <w:rsid w:val="00BB15CD"/>
    <w:rsid w:val="00BB1EC5"/>
    <w:rsid w:val="00BB2BC9"/>
    <w:rsid w:val="00BB34CF"/>
    <w:rsid w:val="00BB3728"/>
    <w:rsid w:val="00BB52BC"/>
    <w:rsid w:val="00BB7AC2"/>
    <w:rsid w:val="00BC2609"/>
    <w:rsid w:val="00BC4F0B"/>
    <w:rsid w:val="00BC60D1"/>
    <w:rsid w:val="00BC665C"/>
    <w:rsid w:val="00BC6BE6"/>
    <w:rsid w:val="00BD3226"/>
    <w:rsid w:val="00BD32C9"/>
    <w:rsid w:val="00BD3F3B"/>
    <w:rsid w:val="00BD6B91"/>
    <w:rsid w:val="00BE076A"/>
    <w:rsid w:val="00BE2287"/>
    <w:rsid w:val="00BE3DC9"/>
    <w:rsid w:val="00BF022D"/>
    <w:rsid w:val="00BF0D5E"/>
    <w:rsid w:val="00BF22E8"/>
    <w:rsid w:val="00BF39D4"/>
    <w:rsid w:val="00BF4B52"/>
    <w:rsid w:val="00BF7D0C"/>
    <w:rsid w:val="00C009F1"/>
    <w:rsid w:val="00C01DF2"/>
    <w:rsid w:val="00C039E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27AED"/>
    <w:rsid w:val="00C31187"/>
    <w:rsid w:val="00C327B0"/>
    <w:rsid w:val="00C3353B"/>
    <w:rsid w:val="00C351DF"/>
    <w:rsid w:val="00C3522F"/>
    <w:rsid w:val="00C41101"/>
    <w:rsid w:val="00C42AD0"/>
    <w:rsid w:val="00C4353B"/>
    <w:rsid w:val="00C43EAA"/>
    <w:rsid w:val="00C44C40"/>
    <w:rsid w:val="00C453FF"/>
    <w:rsid w:val="00C4583F"/>
    <w:rsid w:val="00C5005F"/>
    <w:rsid w:val="00C50884"/>
    <w:rsid w:val="00C52016"/>
    <w:rsid w:val="00C52F06"/>
    <w:rsid w:val="00C52F93"/>
    <w:rsid w:val="00C530E9"/>
    <w:rsid w:val="00C569E3"/>
    <w:rsid w:val="00C57B66"/>
    <w:rsid w:val="00C61625"/>
    <w:rsid w:val="00C63B67"/>
    <w:rsid w:val="00C64284"/>
    <w:rsid w:val="00C660DA"/>
    <w:rsid w:val="00C6767D"/>
    <w:rsid w:val="00C73135"/>
    <w:rsid w:val="00C73C17"/>
    <w:rsid w:val="00C742CF"/>
    <w:rsid w:val="00C75E86"/>
    <w:rsid w:val="00C8046A"/>
    <w:rsid w:val="00C8206E"/>
    <w:rsid w:val="00C84E69"/>
    <w:rsid w:val="00C8521D"/>
    <w:rsid w:val="00C8657D"/>
    <w:rsid w:val="00C870A8"/>
    <w:rsid w:val="00C8769D"/>
    <w:rsid w:val="00C87D47"/>
    <w:rsid w:val="00C9016E"/>
    <w:rsid w:val="00C93090"/>
    <w:rsid w:val="00C93ACC"/>
    <w:rsid w:val="00C94FEC"/>
    <w:rsid w:val="00C97235"/>
    <w:rsid w:val="00CA03DC"/>
    <w:rsid w:val="00CA15FE"/>
    <w:rsid w:val="00CA248D"/>
    <w:rsid w:val="00CB1C1A"/>
    <w:rsid w:val="00CB2C87"/>
    <w:rsid w:val="00CB2E92"/>
    <w:rsid w:val="00CB4153"/>
    <w:rsid w:val="00CB7238"/>
    <w:rsid w:val="00CB7467"/>
    <w:rsid w:val="00CC050A"/>
    <w:rsid w:val="00CC0935"/>
    <w:rsid w:val="00CC2C32"/>
    <w:rsid w:val="00CC6E4A"/>
    <w:rsid w:val="00CC77F0"/>
    <w:rsid w:val="00CD00B1"/>
    <w:rsid w:val="00CD174B"/>
    <w:rsid w:val="00CD46C4"/>
    <w:rsid w:val="00CD74D3"/>
    <w:rsid w:val="00CE32B0"/>
    <w:rsid w:val="00CF2A82"/>
    <w:rsid w:val="00CF41A8"/>
    <w:rsid w:val="00CF6EB1"/>
    <w:rsid w:val="00CF6F8C"/>
    <w:rsid w:val="00D016D6"/>
    <w:rsid w:val="00D01D5F"/>
    <w:rsid w:val="00D031C6"/>
    <w:rsid w:val="00D0342B"/>
    <w:rsid w:val="00D0363D"/>
    <w:rsid w:val="00D05F63"/>
    <w:rsid w:val="00D06513"/>
    <w:rsid w:val="00D06BCC"/>
    <w:rsid w:val="00D0788F"/>
    <w:rsid w:val="00D1692E"/>
    <w:rsid w:val="00D16E48"/>
    <w:rsid w:val="00D177FC"/>
    <w:rsid w:val="00D2042B"/>
    <w:rsid w:val="00D21BCE"/>
    <w:rsid w:val="00D245BF"/>
    <w:rsid w:val="00D2497A"/>
    <w:rsid w:val="00D25059"/>
    <w:rsid w:val="00D278B6"/>
    <w:rsid w:val="00D301AA"/>
    <w:rsid w:val="00D34EB7"/>
    <w:rsid w:val="00D45AA9"/>
    <w:rsid w:val="00D46702"/>
    <w:rsid w:val="00D47753"/>
    <w:rsid w:val="00D47CF8"/>
    <w:rsid w:val="00D51643"/>
    <w:rsid w:val="00D51DAA"/>
    <w:rsid w:val="00D5263D"/>
    <w:rsid w:val="00D52C75"/>
    <w:rsid w:val="00D54330"/>
    <w:rsid w:val="00D543B8"/>
    <w:rsid w:val="00D55263"/>
    <w:rsid w:val="00D60F2A"/>
    <w:rsid w:val="00D61B54"/>
    <w:rsid w:val="00D65385"/>
    <w:rsid w:val="00D65D59"/>
    <w:rsid w:val="00D72F3E"/>
    <w:rsid w:val="00D7357B"/>
    <w:rsid w:val="00D737F3"/>
    <w:rsid w:val="00D74929"/>
    <w:rsid w:val="00D75496"/>
    <w:rsid w:val="00D80373"/>
    <w:rsid w:val="00D81456"/>
    <w:rsid w:val="00D856DD"/>
    <w:rsid w:val="00D86F64"/>
    <w:rsid w:val="00D94318"/>
    <w:rsid w:val="00D97A66"/>
    <w:rsid w:val="00DA0532"/>
    <w:rsid w:val="00DA3AF1"/>
    <w:rsid w:val="00DA5728"/>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8E3"/>
    <w:rsid w:val="00DE2116"/>
    <w:rsid w:val="00DE32CB"/>
    <w:rsid w:val="00DE60B1"/>
    <w:rsid w:val="00DE74ED"/>
    <w:rsid w:val="00DE7BF7"/>
    <w:rsid w:val="00DF315D"/>
    <w:rsid w:val="00DF3A6E"/>
    <w:rsid w:val="00DF7D71"/>
    <w:rsid w:val="00E00062"/>
    <w:rsid w:val="00E02F31"/>
    <w:rsid w:val="00E03F89"/>
    <w:rsid w:val="00E04FED"/>
    <w:rsid w:val="00E10DAB"/>
    <w:rsid w:val="00E12E80"/>
    <w:rsid w:val="00E13679"/>
    <w:rsid w:val="00E202AC"/>
    <w:rsid w:val="00E25D29"/>
    <w:rsid w:val="00E261D5"/>
    <w:rsid w:val="00E265F8"/>
    <w:rsid w:val="00E27A97"/>
    <w:rsid w:val="00E32292"/>
    <w:rsid w:val="00E34ED3"/>
    <w:rsid w:val="00E370DB"/>
    <w:rsid w:val="00E4533D"/>
    <w:rsid w:val="00E454E9"/>
    <w:rsid w:val="00E47CF1"/>
    <w:rsid w:val="00E520AD"/>
    <w:rsid w:val="00E52825"/>
    <w:rsid w:val="00E53066"/>
    <w:rsid w:val="00E53131"/>
    <w:rsid w:val="00E5412F"/>
    <w:rsid w:val="00E554D2"/>
    <w:rsid w:val="00E619D5"/>
    <w:rsid w:val="00E61ECB"/>
    <w:rsid w:val="00E645B5"/>
    <w:rsid w:val="00E65AC5"/>
    <w:rsid w:val="00E66CF3"/>
    <w:rsid w:val="00E673B4"/>
    <w:rsid w:val="00E6752D"/>
    <w:rsid w:val="00E717F2"/>
    <w:rsid w:val="00E730FA"/>
    <w:rsid w:val="00E75096"/>
    <w:rsid w:val="00E750C8"/>
    <w:rsid w:val="00E7747C"/>
    <w:rsid w:val="00E813A6"/>
    <w:rsid w:val="00E82D44"/>
    <w:rsid w:val="00E835DC"/>
    <w:rsid w:val="00E83D3D"/>
    <w:rsid w:val="00E84CA8"/>
    <w:rsid w:val="00EA0BF3"/>
    <w:rsid w:val="00EA28E1"/>
    <w:rsid w:val="00EA44E0"/>
    <w:rsid w:val="00EB3DC1"/>
    <w:rsid w:val="00EB704F"/>
    <w:rsid w:val="00EC06BF"/>
    <w:rsid w:val="00EC13F3"/>
    <w:rsid w:val="00EC2FF2"/>
    <w:rsid w:val="00EC4461"/>
    <w:rsid w:val="00EC490F"/>
    <w:rsid w:val="00EC7610"/>
    <w:rsid w:val="00ED0EB3"/>
    <w:rsid w:val="00ED2B9A"/>
    <w:rsid w:val="00ED53F8"/>
    <w:rsid w:val="00ED6795"/>
    <w:rsid w:val="00ED79E9"/>
    <w:rsid w:val="00EE20B6"/>
    <w:rsid w:val="00EE2C1A"/>
    <w:rsid w:val="00EE4394"/>
    <w:rsid w:val="00EE5817"/>
    <w:rsid w:val="00EF0042"/>
    <w:rsid w:val="00EF04CC"/>
    <w:rsid w:val="00EF1FB6"/>
    <w:rsid w:val="00EF283B"/>
    <w:rsid w:val="00EF336A"/>
    <w:rsid w:val="00EF7822"/>
    <w:rsid w:val="00F02386"/>
    <w:rsid w:val="00F03FC0"/>
    <w:rsid w:val="00F04CE8"/>
    <w:rsid w:val="00F06E2A"/>
    <w:rsid w:val="00F12A1A"/>
    <w:rsid w:val="00F16D39"/>
    <w:rsid w:val="00F23BE1"/>
    <w:rsid w:val="00F24FCF"/>
    <w:rsid w:val="00F27BD8"/>
    <w:rsid w:val="00F30A2D"/>
    <w:rsid w:val="00F3140B"/>
    <w:rsid w:val="00F31EB4"/>
    <w:rsid w:val="00F340CA"/>
    <w:rsid w:val="00F3623F"/>
    <w:rsid w:val="00F43B5C"/>
    <w:rsid w:val="00F44AEC"/>
    <w:rsid w:val="00F44B33"/>
    <w:rsid w:val="00F468FB"/>
    <w:rsid w:val="00F50E2A"/>
    <w:rsid w:val="00F511E9"/>
    <w:rsid w:val="00F54089"/>
    <w:rsid w:val="00F5683F"/>
    <w:rsid w:val="00F60A72"/>
    <w:rsid w:val="00F61B56"/>
    <w:rsid w:val="00F65945"/>
    <w:rsid w:val="00F71DF5"/>
    <w:rsid w:val="00F72E78"/>
    <w:rsid w:val="00F765D5"/>
    <w:rsid w:val="00F7745A"/>
    <w:rsid w:val="00F8132B"/>
    <w:rsid w:val="00F82261"/>
    <w:rsid w:val="00F83D45"/>
    <w:rsid w:val="00F85A45"/>
    <w:rsid w:val="00F85BA4"/>
    <w:rsid w:val="00F92840"/>
    <w:rsid w:val="00F96A4D"/>
    <w:rsid w:val="00F96DED"/>
    <w:rsid w:val="00F973F5"/>
    <w:rsid w:val="00F977F6"/>
    <w:rsid w:val="00FA00C2"/>
    <w:rsid w:val="00FA015A"/>
    <w:rsid w:val="00FA5AE6"/>
    <w:rsid w:val="00FB24DB"/>
    <w:rsid w:val="00FB34F2"/>
    <w:rsid w:val="00FB4CBB"/>
    <w:rsid w:val="00FB6952"/>
    <w:rsid w:val="00FB7AE1"/>
    <w:rsid w:val="00FC1FD0"/>
    <w:rsid w:val="00FC3AD4"/>
    <w:rsid w:val="00FC40E3"/>
    <w:rsid w:val="00FC4B16"/>
    <w:rsid w:val="00FD1B55"/>
    <w:rsid w:val="00FD23A0"/>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877895"/>
    <w:pPr>
      <w:ind w:left="425"/>
      <w:jc w:val="both"/>
    </w:pPr>
    <w:rPr>
      <w:b/>
      <w:bCs/>
      <w:sz w:val="20"/>
      <w:szCs w:val="20"/>
    </w:rPr>
  </w:style>
  <w:style w:type="paragraph" w:customStyle="1" w:styleId="Styl10bZarovnatdobloku">
    <w:name w:val="Styl 10 b. Zarovnat do bloku"/>
    <w:basedOn w:val="Normln"/>
    <w:autoRedefine/>
    <w:uiPriority w:val="99"/>
    <w:rsid w:val="008C70C4"/>
    <w:pPr>
      <w:tabs>
        <w:tab w:val="left" w:pos="426"/>
      </w:tabs>
      <w:ind w:left="318" w:hanging="28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1"/>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2"/>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2"/>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2"/>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
    <w:name w:val="číslování"/>
    <w:basedOn w:val="Normln"/>
    <w:uiPriority w:val="99"/>
    <w:qFormat/>
    <w:rsid w:val="00E202AC"/>
    <w:pPr>
      <w:spacing w:before="120"/>
      <w:jc w:val="both"/>
    </w:pPr>
    <w:rPr>
      <w:rFonts w:eastAsia="Calibri"/>
      <w:szCs w:val="22"/>
      <w:lang w:eastAsia="en-US"/>
    </w:rPr>
  </w:style>
  <w:style w:type="paragraph" w:customStyle="1" w:styleId="Zkladntext33">
    <w:name w:val="Základní text 33"/>
    <w:basedOn w:val="Normln"/>
    <w:rsid w:val="0003546D"/>
    <w:pPr>
      <w:tabs>
        <w:tab w:val="left" w:pos="-720"/>
      </w:tabs>
      <w:spacing w:line="36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
    <w:name w:val="Podnadpis"/>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link w:val="Textkomente"/>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titul">
    <w:name w:val="Subtitle"/>
    <w:basedOn w:val="Normln"/>
    <w:next w:val="Normln"/>
    <w:link w:val="Podtitul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titulChar">
    <w:name w:val="Podtitul Char"/>
    <w:basedOn w:val="Standardnpsmoodstavce"/>
    <w:link w:val="Podtitul"/>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877895"/>
    <w:pPr>
      <w:ind w:left="425"/>
      <w:jc w:val="both"/>
    </w:pPr>
    <w:rPr>
      <w:b/>
      <w:bCs/>
      <w:sz w:val="20"/>
      <w:szCs w:val="20"/>
    </w:rPr>
  </w:style>
  <w:style w:type="paragraph" w:customStyle="1" w:styleId="Styl10bZarovnatdobloku">
    <w:name w:val="Styl 10 b. Zarovnat do bloku"/>
    <w:basedOn w:val="Normln"/>
    <w:autoRedefine/>
    <w:uiPriority w:val="99"/>
    <w:rsid w:val="008C70C4"/>
    <w:pPr>
      <w:tabs>
        <w:tab w:val="left" w:pos="426"/>
      </w:tabs>
      <w:ind w:left="318" w:hanging="28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1"/>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2"/>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2"/>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2"/>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
    <w:name w:val="číslování"/>
    <w:basedOn w:val="Normln"/>
    <w:uiPriority w:val="99"/>
    <w:qFormat/>
    <w:rsid w:val="00E202AC"/>
    <w:pPr>
      <w:spacing w:before="120"/>
      <w:jc w:val="both"/>
    </w:pPr>
    <w:rPr>
      <w:rFonts w:eastAsia="Calibri"/>
      <w:szCs w:val="22"/>
      <w:lang w:eastAsia="en-US"/>
    </w:rPr>
  </w:style>
  <w:style w:type="paragraph" w:customStyle="1" w:styleId="Zkladntext33">
    <w:name w:val="Základní text 33"/>
    <w:basedOn w:val="Normln"/>
    <w:rsid w:val="0003546D"/>
    <w:pPr>
      <w:tabs>
        <w:tab w:val="left" w:pos="-720"/>
      </w:tabs>
      <w:spacing w:line="36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51100531">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699281521">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49005683">
      <w:bodyDiv w:val="1"/>
      <w:marLeft w:val="0"/>
      <w:marRight w:val="0"/>
      <w:marTop w:val="0"/>
      <w:marBottom w:val="0"/>
      <w:divBdr>
        <w:top w:val="none" w:sz="0" w:space="0" w:color="auto"/>
        <w:left w:val="none" w:sz="0" w:space="0" w:color="auto"/>
        <w:bottom w:val="none" w:sz="0" w:space="0" w:color="auto"/>
        <w:right w:val="none" w:sz="0" w:space="0" w:color="auto"/>
      </w:divBdr>
    </w:div>
    <w:div w:id="1488978955">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728188195">
      <w:bodyDiv w:val="1"/>
      <w:marLeft w:val="0"/>
      <w:marRight w:val="0"/>
      <w:marTop w:val="0"/>
      <w:marBottom w:val="0"/>
      <w:divBdr>
        <w:top w:val="none" w:sz="0" w:space="0" w:color="auto"/>
        <w:left w:val="none" w:sz="0" w:space="0" w:color="auto"/>
        <w:bottom w:val="none" w:sz="0" w:space="0" w:color="auto"/>
        <w:right w:val="none" w:sz="0" w:space="0" w:color="auto"/>
      </w:divBdr>
    </w:div>
    <w:div w:id="1798599388">
      <w:bodyDiv w:val="1"/>
      <w:marLeft w:val="0"/>
      <w:marRight w:val="0"/>
      <w:marTop w:val="0"/>
      <w:marBottom w:val="0"/>
      <w:divBdr>
        <w:top w:val="none" w:sz="0" w:space="0" w:color="auto"/>
        <w:left w:val="none" w:sz="0" w:space="0" w:color="auto"/>
        <w:bottom w:val="none" w:sz="0" w:space="0" w:color="auto"/>
        <w:right w:val="none" w:sz="0" w:space="0" w:color="auto"/>
      </w:divBdr>
    </w:div>
    <w:div w:id="1843202099">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08555422">
      <w:bodyDiv w:val="1"/>
      <w:marLeft w:val="0"/>
      <w:marRight w:val="0"/>
      <w:marTop w:val="0"/>
      <w:marBottom w:val="0"/>
      <w:divBdr>
        <w:top w:val="none" w:sz="0" w:space="0" w:color="auto"/>
        <w:left w:val="none" w:sz="0" w:space="0" w:color="auto"/>
        <w:bottom w:val="none" w:sz="0" w:space="0" w:color="auto"/>
        <w:right w:val="none" w:sz="0" w:space="0" w:color="auto"/>
      </w:divBdr>
      <w:divsChild>
        <w:div w:id="381442251">
          <w:marLeft w:val="547"/>
          <w:marRight w:val="0"/>
          <w:marTop w:val="86"/>
          <w:marBottom w:val="0"/>
          <w:divBdr>
            <w:top w:val="none" w:sz="0" w:space="0" w:color="auto"/>
            <w:left w:val="none" w:sz="0" w:space="0" w:color="auto"/>
            <w:bottom w:val="none" w:sz="0" w:space="0" w:color="auto"/>
            <w:right w:val="none" w:sz="0" w:space="0" w:color="auto"/>
          </w:divBdr>
        </w:div>
      </w:divsChild>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atelna@koop.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7CC3-F19F-4D04-8900-39F00633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40</TotalTime>
  <Pages>8</Pages>
  <Words>2696</Words>
  <Characters>15936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18595</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Podhradská Martina</cp:lastModifiedBy>
  <cp:revision>22</cp:revision>
  <cp:lastPrinted>2016-10-13T09:56:00Z</cp:lastPrinted>
  <dcterms:created xsi:type="dcterms:W3CDTF">2016-10-13T09:24:00Z</dcterms:created>
  <dcterms:modified xsi:type="dcterms:W3CDTF">2019-01-11T07:49:00Z</dcterms:modified>
</cp:coreProperties>
</file>