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EB" w:rsidRDefault="003041EB" w:rsidP="003041EB">
      <w:pPr>
        <w:widowControl w:val="0"/>
        <w:autoSpaceDE w:val="0"/>
        <w:autoSpaceDN w:val="0"/>
        <w:adjustRightInd w:val="0"/>
        <w:jc w:val="center"/>
        <w:rPr>
          <w:rFonts w:ascii="Arial" w:hAnsi="Arial" w:cs="Arial"/>
          <w:b/>
          <w:bCs/>
          <w:sz w:val="32"/>
          <w:szCs w:val="32"/>
        </w:rPr>
      </w:pPr>
      <w:r>
        <w:rPr>
          <w:rFonts w:ascii="Arial" w:hAnsi="Arial" w:cs="Arial"/>
          <w:b/>
          <w:bCs/>
          <w:sz w:val="32"/>
          <w:szCs w:val="32"/>
        </w:rPr>
        <w:t xml:space="preserve">Kupní Smlouva č. </w:t>
      </w:r>
      <w:r w:rsidR="00667766">
        <w:rPr>
          <w:rFonts w:ascii="Arial" w:hAnsi="Arial" w:cs="Arial"/>
          <w:b/>
          <w:bCs/>
          <w:sz w:val="32"/>
          <w:szCs w:val="32"/>
        </w:rPr>
        <w:t>S</w:t>
      </w:r>
      <w:r w:rsidR="00667766" w:rsidRPr="00667766">
        <w:rPr>
          <w:rFonts w:ascii="Arial" w:hAnsi="Arial" w:cs="Arial"/>
          <w:b/>
          <w:bCs/>
          <w:sz w:val="32"/>
          <w:szCs w:val="32"/>
        </w:rPr>
        <w:t>201</w:t>
      </w:r>
      <w:r w:rsidR="00055E86">
        <w:rPr>
          <w:rFonts w:ascii="Arial" w:hAnsi="Arial" w:cs="Arial"/>
          <w:b/>
          <w:bCs/>
          <w:sz w:val="32"/>
          <w:szCs w:val="32"/>
        </w:rPr>
        <w:t>81105</w:t>
      </w:r>
      <w:r w:rsidR="00667766" w:rsidRPr="00667766">
        <w:rPr>
          <w:rFonts w:ascii="Arial" w:hAnsi="Arial" w:cs="Arial"/>
          <w:b/>
          <w:bCs/>
          <w:sz w:val="32"/>
          <w:szCs w:val="32"/>
        </w:rPr>
        <w:t>-1</w:t>
      </w:r>
      <w:r>
        <w:rPr>
          <w:rFonts w:ascii="Arial" w:hAnsi="Arial" w:cs="Arial"/>
          <w:b/>
          <w:bCs/>
          <w:sz w:val="32"/>
          <w:szCs w:val="32"/>
        </w:rPr>
        <w:t xml:space="preserve"> </w:t>
      </w:r>
    </w:p>
    <w:p w:rsidR="003041EB" w:rsidRDefault="003041EB" w:rsidP="003041EB">
      <w:pPr>
        <w:widowControl w:val="0"/>
        <w:autoSpaceDE w:val="0"/>
        <w:autoSpaceDN w:val="0"/>
        <w:adjustRightInd w:val="0"/>
        <w:jc w:val="center"/>
        <w:rPr>
          <w:rFonts w:ascii="Arial" w:hAnsi="Arial" w:cs="Arial"/>
          <w:b/>
          <w:bCs/>
        </w:rPr>
      </w:pPr>
      <w:r>
        <w:rPr>
          <w:rFonts w:ascii="Arial" w:hAnsi="Arial" w:cs="Arial"/>
          <w:b/>
          <w:bCs/>
        </w:rPr>
        <w:t>dle občanského zákoníku</w:t>
      </w:r>
    </w:p>
    <w:p w:rsidR="003041EB" w:rsidRDefault="003041EB" w:rsidP="003041EB">
      <w:pPr>
        <w:widowControl w:val="0"/>
        <w:autoSpaceDE w:val="0"/>
        <w:autoSpaceDN w:val="0"/>
        <w:adjustRightInd w:val="0"/>
        <w:rPr>
          <w:rFonts w:ascii="Arial" w:hAnsi="Arial" w:cs="Arial"/>
          <w:b/>
          <w:bCs/>
          <w:i/>
          <w:iCs/>
          <w:sz w:val="20"/>
          <w:szCs w:val="20"/>
          <w:u w:val="single"/>
        </w:rPr>
      </w:pPr>
    </w:p>
    <w:p w:rsidR="00E44A9C" w:rsidRDefault="00E44A9C" w:rsidP="00E44A9C">
      <w:pPr>
        <w:rPr>
          <w:rFonts w:ascii="Arial" w:hAnsi="Arial" w:cs="Arial"/>
          <w:b/>
        </w:rPr>
      </w:pPr>
      <w:r>
        <w:rPr>
          <w:rFonts w:ascii="Arial" w:hAnsi="Arial" w:cs="Arial"/>
          <w:b/>
        </w:rPr>
        <w:t>Společnost:</w:t>
      </w:r>
      <w:r>
        <w:rPr>
          <w:rFonts w:ascii="Arial" w:hAnsi="Arial" w:cs="Arial"/>
          <w:b/>
        </w:rPr>
        <w:tab/>
      </w:r>
      <w:r>
        <w:rPr>
          <w:rFonts w:ascii="Arial" w:hAnsi="Arial" w:cs="Arial"/>
          <w:b/>
        </w:rPr>
        <w:tab/>
        <w:t>Data Protection Delivery Center, s.r.o.</w:t>
      </w:r>
    </w:p>
    <w:p w:rsidR="00E44A9C" w:rsidRDefault="00E44A9C" w:rsidP="00E44A9C">
      <w:pPr>
        <w:rPr>
          <w:rFonts w:ascii="Arial" w:hAnsi="Arial" w:cs="Arial"/>
        </w:rPr>
      </w:pPr>
      <w:r>
        <w:rPr>
          <w:rFonts w:ascii="Arial" w:hAnsi="Arial" w:cs="Arial"/>
          <w:b/>
        </w:rPr>
        <w:tab/>
      </w:r>
      <w:r>
        <w:rPr>
          <w:rFonts w:ascii="Arial" w:hAnsi="Arial" w:cs="Arial"/>
          <w:b/>
        </w:rPr>
        <w:tab/>
      </w:r>
      <w:r>
        <w:rPr>
          <w:rFonts w:ascii="Arial" w:hAnsi="Arial" w:cs="Arial"/>
          <w:b/>
        </w:rPr>
        <w:tab/>
      </w:r>
      <w:r>
        <w:t>Spisová značka</w:t>
      </w:r>
      <w:r w:rsidRPr="008D23F3">
        <w:t xml:space="preserve"> </w:t>
      </w:r>
      <w:r>
        <w:t>C 83488 vedená u Krajského soudu v Brně</w:t>
      </w:r>
    </w:p>
    <w:p w:rsidR="00E44A9C" w:rsidRDefault="00E44A9C" w:rsidP="00E44A9C">
      <w:pPr>
        <w:rPr>
          <w:rFonts w:ascii="Arial" w:hAnsi="Arial" w:cs="Arial"/>
        </w:rPr>
      </w:pPr>
      <w:r>
        <w:rPr>
          <w:rFonts w:ascii="Arial" w:hAnsi="Arial" w:cs="Arial"/>
        </w:rPr>
        <w:t>adresa:</w:t>
      </w:r>
      <w:r w:rsidRPr="004462CF">
        <w:rPr>
          <w:rFonts w:ascii="Arial" w:hAnsi="Arial" w:cs="Arial"/>
        </w:rPr>
        <w:t xml:space="preserve"> </w:t>
      </w:r>
      <w:r>
        <w:rPr>
          <w:rFonts w:ascii="Arial" w:hAnsi="Arial" w:cs="Arial"/>
        </w:rPr>
        <w:tab/>
      </w:r>
      <w:r>
        <w:rPr>
          <w:rFonts w:ascii="Arial" w:hAnsi="Arial" w:cs="Arial"/>
        </w:rPr>
        <w:tab/>
      </w:r>
      <w:r>
        <w:t>Rybkova 1016</w:t>
      </w:r>
      <w:r>
        <w:rPr>
          <w:lang w:val="en-US"/>
        </w:rPr>
        <w:t>/</w:t>
      </w:r>
      <w:r>
        <w:t>31, 602 00 Brno</w:t>
      </w:r>
    </w:p>
    <w:p w:rsidR="00E44A9C" w:rsidRDefault="00E44A9C" w:rsidP="00E44A9C">
      <w:pPr>
        <w:rPr>
          <w:rFonts w:ascii="Arial" w:hAnsi="Arial" w:cs="Arial"/>
        </w:rPr>
      </w:pPr>
      <w:r>
        <w:rPr>
          <w:rFonts w:ascii="Arial" w:hAnsi="Arial" w:cs="Arial"/>
        </w:rPr>
        <w:t xml:space="preserve">zastoupená: </w:t>
      </w:r>
      <w:r>
        <w:rPr>
          <w:rFonts w:ascii="Arial" w:hAnsi="Arial" w:cs="Arial"/>
        </w:rPr>
        <w:tab/>
      </w:r>
      <w:r>
        <w:rPr>
          <w:rFonts w:ascii="Arial" w:hAnsi="Arial" w:cs="Arial"/>
        </w:rPr>
        <w:tab/>
        <w:t>Ing. Petr Klabeneš, jednatel</w:t>
      </w:r>
    </w:p>
    <w:p w:rsidR="00E44A9C" w:rsidRPr="008D23F3" w:rsidRDefault="00E44A9C" w:rsidP="00E44A9C">
      <w:pPr>
        <w:rPr>
          <w:rFonts w:ascii="Arial" w:hAnsi="Arial" w:cs="Arial"/>
        </w:rPr>
      </w:pPr>
      <w:r w:rsidRPr="008D23F3">
        <w:rPr>
          <w:rFonts w:ascii="Arial" w:hAnsi="Arial" w:cs="Arial"/>
        </w:rPr>
        <w:t>bankovní spojení:</w:t>
      </w:r>
      <w:r w:rsidRPr="008D23F3">
        <w:rPr>
          <w:rFonts w:ascii="Arial" w:hAnsi="Arial" w:cs="Arial"/>
        </w:rPr>
        <w:tab/>
      </w:r>
      <w:proofErr w:type="spellStart"/>
      <w:r w:rsidR="00B06D00">
        <w:rPr>
          <w:rFonts w:ascii="Arial" w:hAnsi="Arial" w:cs="Arial"/>
        </w:rPr>
        <w:t>xxxxxxxxxxxxxxxxxxxxxx</w:t>
      </w:r>
      <w:proofErr w:type="spellEnd"/>
      <w:r w:rsidRPr="008D23F3">
        <w:rPr>
          <w:rFonts w:ascii="Arial" w:hAnsi="Arial" w:cs="Arial"/>
        </w:rPr>
        <w:t xml:space="preserve"> </w:t>
      </w:r>
    </w:p>
    <w:p w:rsidR="00E44A9C" w:rsidRPr="008D23F3" w:rsidRDefault="00E44A9C" w:rsidP="00E44A9C">
      <w:pPr>
        <w:rPr>
          <w:rFonts w:ascii="Arial" w:hAnsi="Arial" w:cs="Arial"/>
          <w:lang w:val="en-US"/>
        </w:rPr>
      </w:pPr>
      <w:r w:rsidRPr="008D23F3">
        <w:rPr>
          <w:rFonts w:ascii="Arial" w:hAnsi="Arial" w:cs="Arial"/>
        </w:rPr>
        <w:t>číslo účtu:</w:t>
      </w:r>
      <w:r w:rsidRPr="008D23F3">
        <w:rPr>
          <w:rFonts w:ascii="Arial" w:hAnsi="Arial" w:cs="Arial"/>
        </w:rPr>
        <w:tab/>
      </w:r>
      <w:r w:rsidRPr="008D23F3">
        <w:rPr>
          <w:rFonts w:ascii="Arial" w:hAnsi="Arial" w:cs="Arial"/>
        </w:rPr>
        <w:tab/>
      </w:r>
      <w:proofErr w:type="spellStart"/>
      <w:r w:rsidR="00B06D00">
        <w:rPr>
          <w:rFonts w:ascii="Arial" w:hAnsi="Arial" w:cs="Arial"/>
        </w:rPr>
        <w:t>xxxxxxxxxxxxxxxxxxx</w:t>
      </w:r>
      <w:proofErr w:type="spellEnd"/>
    </w:p>
    <w:p w:rsidR="00E44A9C" w:rsidRPr="008D23F3" w:rsidRDefault="00E44A9C" w:rsidP="00E44A9C">
      <w:pPr>
        <w:rPr>
          <w:rStyle w:val="Zvraznn"/>
          <w:rFonts w:ascii="Arial" w:hAnsi="Arial" w:cs="Arial"/>
          <w:color w:val="000000"/>
        </w:rPr>
      </w:pPr>
      <w:r w:rsidRPr="008D23F3">
        <w:rPr>
          <w:rStyle w:val="Zvraznn"/>
          <w:rFonts w:ascii="Arial" w:hAnsi="Arial" w:cs="Arial"/>
          <w:b w:val="0"/>
          <w:color w:val="000000"/>
        </w:rPr>
        <w:t>IČ:</w:t>
      </w:r>
      <w:r w:rsidRPr="008D23F3">
        <w:rPr>
          <w:rStyle w:val="Zvraznn"/>
          <w:rFonts w:ascii="Arial" w:hAnsi="Arial" w:cs="Arial"/>
          <w:color w:val="000000"/>
        </w:rPr>
        <w:t xml:space="preserve"> </w:t>
      </w:r>
      <w:r w:rsidRPr="008D23F3">
        <w:rPr>
          <w:rStyle w:val="Zvraznn"/>
          <w:rFonts w:ascii="Arial" w:hAnsi="Arial" w:cs="Arial"/>
          <w:color w:val="000000"/>
        </w:rPr>
        <w:tab/>
      </w:r>
      <w:r w:rsidRPr="008D23F3">
        <w:rPr>
          <w:rStyle w:val="Zvraznn"/>
          <w:rFonts w:ascii="Arial" w:hAnsi="Arial" w:cs="Arial"/>
          <w:color w:val="000000"/>
        </w:rPr>
        <w:tab/>
      </w:r>
      <w:r w:rsidRPr="008D23F3">
        <w:rPr>
          <w:rStyle w:val="Zvraznn"/>
          <w:rFonts w:ascii="Arial" w:hAnsi="Arial" w:cs="Arial"/>
          <w:color w:val="000000"/>
        </w:rPr>
        <w:tab/>
      </w:r>
      <w:r w:rsidRPr="008D23F3">
        <w:rPr>
          <w:rFonts w:ascii="Arial" w:hAnsi="Arial" w:cs="Arial"/>
          <w:color w:val="000000"/>
        </w:rPr>
        <w:t>03064247</w:t>
      </w:r>
    </w:p>
    <w:p w:rsidR="00E44A9C" w:rsidRPr="00AC7B64" w:rsidRDefault="00E44A9C" w:rsidP="00E44A9C">
      <w:pPr>
        <w:rPr>
          <w:rStyle w:val="Zvraznn"/>
          <w:rFonts w:ascii="Arial" w:hAnsi="Arial" w:cs="Arial"/>
          <w:color w:val="000000"/>
        </w:rPr>
      </w:pPr>
      <w:r w:rsidRPr="008D23F3">
        <w:rPr>
          <w:rStyle w:val="Zvraznn"/>
          <w:rFonts w:ascii="Arial" w:hAnsi="Arial" w:cs="Arial"/>
          <w:b w:val="0"/>
          <w:color w:val="000000"/>
        </w:rPr>
        <w:t>DIČ:</w:t>
      </w:r>
      <w:r w:rsidRPr="008D23F3">
        <w:rPr>
          <w:rStyle w:val="Zvraznn"/>
          <w:rFonts w:ascii="Arial" w:hAnsi="Arial" w:cs="Arial"/>
          <w:color w:val="000000"/>
        </w:rPr>
        <w:t xml:space="preserve"> </w:t>
      </w:r>
      <w:r w:rsidRPr="008D23F3">
        <w:rPr>
          <w:rStyle w:val="Zvraznn"/>
          <w:rFonts w:ascii="Arial" w:hAnsi="Arial" w:cs="Arial"/>
          <w:color w:val="000000"/>
        </w:rPr>
        <w:tab/>
      </w:r>
      <w:r w:rsidRPr="008D23F3">
        <w:rPr>
          <w:rStyle w:val="Zvraznn"/>
          <w:rFonts w:ascii="Arial" w:hAnsi="Arial" w:cs="Arial"/>
          <w:color w:val="000000"/>
        </w:rPr>
        <w:tab/>
      </w:r>
      <w:r w:rsidRPr="008D23F3">
        <w:rPr>
          <w:rStyle w:val="Zvraznn"/>
          <w:rFonts w:ascii="Arial" w:hAnsi="Arial" w:cs="Arial"/>
          <w:color w:val="000000"/>
        </w:rPr>
        <w:tab/>
      </w:r>
      <w:r w:rsidRPr="008D23F3">
        <w:rPr>
          <w:rStyle w:val="Zvraznn"/>
          <w:rFonts w:ascii="Arial" w:hAnsi="Arial" w:cs="Arial"/>
          <w:b w:val="0"/>
          <w:color w:val="000000"/>
        </w:rPr>
        <w:t>CZ</w:t>
      </w:r>
      <w:r w:rsidRPr="008D23F3">
        <w:rPr>
          <w:rFonts w:ascii="Arial" w:hAnsi="Arial" w:cs="Arial"/>
          <w:color w:val="000000"/>
        </w:rPr>
        <w:t>03064247</w:t>
      </w:r>
    </w:p>
    <w:p w:rsidR="003041EB" w:rsidRDefault="003041EB" w:rsidP="003041EB">
      <w:pPr>
        <w:widowControl w:val="0"/>
        <w:autoSpaceDE w:val="0"/>
        <w:autoSpaceDN w:val="0"/>
        <w:adjustRightInd w:val="0"/>
        <w:rPr>
          <w:rFonts w:ascii="Arial" w:hAnsi="Arial" w:cs="Arial"/>
          <w:sz w:val="22"/>
          <w:szCs w:val="22"/>
        </w:rPr>
      </w:pPr>
      <w:r>
        <w:rPr>
          <w:rFonts w:ascii="Arial" w:hAnsi="Arial" w:cs="Arial"/>
          <w:sz w:val="22"/>
          <w:szCs w:val="22"/>
        </w:rPr>
        <w:t>(dále jen „zhotovitel“)</w:t>
      </w:r>
    </w:p>
    <w:p w:rsidR="003041EB" w:rsidRDefault="003041EB" w:rsidP="003041EB">
      <w:pPr>
        <w:widowControl w:val="0"/>
        <w:autoSpaceDE w:val="0"/>
        <w:autoSpaceDN w:val="0"/>
        <w:adjustRightInd w:val="0"/>
        <w:rPr>
          <w:rFonts w:ascii="Arial" w:hAnsi="Arial" w:cs="Arial"/>
          <w:sz w:val="22"/>
          <w:szCs w:val="22"/>
        </w:rPr>
      </w:pPr>
    </w:p>
    <w:p w:rsidR="003041EB" w:rsidRDefault="003041EB" w:rsidP="003041EB">
      <w:pPr>
        <w:widowControl w:val="0"/>
        <w:autoSpaceDE w:val="0"/>
        <w:autoSpaceDN w:val="0"/>
        <w:adjustRightInd w:val="0"/>
        <w:rPr>
          <w:rFonts w:ascii="Arial" w:hAnsi="Arial" w:cs="Arial"/>
          <w:sz w:val="22"/>
          <w:szCs w:val="22"/>
        </w:rPr>
      </w:pPr>
      <w:r>
        <w:rPr>
          <w:rFonts w:ascii="Arial" w:hAnsi="Arial" w:cs="Arial"/>
          <w:sz w:val="22"/>
          <w:szCs w:val="22"/>
        </w:rPr>
        <w:t>a</w:t>
      </w:r>
    </w:p>
    <w:p w:rsidR="003041EB" w:rsidRDefault="003041EB" w:rsidP="003041EB">
      <w:pPr>
        <w:widowControl w:val="0"/>
        <w:autoSpaceDE w:val="0"/>
        <w:autoSpaceDN w:val="0"/>
        <w:adjustRightInd w:val="0"/>
        <w:rPr>
          <w:rFonts w:ascii="Arial" w:hAnsi="Arial" w:cs="Arial"/>
          <w:b/>
          <w:bCs/>
          <w:color w:val="000000"/>
          <w:sz w:val="22"/>
          <w:szCs w:val="22"/>
        </w:rPr>
      </w:pPr>
    </w:p>
    <w:p w:rsidR="003041EB" w:rsidRDefault="003041EB" w:rsidP="003041EB">
      <w:pPr>
        <w:widowControl w:val="0"/>
        <w:autoSpaceDE w:val="0"/>
        <w:autoSpaceDN w:val="0"/>
        <w:adjustRightInd w:val="0"/>
        <w:rPr>
          <w:rFonts w:ascii="Calibri" w:hAnsi="Calibri"/>
          <w:b/>
          <w:sz w:val="22"/>
          <w:szCs w:val="22"/>
        </w:rPr>
      </w:pPr>
      <w:r>
        <w:rPr>
          <w:rFonts w:ascii="Arial" w:hAnsi="Arial" w:cs="Arial"/>
          <w:b/>
          <w:bCs/>
          <w:sz w:val="22"/>
          <w:szCs w:val="22"/>
        </w:rPr>
        <w:t xml:space="preserve">Společnost:            </w:t>
      </w:r>
      <w:r>
        <w:rPr>
          <w:rFonts w:ascii="Arial" w:hAnsi="Arial" w:cs="Arial"/>
          <w:b/>
          <w:bCs/>
          <w:sz w:val="22"/>
          <w:szCs w:val="22"/>
        </w:rPr>
        <w:tab/>
      </w:r>
      <w:r w:rsidR="00E44A9C" w:rsidRPr="00E44A9C">
        <w:rPr>
          <w:rFonts w:ascii="Calibri" w:hAnsi="Calibri"/>
          <w:b/>
          <w:sz w:val="22"/>
          <w:szCs w:val="22"/>
        </w:rPr>
        <w:t>Česká plemenářská inspekce</w:t>
      </w:r>
    </w:p>
    <w:p w:rsidR="00E44A9C" w:rsidRDefault="00E44A9C" w:rsidP="003041EB">
      <w:pPr>
        <w:widowControl w:val="0"/>
        <w:autoSpaceDE w:val="0"/>
        <w:autoSpaceDN w:val="0"/>
        <w:adjustRightInd w:val="0"/>
        <w:rPr>
          <w:rFonts w:ascii="Arial" w:hAnsi="Arial" w:cs="Arial"/>
          <w:sz w:val="22"/>
          <w:szCs w:val="22"/>
        </w:rPr>
      </w:pPr>
      <w:r w:rsidRPr="00E44A9C">
        <w:rPr>
          <w:rFonts w:ascii="Calibri" w:hAnsi="Calibri"/>
          <w:sz w:val="22"/>
          <w:szCs w:val="22"/>
        </w:rPr>
        <w:t>adresa:</w:t>
      </w:r>
      <w:r w:rsidRPr="00E44A9C">
        <w:rPr>
          <w:rFonts w:ascii="Calibri" w:hAnsi="Calibri"/>
          <w:sz w:val="22"/>
          <w:szCs w:val="22"/>
        </w:rPr>
        <w:tab/>
      </w:r>
      <w:r>
        <w:rPr>
          <w:rFonts w:ascii="Calibri" w:hAnsi="Calibri"/>
          <w:b/>
          <w:sz w:val="22"/>
          <w:szCs w:val="22"/>
        </w:rPr>
        <w:tab/>
      </w:r>
      <w:r>
        <w:rPr>
          <w:rFonts w:ascii="Calibri" w:hAnsi="Calibri"/>
          <w:b/>
          <w:sz w:val="22"/>
          <w:szCs w:val="22"/>
        </w:rPr>
        <w:tab/>
      </w:r>
      <w:r>
        <w:rPr>
          <w:rFonts w:ascii="Arial" w:hAnsi="Arial" w:cs="Arial"/>
          <w:sz w:val="23"/>
          <w:szCs w:val="23"/>
        </w:rPr>
        <w:t>Slezská 100/7, Vinohrady (Praha 2), 120 00 Praha</w:t>
      </w:r>
    </w:p>
    <w:p w:rsidR="003041EB" w:rsidRDefault="003041EB" w:rsidP="003041EB">
      <w:pPr>
        <w:widowControl w:val="0"/>
        <w:autoSpaceDE w:val="0"/>
        <w:autoSpaceDN w:val="0"/>
        <w:adjustRightInd w:val="0"/>
        <w:rPr>
          <w:rFonts w:ascii="Arial" w:hAnsi="Arial" w:cs="Arial"/>
          <w:sz w:val="22"/>
          <w:szCs w:val="22"/>
        </w:rPr>
      </w:pPr>
      <w:r>
        <w:rPr>
          <w:rFonts w:ascii="Arial" w:hAnsi="Arial" w:cs="Arial"/>
          <w:sz w:val="22"/>
          <w:szCs w:val="22"/>
        </w:rPr>
        <w:t xml:space="preserve">IČ:                  </w:t>
      </w:r>
      <w:r w:rsidR="00E44A9C">
        <w:rPr>
          <w:rFonts w:ascii="Arial" w:hAnsi="Arial" w:cs="Arial"/>
          <w:sz w:val="22"/>
          <w:szCs w:val="22"/>
        </w:rPr>
        <w:tab/>
      </w:r>
      <w:r w:rsidR="00E44A9C">
        <w:rPr>
          <w:rFonts w:ascii="Arial" w:hAnsi="Arial" w:cs="Arial"/>
          <w:sz w:val="22"/>
          <w:szCs w:val="22"/>
        </w:rPr>
        <w:tab/>
      </w:r>
      <w:r w:rsidR="00E44A9C">
        <w:rPr>
          <w:rFonts w:ascii="Arial" w:hAnsi="Arial" w:cs="Arial"/>
          <w:sz w:val="23"/>
          <w:szCs w:val="23"/>
        </w:rPr>
        <w:t>00639613</w:t>
      </w:r>
      <w:r>
        <w:rPr>
          <w:rFonts w:ascii="Arial" w:hAnsi="Arial" w:cs="Arial"/>
          <w:sz w:val="22"/>
          <w:szCs w:val="22"/>
        </w:rPr>
        <w:t xml:space="preserve">             </w:t>
      </w:r>
    </w:p>
    <w:p w:rsidR="003041EB" w:rsidRDefault="003041EB" w:rsidP="003041EB">
      <w:pPr>
        <w:widowControl w:val="0"/>
        <w:autoSpaceDE w:val="0"/>
        <w:autoSpaceDN w:val="0"/>
        <w:adjustRightInd w:val="0"/>
        <w:rPr>
          <w:rFonts w:ascii="Arial" w:hAnsi="Arial" w:cs="Arial"/>
          <w:sz w:val="22"/>
          <w:szCs w:val="22"/>
        </w:rPr>
      </w:pPr>
      <w:r>
        <w:rPr>
          <w:rFonts w:ascii="Arial" w:hAnsi="Arial" w:cs="Arial"/>
          <w:sz w:val="22"/>
          <w:szCs w:val="22"/>
        </w:rPr>
        <w:t>(dále jen „objednatel“)</w:t>
      </w:r>
    </w:p>
    <w:p w:rsidR="003041EB" w:rsidRDefault="003041EB" w:rsidP="003041EB">
      <w:pPr>
        <w:widowControl w:val="0"/>
        <w:autoSpaceDE w:val="0"/>
        <w:autoSpaceDN w:val="0"/>
        <w:adjustRightInd w:val="0"/>
        <w:rPr>
          <w:rFonts w:ascii="Arial" w:hAnsi="Arial" w:cs="Arial"/>
          <w:color w:val="000000"/>
          <w:sz w:val="22"/>
          <w:szCs w:val="22"/>
        </w:rPr>
      </w:pPr>
    </w:p>
    <w:p w:rsidR="003041EB" w:rsidRDefault="003041EB" w:rsidP="003041EB">
      <w:pPr>
        <w:widowControl w:val="0"/>
        <w:autoSpaceDE w:val="0"/>
        <w:autoSpaceDN w:val="0"/>
        <w:adjustRightInd w:val="0"/>
        <w:rPr>
          <w:rFonts w:ascii="Arial" w:hAnsi="Arial" w:cs="Arial"/>
          <w:sz w:val="22"/>
          <w:szCs w:val="22"/>
        </w:rPr>
      </w:pPr>
    </w:p>
    <w:p w:rsidR="003041EB" w:rsidRDefault="003041EB" w:rsidP="003041EB">
      <w:pPr>
        <w:widowControl w:val="0"/>
        <w:autoSpaceDE w:val="0"/>
        <w:autoSpaceDN w:val="0"/>
        <w:adjustRightInd w:val="0"/>
        <w:jc w:val="center"/>
        <w:rPr>
          <w:rFonts w:ascii="Arial" w:hAnsi="Arial" w:cs="Arial"/>
          <w:sz w:val="22"/>
          <w:szCs w:val="22"/>
        </w:rPr>
      </w:pPr>
      <w:r>
        <w:rPr>
          <w:rFonts w:ascii="Arial" w:hAnsi="Arial" w:cs="Arial"/>
          <w:sz w:val="22"/>
          <w:szCs w:val="22"/>
        </w:rPr>
        <w:t xml:space="preserve">uzavírají dle </w:t>
      </w:r>
      <w:proofErr w:type="spellStart"/>
      <w:r>
        <w:rPr>
          <w:rFonts w:ascii="Arial" w:hAnsi="Arial" w:cs="Arial"/>
          <w:sz w:val="22"/>
          <w:szCs w:val="22"/>
        </w:rPr>
        <w:t>ust</w:t>
      </w:r>
      <w:proofErr w:type="spellEnd"/>
      <w:r>
        <w:rPr>
          <w:rFonts w:ascii="Arial" w:hAnsi="Arial" w:cs="Arial"/>
          <w:sz w:val="22"/>
          <w:szCs w:val="22"/>
        </w:rPr>
        <w:t xml:space="preserve">. § </w:t>
      </w:r>
      <w:r w:rsidR="00C51C65" w:rsidRPr="00C51C65">
        <w:rPr>
          <w:rFonts w:ascii="Arial" w:hAnsi="Arial" w:cs="Arial"/>
          <w:sz w:val="22"/>
          <w:szCs w:val="22"/>
        </w:rPr>
        <w:t xml:space="preserve">2079 </w:t>
      </w:r>
      <w:r>
        <w:rPr>
          <w:rFonts w:ascii="Arial" w:hAnsi="Arial" w:cs="Arial"/>
          <w:sz w:val="22"/>
          <w:szCs w:val="22"/>
        </w:rPr>
        <w:t>a násl. občanského zákoníku tuto</w:t>
      </w:r>
    </w:p>
    <w:p w:rsidR="003041EB" w:rsidRDefault="003041EB" w:rsidP="003041EB">
      <w:pPr>
        <w:widowControl w:val="0"/>
        <w:autoSpaceDE w:val="0"/>
        <w:autoSpaceDN w:val="0"/>
        <w:adjustRightInd w:val="0"/>
        <w:jc w:val="center"/>
        <w:rPr>
          <w:rFonts w:ascii="Arial" w:hAnsi="Arial" w:cs="Arial"/>
          <w:sz w:val="22"/>
          <w:szCs w:val="22"/>
        </w:rPr>
      </w:pPr>
      <w:r>
        <w:rPr>
          <w:rFonts w:ascii="Arial" w:hAnsi="Arial" w:cs="Arial"/>
          <w:b/>
          <w:bCs/>
          <w:sz w:val="22"/>
          <w:szCs w:val="22"/>
        </w:rPr>
        <w:t xml:space="preserve"> kupní smlouvu:</w:t>
      </w:r>
    </w:p>
    <w:p w:rsidR="003041EB" w:rsidRDefault="003041EB" w:rsidP="003041EB">
      <w:pPr>
        <w:widowControl w:val="0"/>
        <w:autoSpaceDE w:val="0"/>
        <w:autoSpaceDN w:val="0"/>
        <w:adjustRightInd w:val="0"/>
        <w:rPr>
          <w:rFonts w:ascii="Arial" w:hAnsi="Arial" w:cs="Arial"/>
          <w:sz w:val="22"/>
          <w:szCs w:val="22"/>
        </w:rPr>
      </w:pPr>
      <w:r>
        <w:rPr>
          <w:rFonts w:ascii="Arial" w:hAnsi="Arial" w:cs="Arial"/>
          <w:sz w:val="22"/>
          <w:szCs w:val="22"/>
        </w:rPr>
        <w:t xml:space="preserve">  </w:t>
      </w:r>
    </w:p>
    <w:p w:rsidR="003041EB" w:rsidRDefault="003041EB" w:rsidP="003041EB">
      <w:pPr>
        <w:widowControl w:val="0"/>
        <w:numPr>
          <w:ilvl w:val="0"/>
          <w:numId w:val="1"/>
        </w:numPr>
        <w:autoSpaceDE w:val="0"/>
        <w:autoSpaceDN w:val="0"/>
        <w:adjustRightInd w:val="0"/>
        <w:jc w:val="center"/>
        <w:rPr>
          <w:rFonts w:ascii="Arial" w:hAnsi="Arial" w:cs="Arial"/>
          <w:b/>
          <w:bCs/>
          <w:sz w:val="22"/>
          <w:szCs w:val="22"/>
        </w:rPr>
      </w:pPr>
      <w:r>
        <w:rPr>
          <w:rFonts w:ascii="Arial" w:hAnsi="Arial" w:cs="Arial"/>
          <w:b/>
          <w:bCs/>
          <w:sz w:val="22"/>
          <w:szCs w:val="22"/>
        </w:rPr>
        <w:t>Předmět plnění a doba</w:t>
      </w:r>
    </w:p>
    <w:p w:rsidR="003041EB" w:rsidRDefault="003041EB" w:rsidP="003041EB">
      <w:pPr>
        <w:widowControl w:val="0"/>
        <w:autoSpaceDE w:val="0"/>
        <w:autoSpaceDN w:val="0"/>
        <w:adjustRightInd w:val="0"/>
        <w:jc w:val="both"/>
        <w:rPr>
          <w:rFonts w:ascii="Arial" w:hAnsi="Arial" w:cs="Arial"/>
          <w:b/>
          <w:bCs/>
          <w:sz w:val="22"/>
          <w:szCs w:val="22"/>
        </w:rPr>
      </w:pPr>
    </w:p>
    <w:p w:rsidR="003041EB" w:rsidRDefault="003041EB" w:rsidP="003041EB">
      <w:pPr>
        <w:widowControl w:val="0"/>
        <w:autoSpaceDE w:val="0"/>
        <w:autoSpaceDN w:val="0"/>
        <w:adjustRightInd w:val="0"/>
        <w:jc w:val="both"/>
        <w:rPr>
          <w:rFonts w:ascii="Arial" w:hAnsi="Arial" w:cs="Arial"/>
          <w:sz w:val="22"/>
          <w:szCs w:val="22"/>
        </w:rPr>
      </w:pPr>
      <w:r>
        <w:rPr>
          <w:rFonts w:ascii="Arial" w:hAnsi="Arial" w:cs="Arial"/>
          <w:sz w:val="22"/>
          <w:szCs w:val="22"/>
        </w:rPr>
        <w:t>Zhotovitel se zavazuje o dodání zboží a licencí,</w:t>
      </w:r>
      <w:r w:rsidR="00E44A9C">
        <w:rPr>
          <w:rFonts w:ascii="Arial" w:hAnsi="Arial" w:cs="Arial"/>
          <w:sz w:val="22"/>
          <w:szCs w:val="22"/>
        </w:rPr>
        <w:t xml:space="preserve"> </w:t>
      </w:r>
      <w:r>
        <w:rPr>
          <w:rFonts w:ascii="Arial" w:hAnsi="Arial" w:cs="Arial"/>
          <w:sz w:val="22"/>
          <w:szCs w:val="22"/>
        </w:rPr>
        <w:t xml:space="preserve">dle přílohy </w:t>
      </w:r>
      <w:proofErr w:type="gramStart"/>
      <w:r>
        <w:rPr>
          <w:rFonts w:ascii="Arial" w:hAnsi="Arial" w:cs="Arial"/>
          <w:sz w:val="22"/>
          <w:szCs w:val="22"/>
        </w:rPr>
        <w:t>č.1 této</w:t>
      </w:r>
      <w:proofErr w:type="gramEnd"/>
      <w:r>
        <w:rPr>
          <w:rFonts w:ascii="Arial" w:hAnsi="Arial" w:cs="Arial"/>
          <w:sz w:val="22"/>
          <w:szCs w:val="22"/>
        </w:rPr>
        <w:t xml:space="preserve"> smlouvy</w:t>
      </w:r>
      <w:r>
        <w:rPr>
          <w:rFonts w:ascii="Arial" w:hAnsi="Arial" w:cs="Arial"/>
          <w:szCs w:val="22"/>
        </w:rPr>
        <w:t xml:space="preserve">  </w:t>
      </w:r>
      <w:r>
        <w:rPr>
          <w:rFonts w:ascii="Arial" w:hAnsi="Arial" w:cs="Arial"/>
          <w:sz w:val="22"/>
          <w:szCs w:val="22"/>
        </w:rPr>
        <w:t xml:space="preserve">Zhotovitel se zavazuje, že předmět smlouvy bude kompletně dodán do </w:t>
      </w:r>
      <w:r w:rsidRPr="00C51C65">
        <w:rPr>
          <w:rFonts w:ascii="Arial" w:hAnsi="Arial" w:cs="Arial"/>
          <w:sz w:val="22"/>
          <w:szCs w:val="22"/>
        </w:rPr>
        <w:t>31.1</w:t>
      </w:r>
      <w:r w:rsidR="007665C6" w:rsidRPr="00C51C65">
        <w:rPr>
          <w:rFonts w:ascii="Arial" w:hAnsi="Arial" w:cs="Arial"/>
          <w:sz w:val="22"/>
          <w:szCs w:val="22"/>
        </w:rPr>
        <w:t>2</w:t>
      </w:r>
      <w:r w:rsidRPr="00C51C65">
        <w:rPr>
          <w:rFonts w:ascii="Arial" w:hAnsi="Arial" w:cs="Arial"/>
          <w:sz w:val="22"/>
          <w:szCs w:val="22"/>
        </w:rPr>
        <w:t>.201</w:t>
      </w:r>
      <w:r w:rsidR="00055E86">
        <w:rPr>
          <w:rFonts w:ascii="Arial" w:hAnsi="Arial" w:cs="Arial"/>
          <w:sz w:val="22"/>
          <w:szCs w:val="22"/>
        </w:rPr>
        <w:t>8</w:t>
      </w:r>
      <w:r>
        <w:rPr>
          <w:rFonts w:ascii="Arial" w:hAnsi="Arial" w:cs="Arial"/>
          <w:sz w:val="22"/>
          <w:szCs w:val="22"/>
        </w:rPr>
        <w:t xml:space="preserve">. </w:t>
      </w:r>
    </w:p>
    <w:p w:rsidR="003041EB" w:rsidRDefault="003041EB" w:rsidP="003041EB">
      <w:pPr>
        <w:widowControl w:val="0"/>
        <w:autoSpaceDE w:val="0"/>
        <w:autoSpaceDN w:val="0"/>
        <w:adjustRightInd w:val="0"/>
        <w:rPr>
          <w:rFonts w:ascii="Arial" w:hAnsi="Arial" w:cs="Arial"/>
          <w:sz w:val="22"/>
          <w:szCs w:val="22"/>
        </w:rPr>
      </w:pPr>
    </w:p>
    <w:p w:rsidR="003041EB" w:rsidRDefault="003041EB" w:rsidP="003041EB">
      <w:pPr>
        <w:widowControl w:val="0"/>
        <w:autoSpaceDE w:val="0"/>
        <w:autoSpaceDN w:val="0"/>
        <w:adjustRightInd w:val="0"/>
        <w:rPr>
          <w:rFonts w:ascii="Arial" w:hAnsi="Arial" w:cs="Arial"/>
          <w:sz w:val="22"/>
          <w:szCs w:val="22"/>
        </w:rPr>
      </w:pPr>
    </w:p>
    <w:p w:rsidR="003041EB" w:rsidRDefault="003041EB" w:rsidP="003041EB">
      <w:pPr>
        <w:widowControl w:val="0"/>
        <w:autoSpaceDE w:val="0"/>
        <w:autoSpaceDN w:val="0"/>
        <w:adjustRightInd w:val="0"/>
        <w:rPr>
          <w:rFonts w:ascii="Arial" w:hAnsi="Arial" w:cs="Arial"/>
          <w:sz w:val="22"/>
          <w:szCs w:val="22"/>
        </w:rPr>
      </w:pPr>
    </w:p>
    <w:p w:rsidR="003041EB" w:rsidRDefault="003041EB" w:rsidP="003041EB">
      <w:pPr>
        <w:widowControl w:val="0"/>
        <w:numPr>
          <w:ilvl w:val="0"/>
          <w:numId w:val="1"/>
        </w:numPr>
        <w:autoSpaceDE w:val="0"/>
        <w:autoSpaceDN w:val="0"/>
        <w:adjustRightInd w:val="0"/>
        <w:jc w:val="center"/>
        <w:rPr>
          <w:rFonts w:ascii="Arial" w:hAnsi="Arial" w:cs="Arial"/>
          <w:b/>
          <w:bCs/>
          <w:sz w:val="22"/>
          <w:szCs w:val="22"/>
        </w:rPr>
      </w:pPr>
      <w:r>
        <w:rPr>
          <w:rFonts w:ascii="Arial" w:hAnsi="Arial" w:cs="Arial"/>
          <w:b/>
          <w:bCs/>
          <w:sz w:val="22"/>
          <w:szCs w:val="22"/>
        </w:rPr>
        <w:t>Cena a platební podmínky</w:t>
      </w:r>
    </w:p>
    <w:p w:rsidR="003041EB" w:rsidRDefault="003041EB" w:rsidP="003041EB">
      <w:pPr>
        <w:widowControl w:val="0"/>
        <w:autoSpaceDE w:val="0"/>
        <w:autoSpaceDN w:val="0"/>
        <w:adjustRightInd w:val="0"/>
        <w:jc w:val="center"/>
        <w:rPr>
          <w:rFonts w:ascii="Arial" w:hAnsi="Arial" w:cs="Arial"/>
          <w:b/>
          <w:bCs/>
          <w:sz w:val="22"/>
          <w:szCs w:val="22"/>
        </w:rPr>
      </w:pPr>
    </w:p>
    <w:p w:rsidR="003041EB" w:rsidRDefault="003041EB" w:rsidP="003041EB">
      <w:pPr>
        <w:widowControl w:val="0"/>
        <w:autoSpaceDE w:val="0"/>
        <w:autoSpaceDN w:val="0"/>
        <w:adjustRightInd w:val="0"/>
        <w:jc w:val="both"/>
        <w:rPr>
          <w:rFonts w:ascii="Arial" w:hAnsi="Arial" w:cs="Arial"/>
          <w:sz w:val="22"/>
          <w:szCs w:val="22"/>
        </w:rPr>
      </w:pPr>
      <w:r>
        <w:rPr>
          <w:rFonts w:ascii="Arial" w:hAnsi="Arial" w:cs="Arial"/>
          <w:sz w:val="22"/>
          <w:szCs w:val="22"/>
        </w:rPr>
        <w:t>Celková cena za dodání zboží a za provedení prací a služeb dle článku I. této smlouvy je stanovena ve výš</w:t>
      </w:r>
      <w:r w:rsidR="00055E86">
        <w:rPr>
          <w:rFonts w:ascii="Arial" w:hAnsi="Arial" w:cs="Arial"/>
          <w:sz w:val="22"/>
          <w:szCs w:val="22"/>
        </w:rPr>
        <w:t>i</w:t>
      </w:r>
      <w:r>
        <w:rPr>
          <w:rFonts w:ascii="Arial" w:hAnsi="Arial" w:cs="Arial"/>
          <w:sz w:val="22"/>
          <w:szCs w:val="22"/>
        </w:rPr>
        <w:t xml:space="preserve"> </w:t>
      </w:r>
      <w:r w:rsidR="00055E86">
        <w:rPr>
          <w:rFonts w:ascii="Arial" w:hAnsi="Arial" w:cs="Arial"/>
          <w:sz w:val="22"/>
          <w:szCs w:val="22"/>
        </w:rPr>
        <w:t>183 642</w:t>
      </w:r>
      <w:r>
        <w:rPr>
          <w:rFonts w:ascii="Arial" w:hAnsi="Arial" w:cs="Arial"/>
          <w:sz w:val="22"/>
          <w:szCs w:val="22"/>
        </w:rPr>
        <w:t xml:space="preserve"> - Kč (</w:t>
      </w:r>
      <w:proofErr w:type="spellStart"/>
      <w:r w:rsidR="00055E86">
        <w:rPr>
          <w:rFonts w:ascii="Arial" w:hAnsi="Arial" w:cs="Arial"/>
          <w:sz w:val="22"/>
          <w:szCs w:val="22"/>
        </w:rPr>
        <w:t>stoosmdesáttřitisícešestsetčtyřicetdva</w:t>
      </w:r>
      <w:proofErr w:type="spellEnd"/>
      <w:r w:rsidR="00055E86">
        <w:rPr>
          <w:rFonts w:ascii="Arial" w:hAnsi="Arial" w:cs="Arial"/>
          <w:sz w:val="22"/>
          <w:szCs w:val="22"/>
        </w:rPr>
        <w:t xml:space="preserve"> </w:t>
      </w:r>
      <w:r>
        <w:rPr>
          <w:rFonts w:ascii="Arial" w:hAnsi="Arial" w:cs="Arial"/>
          <w:sz w:val="22"/>
          <w:szCs w:val="22"/>
        </w:rPr>
        <w:t xml:space="preserve">korun českých) bez DPH. Cena uvedená v tomto článku zahrnuje i materiál, dopravné a další náklady, které zhotovitel vynaloží ke splnění účelu této smlouvy. Za provedené služby zhotovitel objednateli vystaví fakturu se splatností </w:t>
      </w:r>
      <w:r w:rsidR="00E44A9C">
        <w:rPr>
          <w:rFonts w:ascii="Arial" w:hAnsi="Arial" w:cs="Arial"/>
          <w:sz w:val="22"/>
          <w:szCs w:val="22"/>
        </w:rPr>
        <w:t>14</w:t>
      </w:r>
      <w:r>
        <w:rPr>
          <w:rFonts w:ascii="Arial" w:hAnsi="Arial" w:cs="Arial"/>
          <w:sz w:val="22"/>
          <w:szCs w:val="22"/>
        </w:rPr>
        <w:t xml:space="preserve"> dnů po vystavení. Faktury musí mít náležitosti daňového dokladu. Za datum zdanitelného plnění se považuje skutečné datum předání předmětu plnění. Za každý den zpoždění se splacením fakturované částky zaplatí objednatel zhotoviteli </w:t>
      </w:r>
      <w:proofErr w:type="gramStart"/>
      <w:r>
        <w:rPr>
          <w:rFonts w:ascii="Arial" w:hAnsi="Arial" w:cs="Arial"/>
          <w:sz w:val="22"/>
          <w:szCs w:val="22"/>
        </w:rPr>
        <w:t>0,01  % z fakturované</w:t>
      </w:r>
      <w:proofErr w:type="gramEnd"/>
      <w:r>
        <w:rPr>
          <w:rFonts w:ascii="Arial" w:hAnsi="Arial" w:cs="Arial"/>
          <w:sz w:val="22"/>
          <w:szCs w:val="22"/>
        </w:rPr>
        <w:t xml:space="preserve"> částky.</w:t>
      </w:r>
    </w:p>
    <w:p w:rsidR="003041EB" w:rsidRDefault="003041EB" w:rsidP="003041EB">
      <w:pPr>
        <w:widowControl w:val="0"/>
        <w:autoSpaceDE w:val="0"/>
        <w:autoSpaceDN w:val="0"/>
        <w:adjustRightInd w:val="0"/>
        <w:rPr>
          <w:rFonts w:ascii="Arial" w:hAnsi="Arial" w:cs="Arial"/>
          <w:b/>
          <w:bCs/>
          <w:sz w:val="22"/>
          <w:szCs w:val="22"/>
        </w:rPr>
      </w:pPr>
    </w:p>
    <w:p w:rsidR="003041EB" w:rsidRDefault="003041EB" w:rsidP="003041EB">
      <w:pPr>
        <w:widowControl w:val="0"/>
        <w:autoSpaceDE w:val="0"/>
        <w:autoSpaceDN w:val="0"/>
        <w:adjustRightInd w:val="0"/>
        <w:rPr>
          <w:rFonts w:ascii="Arial" w:hAnsi="Arial" w:cs="Arial"/>
          <w:b/>
          <w:bCs/>
          <w:sz w:val="22"/>
          <w:szCs w:val="22"/>
        </w:rPr>
      </w:pPr>
    </w:p>
    <w:p w:rsidR="003041EB" w:rsidRDefault="003041EB" w:rsidP="003041EB">
      <w:pPr>
        <w:widowControl w:val="0"/>
        <w:numPr>
          <w:ilvl w:val="0"/>
          <w:numId w:val="1"/>
        </w:numPr>
        <w:autoSpaceDE w:val="0"/>
        <w:autoSpaceDN w:val="0"/>
        <w:adjustRightInd w:val="0"/>
        <w:jc w:val="center"/>
        <w:rPr>
          <w:rFonts w:ascii="Arial" w:hAnsi="Arial" w:cs="Arial"/>
          <w:b/>
          <w:bCs/>
          <w:sz w:val="22"/>
          <w:szCs w:val="22"/>
        </w:rPr>
      </w:pPr>
      <w:r>
        <w:rPr>
          <w:rFonts w:ascii="Arial" w:hAnsi="Arial" w:cs="Arial"/>
          <w:b/>
          <w:bCs/>
          <w:sz w:val="22"/>
          <w:szCs w:val="22"/>
        </w:rPr>
        <w:t>Odpovědnost za vady</w:t>
      </w:r>
    </w:p>
    <w:p w:rsidR="003041EB" w:rsidRDefault="003041EB" w:rsidP="003041EB">
      <w:pPr>
        <w:widowControl w:val="0"/>
        <w:autoSpaceDE w:val="0"/>
        <w:autoSpaceDN w:val="0"/>
        <w:adjustRightInd w:val="0"/>
        <w:jc w:val="center"/>
        <w:rPr>
          <w:rFonts w:ascii="Arial" w:hAnsi="Arial" w:cs="Arial"/>
          <w:b/>
          <w:bCs/>
          <w:sz w:val="22"/>
          <w:szCs w:val="22"/>
        </w:rPr>
      </w:pPr>
    </w:p>
    <w:p w:rsidR="003041EB" w:rsidRDefault="003041EB" w:rsidP="003041EB">
      <w:pPr>
        <w:widowControl w:val="0"/>
        <w:autoSpaceDE w:val="0"/>
        <w:autoSpaceDN w:val="0"/>
        <w:adjustRightInd w:val="0"/>
        <w:ind w:left="140"/>
        <w:jc w:val="both"/>
        <w:rPr>
          <w:rFonts w:ascii="Arial" w:hAnsi="Arial" w:cs="Arial"/>
          <w:sz w:val="22"/>
          <w:szCs w:val="22"/>
        </w:rPr>
      </w:pPr>
      <w:r>
        <w:rPr>
          <w:rFonts w:ascii="Arial" w:hAnsi="Arial" w:cs="Arial"/>
          <w:sz w:val="22"/>
          <w:szCs w:val="22"/>
        </w:rPr>
        <w:t xml:space="preserve">Záruka na veškeré dodávky materiálů je poskytována v souladu se zárukou poskytovanou výrobci. Objednatel je povinen reklamovat zjevné vady kvality a rozsahu služeb a prací dle možností okamžitě při jejich zjištění, nejpozději ovšem do data vypršení záruční doby. Zhotovitel však neodpovídá za vady vzniklé nedodržením podmínek při provozu zařízení nebo jeho provozem v nevhodných podmínkách nebo při zásahu třetí osoby (zejména krádeží </w:t>
      </w:r>
      <w:r>
        <w:rPr>
          <w:rFonts w:ascii="Arial" w:hAnsi="Arial" w:cs="Arial"/>
          <w:sz w:val="22"/>
          <w:szCs w:val="22"/>
        </w:rPr>
        <w:lastRenderedPageBreak/>
        <w:t>poškozením) popř. vyšší moci. Záruční doba uvedená výše začíná běžet dnem předání a převzetí díla objednatelem. Zhotovitel odpovídá za vady díla, jež jsou patrné při převzetí nebo se objeví během záruční doby, pokud byly způsobeny porušením jeho povinností nebo neodstranil po jejich urgenci objednatelem při předání. Zhotovitel je povinen tyto vady odstranit na své náklady.</w:t>
      </w:r>
    </w:p>
    <w:p w:rsidR="003041EB" w:rsidRDefault="003041EB" w:rsidP="003041EB">
      <w:pPr>
        <w:widowControl w:val="0"/>
        <w:autoSpaceDE w:val="0"/>
        <w:autoSpaceDN w:val="0"/>
        <w:adjustRightInd w:val="0"/>
        <w:ind w:left="360"/>
        <w:rPr>
          <w:rFonts w:ascii="Arial" w:hAnsi="Arial" w:cs="Arial"/>
          <w:sz w:val="22"/>
          <w:szCs w:val="22"/>
        </w:rPr>
      </w:pPr>
    </w:p>
    <w:p w:rsidR="003041EB" w:rsidRDefault="003041EB" w:rsidP="003041EB">
      <w:pPr>
        <w:widowControl w:val="0"/>
        <w:autoSpaceDE w:val="0"/>
        <w:autoSpaceDN w:val="0"/>
        <w:adjustRightInd w:val="0"/>
        <w:ind w:left="360"/>
        <w:rPr>
          <w:rFonts w:ascii="Arial" w:hAnsi="Arial" w:cs="Arial"/>
          <w:sz w:val="22"/>
          <w:szCs w:val="22"/>
        </w:rPr>
      </w:pPr>
    </w:p>
    <w:p w:rsidR="003041EB" w:rsidRDefault="003041EB" w:rsidP="003041EB">
      <w:pPr>
        <w:widowControl w:val="0"/>
        <w:autoSpaceDE w:val="0"/>
        <w:autoSpaceDN w:val="0"/>
        <w:adjustRightInd w:val="0"/>
        <w:ind w:left="360"/>
        <w:rPr>
          <w:rFonts w:ascii="Arial" w:hAnsi="Arial" w:cs="Arial"/>
          <w:sz w:val="22"/>
          <w:szCs w:val="22"/>
        </w:rPr>
      </w:pPr>
    </w:p>
    <w:p w:rsidR="003041EB" w:rsidRDefault="003041EB" w:rsidP="003041EB">
      <w:pPr>
        <w:widowControl w:val="0"/>
        <w:autoSpaceDE w:val="0"/>
        <w:autoSpaceDN w:val="0"/>
        <w:adjustRightInd w:val="0"/>
        <w:ind w:left="360"/>
        <w:rPr>
          <w:rFonts w:ascii="Arial" w:hAnsi="Arial" w:cs="Arial"/>
          <w:sz w:val="22"/>
          <w:szCs w:val="22"/>
        </w:rPr>
      </w:pPr>
    </w:p>
    <w:p w:rsidR="003041EB" w:rsidRDefault="003041EB" w:rsidP="003041EB">
      <w:pPr>
        <w:widowControl w:val="0"/>
        <w:numPr>
          <w:ilvl w:val="0"/>
          <w:numId w:val="1"/>
        </w:numPr>
        <w:autoSpaceDE w:val="0"/>
        <w:autoSpaceDN w:val="0"/>
        <w:adjustRightInd w:val="0"/>
        <w:jc w:val="center"/>
        <w:rPr>
          <w:rFonts w:ascii="Arial" w:hAnsi="Arial" w:cs="Arial"/>
          <w:b/>
          <w:bCs/>
          <w:sz w:val="22"/>
          <w:szCs w:val="22"/>
        </w:rPr>
      </w:pPr>
      <w:r>
        <w:rPr>
          <w:rFonts w:ascii="Arial" w:hAnsi="Arial" w:cs="Arial"/>
          <w:b/>
          <w:bCs/>
          <w:sz w:val="22"/>
          <w:szCs w:val="22"/>
        </w:rPr>
        <w:t>Závěrečná ujednání</w:t>
      </w:r>
    </w:p>
    <w:p w:rsidR="003041EB" w:rsidRDefault="003041EB" w:rsidP="003041EB">
      <w:pPr>
        <w:widowControl w:val="0"/>
        <w:autoSpaceDE w:val="0"/>
        <w:autoSpaceDN w:val="0"/>
        <w:adjustRightInd w:val="0"/>
        <w:jc w:val="center"/>
        <w:rPr>
          <w:rFonts w:ascii="Arial" w:hAnsi="Arial" w:cs="Arial"/>
          <w:b/>
          <w:bCs/>
          <w:sz w:val="22"/>
          <w:szCs w:val="22"/>
        </w:rPr>
      </w:pPr>
    </w:p>
    <w:p w:rsidR="003041EB" w:rsidRDefault="003041EB" w:rsidP="003041EB">
      <w:pPr>
        <w:widowControl w:val="0"/>
        <w:autoSpaceDE w:val="0"/>
        <w:autoSpaceDN w:val="0"/>
        <w:adjustRightInd w:val="0"/>
        <w:ind w:left="160" w:hanging="40"/>
        <w:jc w:val="both"/>
        <w:rPr>
          <w:rFonts w:ascii="Arial" w:hAnsi="Arial" w:cs="Arial"/>
          <w:sz w:val="22"/>
          <w:szCs w:val="22"/>
        </w:rPr>
      </w:pPr>
      <w:r>
        <w:rPr>
          <w:rFonts w:ascii="Arial" w:hAnsi="Arial" w:cs="Arial"/>
          <w:sz w:val="22"/>
          <w:szCs w:val="22"/>
        </w:rPr>
        <w:t>Tato smlouva nabývá platnosti dnem podpisu obou účastníků. Obě strany se zavazují v průběhu platnosti smlouvy spolupracovat při realizaci jejího předmětu plnění. K tomu účelu určí osoby odpovědné za řešení a vyřizování běžných záležitostí vyplývajících ze vzájemné součinnosti. Případné spory obou stran se budou řešit přednostně dohodou, v případě nutnosti soudní cestou. Obě strany se zavazují nejpozději při ukončení smlouvy vrátit druhé straně veškeré písemnosti, které jí náleží. Rovněž se zavazují utajit znalosti a informace z oblasti druhé smluvní strany, a to jak během trvání smlouvy, tak i po jejím skončení. Platnost této smlouvy je stanovena datem dokončení díla dle bodu I této smlouvy, přičemž po tomto datu zůstávající v platnosti záruční doby na jednotlivé provedené práce a použité komponenty, uvedené v článku III. této smlouvy. Tato smlouva je vypracována ve 2 vyhotoveních, z nichž každé má platnost originálu. Smlouvu je možno měnit pouze formou číslovaných písemných dodatků. Na důkaz projevu své svobodné vůle smluvní strany připojují své vlastnoruční podpisy.</w:t>
      </w: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C51C65" w:rsidP="003041EB">
      <w:pPr>
        <w:widowControl w:val="0"/>
        <w:autoSpaceDE w:val="0"/>
        <w:autoSpaceDN w:val="0"/>
        <w:adjustRightInd w:val="0"/>
        <w:jc w:val="both"/>
        <w:rPr>
          <w:rFonts w:ascii="Arial" w:hAnsi="Arial" w:cs="Arial"/>
          <w:sz w:val="20"/>
          <w:szCs w:val="20"/>
        </w:rPr>
      </w:pPr>
      <w:r>
        <w:rPr>
          <w:rFonts w:ascii="Arial" w:hAnsi="Arial" w:cs="Arial"/>
          <w:sz w:val="20"/>
          <w:szCs w:val="20"/>
        </w:rPr>
        <w:t xml:space="preserve">V Brně dne </w:t>
      </w:r>
      <w:proofErr w:type="gramStart"/>
      <w:r>
        <w:rPr>
          <w:rFonts w:ascii="Arial" w:hAnsi="Arial" w:cs="Arial"/>
          <w:sz w:val="20"/>
          <w:szCs w:val="20"/>
        </w:rPr>
        <w:t>1</w:t>
      </w:r>
      <w:r w:rsidR="00055E86">
        <w:rPr>
          <w:rFonts w:ascii="Arial" w:hAnsi="Arial" w:cs="Arial"/>
          <w:sz w:val="20"/>
          <w:szCs w:val="20"/>
        </w:rPr>
        <w:t>0.12.2018</w:t>
      </w:r>
      <w:proofErr w:type="gramEnd"/>
      <w:r w:rsidR="003041EB">
        <w:rPr>
          <w:rFonts w:ascii="Arial" w:hAnsi="Arial" w:cs="Arial"/>
          <w:sz w:val="20"/>
          <w:szCs w:val="20"/>
        </w:rPr>
        <w:t>.</w:t>
      </w:r>
      <w:r w:rsidR="001D040F">
        <w:rPr>
          <w:rFonts w:ascii="Arial" w:hAnsi="Arial" w:cs="Arial"/>
          <w:sz w:val="20"/>
          <w:szCs w:val="20"/>
        </w:rPr>
        <w:t xml:space="preserve">                                                     V Praze 17. 12. 2018</w:t>
      </w:r>
      <w:bookmarkStart w:id="0" w:name="_GoBack"/>
      <w:bookmarkEnd w:id="0"/>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widowControl w:val="0"/>
        <w:autoSpaceDE w:val="0"/>
        <w:autoSpaceDN w:val="0"/>
        <w:adjustRightInd w:val="0"/>
        <w:jc w:val="both"/>
        <w:rPr>
          <w:rFonts w:ascii="Arial" w:hAnsi="Arial" w:cs="Arial"/>
          <w:sz w:val="20"/>
          <w:szCs w:val="20"/>
        </w:rPr>
      </w:pPr>
    </w:p>
    <w:p w:rsidR="003041EB" w:rsidRDefault="003041EB" w:rsidP="003041EB">
      <w:pPr>
        <w:tabs>
          <w:tab w:val="left" w:pos="0"/>
        </w:tabs>
        <w:jc w:val="both"/>
        <w:rPr>
          <w:rFonts w:ascii="Arial" w:hAnsi="Arial" w:cs="Arial"/>
          <w:b/>
          <w:bCs/>
        </w:rPr>
      </w:pPr>
      <w:r>
        <w:rPr>
          <w:rFonts w:ascii="Arial" w:hAnsi="Arial" w:cs="Arial"/>
          <w:b/>
        </w:rPr>
        <w:t>Zhotovitel: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Objednatel.:</w:t>
      </w:r>
    </w:p>
    <w:p w:rsidR="003041EB" w:rsidRDefault="003041EB" w:rsidP="003041EB">
      <w:pPr>
        <w:tabs>
          <w:tab w:val="left" w:pos="0"/>
        </w:tabs>
        <w:jc w:val="both"/>
        <w:rPr>
          <w:b/>
          <w:sz w:val="22"/>
        </w:rPr>
      </w:pPr>
    </w:p>
    <w:p w:rsidR="003041EB" w:rsidRDefault="003041EB" w:rsidP="003041EB">
      <w:pPr>
        <w:tabs>
          <w:tab w:val="left" w:pos="0"/>
        </w:tabs>
        <w:jc w:val="both"/>
        <w:rPr>
          <w:b/>
          <w:sz w:val="22"/>
        </w:rPr>
      </w:pPr>
    </w:p>
    <w:p w:rsidR="003041EB" w:rsidRDefault="003041EB" w:rsidP="003041EB">
      <w:pPr>
        <w:tabs>
          <w:tab w:val="left" w:pos="0"/>
        </w:tabs>
        <w:jc w:val="both"/>
        <w:rPr>
          <w:sz w:val="22"/>
        </w:rPr>
      </w:pPr>
    </w:p>
    <w:p w:rsidR="003041EB" w:rsidRDefault="003041EB" w:rsidP="003041EB">
      <w:pPr>
        <w:tabs>
          <w:tab w:val="left" w:pos="0"/>
        </w:tabs>
        <w:jc w:val="both"/>
        <w:rPr>
          <w:sz w:val="22"/>
        </w:rPr>
      </w:pPr>
    </w:p>
    <w:p w:rsidR="003041EB" w:rsidRDefault="003041EB" w:rsidP="003041EB">
      <w:pPr>
        <w:tabs>
          <w:tab w:val="left" w:pos="0"/>
        </w:tabs>
        <w:jc w:val="both"/>
        <w:rPr>
          <w:sz w:val="22"/>
        </w:rPr>
      </w:pPr>
    </w:p>
    <w:p w:rsidR="003041EB" w:rsidRDefault="003041EB" w:rsidP="003041EB">
      <w:pPr>
        <w:tabs>
          <w:tab w:val="left" w:pos="0"/>
        </w:tabs>
        <w:jc w:val="both"/>
        <w:rPr>
          <w:sz w:val="22"/>
        </w:rPr>
      </w:pPr>
      <w:r>
        <w:rPr>
          <w:sz w:val="22"/>
        </w:rPr>
        <w:tab/>
      </w:r>
      <w:proofErr w:type="spellStart"/>
      <w:r w:rsidR="00B06D00">
        <w:rPr>
          <w:sz w:val="22"/>
        </w:rPr>
        <w:t>xxxxxxxxxxxxxxxxxxx</w:t>
      </w:r>
      <w:proofErr w:type="spellEnd"/>
      <w:r>
        <w:rPr>
          <w:sz w:val="22"/>
        </w:rPr>
        <w:tab/>
      </w:r>
      <w:r>
        <w:rPr>
          <w:sz w:val="22"/>
        </w:rPr>
        <w:tab/>
      </w:r>
      <w:r>
        <w:rPr>
          <w:sz w:val="22"/>
        </w:rPr>
        <w:tab/>
      </w:r>
      <w:r>
        <w:rPr>
          <w:sz w:val="22"/>
        </w:rPr>
        <w:tab/>
      </w:r>
      <w:r>
        <w:rPr>
          <w:sz w:val="22"/>
        </w:rPr>
        <w:tab/>
      </w:r>
      <w:proofErr w:type="spellStart"/>
      <w:r w:rsidR="00B06D00">
        <w:rPr>
          <w:sz w:val="22"/>
        </w:rPr>
        <w:t>xxxxxxxxxxxxxxxxxxxxxx</w:t>
      </w:r>
      <w:proofErr w:type="spellEnd"/>
    </w:p>
    <w:p w:rsidR="003041EB" w:rsidRDefault="003041EB" w:rsidP="003041EB">
      <w:pPr>
        <w:tabs>
          <w:tab w:val="left" w:pos="0"/>
        </w:tabs>
        <w:jc w:val="both"/>
        <w:rPr>
          <w:sz w:val="22"/>
        </w:rPr>
      </w:pPr>
      <w:r>
        <w:rPr>
          <w:sz w:val="22"/>
        </w:rPr>
        <w:t>_____________________________</w:t>
      </w:r>
      <w:r>
        <w:rPr>
          <w:sz w:val="22"/>
        </w:rPr>
        <w:tab/>
      </w:r>
      <w:r>
        <w:rPr>
          <w:sz w:val="22"/>
        </w:rPr>
        <w:tab/>
      </w:r>
      <w:r>
        <w:rPr>
          <w:sz w:val="22"/>
        </w:rPr>
        <w:tab/>
        <w:t>_____________________________</w:t>
      </w:r>
    </w:p>
    <w:p w:rsidR="00B06D00" w:rsidRDefault="003041EB" w:rsidP="00B06D00">
      <w:pPr>
        <w:widowControl w:val="0"/>
        <w:autoSpaceDE w:val="0"/>
        <w:autoSpaceDN w:val="0"/>
        <w:adjustRightInd w:val="0"/>
        <w:ind w:firstLine="720"/>
        <w:jc w:val="both"/>
        <w:rPr>
          <w:rFonts w:ascii="Arial" w:hAnsi="Arial" w:cs="Arial"/>
          <w:b/>
          <w:bCs/>
          <w:sz w:val="22"/>
          <w:szCs w:val="32"/>
        </w:rPr>
      </w:pPr>
      <w:r>
        <w:rPr>
          <w:rFonts w:ascii="Arial" w:hAnsi="Arial" w:cs="Arial"/>
          <w:b/>
          <w:bCs/>
          <w:sz w:val="22"/>
          <w:szCs w:val="32"/>
        </w:rPr>
        <w:t xml:space="preserve">Ing. Petr </w:t>
      </w:r>
      <w:proofErr w:type="spellStart"/>
      <w:r>
        <w:rPr>
          <w:rFonts w:ascii="Arial" w:hAnsi="Arial" w:cs="Arial"/>
          <w:b/>
          <w:bCs/>
          <w:sz w:val="22"/>
          <w:szCs w:val="32"/>
        </w:rPr>
        <w:t>Klabeneš</w:t>
      </w:r>
      <w:proofErr w:type="spellEnd"/>
      <w:r w:rsidR="00B06D00">
        <w:rPr>
          <w:rFonts w:ascii="Arial" w:hAnsi="Arial" w:cs="Arial"/>
          <w:b/>
          <w:bCs/>
          <w:sz w:val="22"/>
          <w:szCs w:val="32"/>
        </w:rPr>
        <w:t xml:space="preserve">                                                      Ing. Zdenka Majzlíková</w:t>
      </w:r>
    </w:p>
    <w:p w:rsidR="003041EB" w:rsidRPr="00E44A9C" w:rsidRDefault="00E44A9C" w:rsidP="003041EB">
      <w:pPr>
        <w:widowControl w:val="0"/>
        <w:autoSpaceDE w:val="0"/>
        <w:autoSpaceDN w:val="0"/>
        <w:adjustRightInd w:val="0"/>
        <w:ind w:firstLine="720"/>
        <w:jc w:val="both"/>
        <w:rPr>
          <w:rFonts w:ascii="Arial" w:hAnsi="Arial" w:cs="Arial"/>
          <w:bCs/>
          <w:sz w:val="22"/>
          <w:szCs w:val="32"/>
        </w:rPr>
      </w:pPr>
      <w:r w:rsidRPr="00E44A9C">
        <w:rPr>
          <w:rFonts w:ascii="Arial" w:hAnsi="Arial" w:cs="Arial"/>
          <w:bCs/>
          <w:sz w:val="22"/>
          <w:szCs w:val="32"/>
        </w:rPr>
        <w:t>jednatel</w:t>
      </w:r>
      <w:r w:rsidR="003041EB" w:rsidRPr="00E44A9C">
        <w:rPr>
          <w:rFonts w:ascii="Arial" w:hAnsi="Arial" w:cs="Arial"/>
          <w:bCs/>
          <w:sz w:val="22"/>
          <w:szCs w:val="32"/>
        </w:rPr>
        <w:tab/>
      </w:r>
      <w:r w:rsidR="003041EB" w:rsidRPr="00E44A9C">
        <w:rPr>
          <w:rFonts w:ascii="Arial" w:hAnsi="Arial" w:cs="Arial"/>
          <w:bCs/>
          <w:sz w:val="22"/>
          <w:szCs w:val="32"/>
        </w:rPr>
        <w:tab/>
      </w:r>
      <w:r w:rsidR="003041EB" w:rsidRPr="00E44A9C">
        <w:rPr>
          <w:rFonts w:ascii="Arial" w:hAnsi="Arial" w:cs="Arial"/>
          <w:bCs/>
          <w:sz w:val="22"/>
          <w:szCs w:val="32"/>
        </w:rPr>
        <w:tab/>
      </w:r>
      <w:r w:rsidR="003041EB" w:rsidRPr="00E44A9C">
        <w:rPr>
          <w:rFonts w:ascii="Arial" w:hAnsi="Arial" w:cs="Arial"/>
          <w:bCs/>
          <w:sz w:val="22"/>
          <w:szCs w:val="32"/>
        </w:rPr>
        <w:tab/>
      </w:r>
      <w:r w:rsidR="003041EB" w:rsidRPr="00E44A9C">
        <w:rPr>
          <w:rFonts w:ascii="Arial" w:hAnsi="Arial" w:cs="Arial"/>
          <w:bCs/>
          <w:sz w:val="22"/>
          <w:szCs w:val="32"/>
        </w:rPr>
        <w:tab/>
      </w:r>
      <w:r w:rsidR="00B06D00">
        <w:rPr>
          <w:rFonts w:ascii="Arial" w:hAnsi="Arial" w:cs="Arial"/>
          <w:bCs/>
          <w:sz w:val="22"/>
          <w:szCs w:val="32"/>
        </w:rPr>
        <w:t xml:space="preserve">               ředitelka</w:t>
      </w:r>
    </w:p>
    <w:p w:rsidR="003041EB" w:rsidRDefault="003041EB" w:rsidP="003041EB">
      <w:pPr>
        <w:widowControl w:val="0"/>
        <w:autoSpaceDE w:val="0"/>
        <w:autoSpaceDN w:val="0"/>
        <w:adjustRightInd w:val="0"/>
        <w:ind w:firstLine="720"/>
        <w:jc w:val="both"/>
        <w:rPr>
          <w:rFonts w:ascii="Arial" w:hAnsi="Arial" w:cs="Arial"/>
          <w:b/>
          <w:bCs/>
          <w:sz w:val="22"/>
          <w:szCs w:val="32"/>
        </w:rPr>
      </w:pPr>
    </w:p>
    <w:p w:rsidR="003041EB" w:rsidRDefault="003041EB" w:rsidP="003041EB">
      <w:pPr>
        <w:widowControl w:val="0"/>
        <w:autoSpaceDE w:val="0"/>
        <w:autoSpaceDN w:val="0"/>
        <w:adjustRightInd w:val="0"/>
        <w:ind w:firstLine="720"/>
        <w:jc w:val="both"/>
        <w:rPr>
          <w:rFonts w:ascii="Arial" w:hAnsi="Arial" w:cs="Arial"/>
          <w:b/>
          <w:bCs/>
          <w:sz w:val="22"/>
          <w:szCs w:val="32"/>
        </w:rPr>
      </w:pPr>
    </w:p>
    <w:p w:rsidR="003041EB" w:rsidRDefault="003041EB">
      <w:pPr>
        <w:spacing w:after="160" w:line="259" w:lineRule="auto"/>
        <w:rPr>
          <w:rFonts w:ascii="Arial" w:hAnsi="Arial" w:cs="Arial"/>
          <w:b/>
          <w:bCs/>
          <w:sz w:val="22"/>
          <w:szCs w:val="32"/>
        </w:rPr>
      </w:pPr>
      <w:r>
        <w:rPr>
          <w:rFonts w:ascii="Arial" w:hAnsi="Arial" w:cs="Arial"/>
          <w:b/>
          <w:bCs/>
          <w:sz w:val="22"/>
          <w:szCs w:val="32"/>
        </w:rPr>
        <w:br w:type="page"/>
      </w:r>
    </w:p>
    <w:p w:rsidR="003041EB" w:rsidRPr="007D2638" w:rsidRDefault="003041EB" w:rsidP="003041EB">
      <w:pPr>
        <w:widowControl w:val="0"/>
        <w:autoSpaceDE w:val="0"/>
        <w:autoSpaceDN w:val="0"/>
        <w:adjustRightInd w:val="0"/>
        <w:ind w:firstLine="720"/>
        <w:jc w:val="both"/>
        <w:rPr>
          <w:rFonts w:ascii="Arial" w:hAnsi="Arial" w:cs="Arial"/>
          <w:b/>
          <w:bCs/>
          <w:sz w:val="22"/>
          <w:szCs w:val="32"/>
        </w:rPr>
      </w:pPr>
      <w:r>
        <w:rPr>
          <w:rFonts w:ascii="Arial" w:hAnsi="Arial" w:cs="Arial"/>
          <w:b/>
          <w:bCs/>
          <w:sz w:val="22"/>
          <w:szCs w:val="32"/>
        </w:rPr>
        <w:lastRenderedPageBreak/>
        <w:t xml:space="preserve">Příloha </w:t>
      </w:r>
      <w:proofErr w:type="gramStart"/>
      <w:r>
        <w:rPr>
          <w:rFonts w:ascii="Arial" w:hAnsi="Arial" w:cs="Arial"/>
          <w:b/>
          <w:bCs/>
          <w:sz w:val="22"/>
          <w:szCs w:val="32"/>
        </w:rPr>
        <w:t>č.1</w:t>
      </w:r>
      <w:r w:rsidR="007D2638">
        <w:rPr>
          <w:rFonts w:ascii="Arial" w:hAnsi="Arial" w:cs="Arial"/>
          <w:b/>
          <w:bCs/>
          <w:sz w:val="22"/>
          <w:szCs w:val="32"/>
        </w:rPr>
        <w:t xml:space="preserve"> - </w:t>
      </w:r>
      <w:r w:rsidRPr="007D2638">
        <w:rPr>
          <w:rFonts w:ascii="Arial" w:hAnsi="Arial" w:cs="Arial"/>
          <w:b/>
          <w:bCs/>
          <w:sz w:val="22"/>
          <w:szCs w:val="32"/>
        </w:rPr>
        <w:t>Specifikace</w:t>
      </w:r>
      <w:proofErr w:type="gramEnd"/>
      <w:r w:rsidRPr="007D2638">
        <w:rPr>
          <w:rFonts w:ascii="Arial" w:hAnsi="Arial" w:cs="Arial"/>
          <w:b/>
          <w:bCs/>
          <w:sz w:val="22"/>
          <w:szCs w:val="32"/>
        </w:rPr>
        <w:t xml:space="preserve"> </w:t>
      </w:r>
      <w:r w:rsidR="007D2638" w:rsidRPr="007D2638">
        <w:rPr>
          <w:rFonts w:ascii="Arial" w:hAnsi="Arial" w:cs="Arial"/>
          <w:b/>
          <w:bCs/>
          <w:sz w:val="22"/>
          <w:szCs w:val="32"/>
        </w:rPr>
        <w:t>dodávky</w:t>
      </w:r>
      <w:r w:rsidRPr="007D2638">
        <w:rPr>
          <w:rFonts w:ascii="Arial" w:hAnsi="Arial" w:cs="Arial"/>
          <w:b/>
          <w:bCs/>
          <w:sz w:val="22"/>
          <w:szCs w:val="32"/>
        </w:rPr>
        <w:t xml:space="preserve"> </w:t>
      </w:r>
    </w:p>
    <w:p w:rsidR="00E44A9C" w:rsidRDefault="00E44A9C" w:rsidP="003041EB">
      <w:pPr>
        <w:widowControl w:val="0"/>
        <w:autoSpaceDE w:val="0"/>
        <w:autoSpaceDN w:val="0"/>
        <w:adjustRightInd w:val="0"/>
        <w:ind w:firstLine="720"/>
        <w:jc w:val="both"/>
        <w:rPr>
          <w:rFonts w:ascii="Arial" w:hAnsi="Arial" w:cs="Arial"/>
          <w:b/>
          <w:bCs/>
          <w:sz w:val="22"/>
          <w:szCs w:val="32"/>
          <w:u w:val="single"/>
        </w:rPr>
      </w:pPr>
    </w:p>
    <w:p w:rsidR="00E44A9C" w:rsidRDefault="00E44A9C" w:rsidP="003041EB">
      <w:pPr>
        <w:widowControl w:val="0"/>
        <w:autoSpaceDE w:val="0"/>
        <w:autoSpaceDN w:val="0"/>
        <w:adjustRightInd w:val="0"/>
        <w:ind w:firstLine="720"/>
        <w:jc w:val="both"/>
        <w:rPr>
          <w:rFonts w:ascii="Arial" w:hAnsi="Arial" w:cs="Arial"/>
          <w:b/>
          <w:bCs/>
          <w:sz w:val="22"/>
          <w:szCs w:val="32"/>
          <w:u w:val="single"/>
        </w:rPr>
      </w:pPr>
    </w:p>
    <w:tbl>
      <w:tblPr>
        <w:tblW w:w="4964" w:type="pct"/>
        <w:tblLayout w:type="fixed"/>
        <w:tblLook w:val="04A0" w:firstRow="1" w:lastRow="0" w:firstColumn="1" w:lastColumn="0" w:noHBand="0" w:noVBand="1"/>
      </w:tblPr>
      <w:tblGrid>
        <w:gridCol w:w="725"/>
        <w:gridCol w:w="3042"/>
        <w:gridCol w:w="652"/>
        <w:gridCol w:w="2232"/>
        <w:gridCol w:w="2902"/>
      </w:tblGrid>
      <w:tr w:rsidR="00055E86" w:rsidRPr="00055E86" w:rsidTr="00055E86">
        <w:trPr>
          <w:trHeight w:val="300"/>
        </w:trPr>
        <w:tc>
          <w:tcPr>
            <w:tcW w:w="380" w:type="pct"/>
            <w:tcBorders>
              <w:top w:val="nil"/>
              <w:left w:val="nil"/>
              <w:bottom w:val="nil"/>
              <w:right w:val="nil"/>
            </w:tcBorders>
            <w:shd w:val="clear" w:color="000000" w:fill="99CCFF"/>
            <w:noWrap/>
            <w:vAlign w:val="center"/>
            <w:hideMark/>
          </w:tcPr>
          <w:p w:rsidR="00055E86" w:rsidRPr="00055E86" w:rsidRDefault="00055E86" w:rsidP="00055E86">
            <w:pPr>
              <w:rPr>
                <w:rFonts w:ascii="Arial" w:hAnsi="Arial" w:cs="Arial"/>
                <w:b/>
                <w:bCs/>
                <w:sz w:val="14"/>
                <w:szCs w:val="22"/>
                <w:lang w:eastAsia="en-US"/>
              </w:rPr>
            </w:pPr>
            <w:r w:rsidRPr="00055E86">
              <w:rPr>
                <w:rFonts w:ascii="Arial" w:hAnsi="Arial" w:cs="Arial"/>
                <w:b/>
                <w:bCs/>
                <w:sz w:val="14"/>
                <w:szCs w:val="22"/>
                <w:lang w:eastAsia="en-US"/>
              </w:rPr>
              <w:t> </w:t>
            </w:r>
          </w:p>
        </w:tc>
        <w:tc>
          <w:tcPr>
            <w:tcW w:w="1592" w:type="pct"/>
            <w:tcBorders>
              <w:top w:val="nil"/>
              <w:left w:val="nil"/>
              <w:bottom w:val="nil"/>
              <w:right w:val="nil"/>
            </w:tcBorders>
            <w:shd w:val="clear" w:color="000000" w:fill="99CCFF"/>
            <w:noWrap/>
            <w:vAlign w:val="center"/>
            <w:hideMark/>
          </w:tcPr>
          <w:p w:rsidR="00055E86" w:rsidRPr="00055E86" w:rsidRDefault="00055E86" w:rsidP="00055E86">
            <w:pPr>
              <w:rPr>
                <w:rFonts w:ascii="Arial" w:hAnsi="Arial" w:cs="Arial"/>
                <w:b/>
                <w:bCs/>
                <w:sz w:val="14"/>
                <w:szCs w:val="22"/>
                <w:lang w:eastAsia="en-US"/>
              </w:rPr>
            </w:pPr>
            <w:r w:rsidRPr="00055E86">
              <w:rPr>
                <w:rFonts w:ascii="Arial" w:hAnsi="Arial" w:cs="Arial"/>
                <w:b/>
                <w:bCs/>
                <w:sz w:val="14"/>
                <w:szCs w:val="22"/>
                <w:lang w:eastAsia="en-US"/>
              </w:rPr>
              <w:t>Popis</w:t>
            </w:r>
          </w:p>
        </w:tc>
        <w:tc>
          <w:tcPr>
            <w:tcW w:w="341" w:type="pct"/>
            <w:tcBorders>
              <w:top w:val="nil"/>
              <w:left w:val="nil"/>
              <w:bottom w:val="nil"/>
              <w:right w:val="nil"/>
            </w:tcBorders>
            <w:shd w:val="clear" w:color="000000" w:fill="99CCFF"/>
            <w:noWrap/>
            <w:vAlign w:val="center"/>
            <w:hideMark/>
          </w:tcPr>
          <w:p w:rsidR="00055E86" w:rsidRPr="00055E86" w:rsidRDefault="00055E86" w:rsidP="00055E86">
            <w:pPr>
              <w:jc w:val="center"/>
              <w:rPr>
                <w:rFonts w:ascii="Arial" w:hAnsi="Arial" w:cs="Arial"/>
                <w:b/>
                <w:bCs/>
                <w:sz w:val="14"/>
                <w:szCs w:val="22"/>
                <w:lang w:eastAsia="en-US"/>
              </w:rPr>
            </w:pPr>
            <w:r w:rsidRPr="00055E86">
              <w:rPr>
                <w:rFonts w:ascii="Arial" w:hAnsi="Arial" w:cs="Arial"/>
                <w:b/>
                <w:bCs/>
                <w:sz w:val="14"/>
                <w:szCs w:val="22"/>
                <w:lang w:eastAsia="en-US"/>
              </w:rPr>
              <w:t>Počet</w:t>
            </w:r>
          </w:p>
        </w:tc>
        <w:tc>
          <w:tcPr>
            <w:tcW w:w="1168" w:type="pct"/>
            <w:tcBorders>
              <w:top w:val="nil"/>
              <w:left w:val="nil"/>
              <w:bottom w:val="nil"/>
              <w:right w:val="nil"/>
            </w:tcBorders>
            <w:shd w:val="clear" w:color="000000" w:fill="99CCFF"/>
            <w:noWrap/>
            <w:vAlign w:val="center"/>
            <w:hideMark/>
          </w:tcPr>
          <w:p w:rsidR="00055E86" w:rsidRPr="00055E86" w:rsidRDefault="00055E86" w:rsidP="00055E86">
            <w:pPr>
              <w:jc w:val="center"/>
              <w:rPr>
                <w:rFonts w:ascii="Arial" w:hAnsi="Arial" w:cs="Arial"/>
                <w:b/>
                <w:bCs/>
                <w:sz w:val="14"/>
                <w:szCs w:val="22"/>
                <w:lang w:eastAsia="en-US"/>
              </w:rPr>
            </w:pPr>
            <w:r w:rsidRPr="00055E86">
              <w:rPr>
                <w:rFonts w:ascii="Arial" w:hAnsi="Arial" w:cs="Arial"/>
                <w:b/>
                <w:bCs/>
                <w:sz w:val="14"/>
                <w:szCs w:val="22"/>
                <w:lang w:eastAsia="en-US"/>
              </w:rPr>
              <w:t>Kč/jednotku</w:t>
            </w:r>
          </w:p>
        </w:tc>
        <w:tc>
          <w:tcPr>
            <w:tcW w:w="1519" w:type="pct"/>
            <w:tcBorders>
              <w:top w:val="nil"/>
              <w:left w:val="nil"/>
              <w:bottom w:val="nil"/>
              <w:right w:val="nil"/>
            </w:tcBorders>
            <w:shd w:val="clear" w:color="000000" w:fill="99CCFF"/>
            <w:noWrap/>
            <w:vAlign w:val="center"/>
            <w:hideMark/>
          </w:tcPr>
          <w:p w:rsidR="00055E86" w:rsidRPr="00055E86" w:rsidRDefault="00055E86" w:rsidP="00055E86">
            <w:pPr>
              <w:jc w:val="center"/>
              <w:rPr>
                <w:rFonts w:ascii="Arial" w:hAnsi="Arial" w:cs="Arial"/>
                <w:b/>
                <w:bCs/>
                <w:sz w:val="14"/>
                <w:szCs w:val="22"/>
                <w:lang w:eastAsia="en-US"/>
              </w:rPr>
            </w:pPr>
            <w:r w:rsidRPr="00055E86">
              <w:rPr>
                <w:rFonts w:ascii="Arial" w:hAnsi="Arial" w:cs="Arial"/>
                <w:b/>
                <w:bCs/>
                <w:sz w:val="14"/>
                <w:szCs w:val="22"/>
                <w:lang w:eastAsia="en-US"/>
              </w:rPr>
              <w:t>Celkem Kč bez DPH</w:t>
            </w:r>
          </w:p>
        </w:tc>
      </w:tr>
      <w:tr w:rsidR="00055E86" w:rsidRPr="00055E86" w:rsidTr="00055E86">
        <w:trPr>
          <w:trHeight w:val="300"/>
        </w:trPr>
        <w:tc>
          <w:tcPr>
            <w:tcW w:w="380"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b/>
                <w:bCs/>
                <w:sz w:val="14"/>
                <w:szCs w:val="22"/>
                <w:lang w:eastAsia="en-US"/>
              </w:rPr>
            </w:pPr>
          </w:p>
        </w:tc>
        <w:tc>
          <w:tcPr>
            <w:tcW w:w="1592" w:type="pct"/>
            <w:tcBorders>
              <w:top w:val="nil"/>
              <w:left w:val="nil"/>
              <w:bottom w:val="nil"/>
              <w:right w:val="nil"/>
            </w:tcBorders>
            <w:shd w:val="clear" w:color="auto" w:fill="auto"/>
            <w:noWrap/>
            <w:vAlign w:val="center"/>
            <w:hideMark/>
          </w:tcPr>
          <w:p w:rsidR="00055E86" w:rsidRPr="00055E86" w:rsidRDefault="00055E86" w:rsidP="00055E86">
            <w:pPr>
              <w:rPr>
                <w:sz w:val="14"/>
                <w:szCs w:val="20"/>
                <w:lang w:eastAsia="en-US"/>
              </w:rPr>
            </w:pPr>
          </w:p>
        </w:tc>
        <w:tc>
          <w:tcPr>
            <w:tcW w:w="341" w:type="pct"/>
            <w:tcBorders>
              <w:top w:val="nil"/>
              <w:left w:val="nil"/>
              <w:bottom w:val="nil"/>
              <w:right w:val="nil"/>
            </w:tcBorders>
            <w:shd w:val="clear" w:color="auto" w:fill="auto"/>
            <w:noWrap/>
            <w:vAlign w:val="center"/>
            <w:hideMark/>
          </w:tcPr>
          <w:p w:rsidR="00055E86" w:rsidRPr="00055E86" w:rsidRDefault="00055E86" w:rsidP="00055E86">
            <w:pPr>
              <w:rPr>
                <w:sz w:val="14"/>
                <w:szCs w:val="20"/>
                <w:lang w:eastAsia="en-US"/>
              </w:rPr>
            </w:pPr>
          </w:p>
        </w:tc>
        <w:tc>
          <w:tcPr>
            <w:tcW w:w="1168" w:type="pct"/>
            <w:tcBorders>
              <w:top w:val="nil"/>
              <w:left w:val="nil"/>
              <w:bottom w:val="nil"/>
              <w:right w:val="nil"/>
            </w:tcBorders>
            <w:shd w:val="clear" w:color="auto" w:fill="auto"/>
            <w:vAlign w:val="bottom"/>
            <w:hideMark/>
          </w:tcPr>
          <w:p w:rsidR="00055E86" w:rsidRPr="00055E86" w:rsidRDefault="00055E86" w:rsidP="00055E86">
            <w:pPr>
              <w:jc w:val="center"/>
              <w:rPr>
                <w:sz w:val="14"/>
                <w:szCs w:val="20"/>
                <w:lang w:eastAsia="en-US"/>
              </w:rPr>
            </w:pPr>
          </w:p>
        </w:tc>
        <w:tc>
          <w:tcPr>
            <w:tcW w:w="1519" w:type="pct"/>
            <w:tcBorders>
              <w:top w:val="nil"/>
              <w:left w:val="nil"/>
              <w:bottom w:val="nil"/>
              <w:right w:val="nil"/>
            </w:tcBorders>
            <w:shd w:val="clear" w:color="auto" w:fill="auto"/>
            <w:vAlign w:val="bottom"/>
            <w:hideMark/>
          </w:tcPr>
          <w:p w:rsidR="00055E86" w:rsidRPr="00055E86" w:rsidRDefault="00055E86" w:rsidP="00055E86">
            <w:pPr>
              <w:jc w:val="right"/>
              <w:rPr>
                <w:sz w:val="14"/>
                <w:szCs w:val="20"/>
                <w:lang w:eastAsia="en-US"/>
              </w:rPr>
            </w:pPr>
          </w:p>
        </w:tc>
      </w:tr>
      <w:tr w:rsidR="00055E86" w:rsidRPr="00055E86" w:rsidTr="00055E86">
        <w:trPr>
          <w:trHeight w:val="255"/>
        </w:trPr>
        <w:tc>
          <w:tcPr>
            <w:tcW w:w="5000" w:type="pct"/>
            <w:gridSpan w:val="5"/>
            <w:tcBorders>
              <w:top w:val="nil"/>
              <w:left w:val="nil"/>
              <w:bottom w:val="nil"/>
              <w:right w:val="nil"/>
            </w:tcBorders>
            <w:shd w:val="clear" w:color="000000" w:fill="FFFF00"/>
            <w:noWrap/>
            <w:vAlign w:val="center"/>
            <w:hideMark/>
          </w:tcPr>
          <w:p w:rsidR="00055E86" w:rsidRPr="00055E86" w:rsidRDefault="00055E86" w:rsidP="00055E86">
            <w:pPr>
              <w:jc w:val="center"/>
              <w:rPr>
                <w:rFonts w:ascii="Arial" w:hAnsi="Arial" w:cs="Arial"/>
                <w:b/>
                <w:bCs/>
                <w:sz w:val="14"/>
                <w:szCs w:val="20"/>
                <w:lang w:eastAsia="en-US"/>
              </w:rPr>
            </w:pPr>
            <w:r w:rsidRPr="00055E86">
              <w:rPr>
                <w:rFonts w:ascii="Arial" w:hAnsi="Arial" w:cs="Arial"/>
                <w:b/>
                <w:bCs/>
                <w:sz w:val="14"/>
                <w:szCs w:val="20"/>
                <w:lang w:eastAsia="en-US"/>
              </w:rPr>
              <w:t>Upgrade Lenovo HW - vSAN storage</w:t>
            </w:r>
          </w:p>
        </w:tc>
      </w:tr>
      <w:tr w:rsidR="00055E86" w:rsidRPr="00055E86" w:rsidTr="00055E86">
        <w:trPr>
          <w:trHeight w:val="300"/>
        </w:trPr>
        <w:tc>
          <w:tcPr>
            <w:tcW w:w="380"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HW</w:t>
            </w:r>
          </w:p>
        </w:tc>
        <w:tc>
          <w:tcPr>
            <w:tcW w:w="1592" w:type="pct"/>
            <w:tcBorders>
              <w:top w:val="nil"/>
              <w:left w:val="nil"/>
              <w:bottom w:val="nil"/>
              <w:right w:val="nil"/>
            </w:tcBorders>
            <w:shd w:val="clear" w:color="auto" w:fill="auto"/>
            <w:noWrap/>
            <w:vAlign w:val="center"/>
            <w:hideMark/>
          </w:tcPr>
          <w:p w:rsidR="00055E86" w:rsidRPr="00055E86" w:rsidRDefault="00055E86" w:rsidP="00055E86">
            <w:pPr>
              <w:rPr>
                <w:rFonts w:ascii="Arial" w:hAnsi="Arial" w:cs="Arial"/>
                <w:sz w:val="14"/>
                <w:szCs w:val="20"/>
                <w:lang w:eastAsia="en-US"/>
              </w:rPr>
            </w:pPr>
            <w:r w:rsidRPr="00055E86">
              <w:rPr>
                <w:rFonts w:ascii="Arial" w:hAnsi="Arial" w:cs="Arial"/>
                <w:sz w:val="14"/>
                <w:szCs w:val="20"/>
                <w:lang w:eastAsia="en-US"/>
              </w:rPr>
              <w:t>Read Intensive SSD Samsung 860 EVO 4TB pro Lenovo x3650 M4</w:t>
            </w:r>
          </w:p>
        </w:tc>
        <w:tc>
          <w:tcPr>
            <w:tcW w:w="341"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1</w:t>
            </w:r>
          </w:p>
        </w:tc>
        <w:tc>
          <w:tcPr>
            <w:tcW w:w="1168"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30 636 Kč </w:t>
            </w:r>
          </w:p>
        </w:tc>
        <w:tc>
          <w:tcPr>
            <w:tcW w:w="1519"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30 636 Kč </w:t>
            </w:r>
          </w:p>
        </w:tc>
      </w:tr>
      <w:tr w:rsidR="00055E86" w:rsidRPr="00055E86" w:rsidTr="00055E86">
        <w:trPr>
          <w:trHeight w:val="300"/>
        </w:trPr>
        <w:tc>
          <w:tcPr>
            <w:tcW w:w="380"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HW</w:t>
            </w:r>
          </w:p>
        </w:tc>
        <w:tc>
          <w:tcPr>
            <w:tcW w:w="1592" w:type="pct"/>
            <w:tcBorders>
              <w:top w:val="nil"/>
              <w:left w:val="nil"/>
              <w:bottom w:val="nil"/>
              <w:right w:val="nil"/>
            </w:tcBorders>
            <w:shd w:val="clear" w:color="auto" w:fill="auto"/>
            <w:noWrap/>
            <w:vAlign w:val="center"/>
            <w:hideMark/>
          </w:tcPr>
          <w:p w:rsidR="00055E86" w:rsidRPr="00055E86" w:rsidRDefault="00055E86" w:rsidP="00055E86">
            <w:pPr>
              <w:rPr>
                <w:rFonts w:ascii="Arial" w:hAnsi="Arial" w:cs="Arial"/>
                <w:sz w:val="14"/>
                <w:szCs w:val="20"/>
                <w:lang w:eastAsia="en-US"/>
              </w:rPr>
            </w:pPr>
            <w:r w:rsidRPr="00055E86">
              <w:rPr>
                <w:rFonts w:ascii="Arial" w:hAnsi="Arial" w:cs="Arial"/>
                <w:sz w:val="14"/>
                <w:szCs w:val="20"/>
                <w:lang w:eastAsia="en-US"/>
              </w:rPr>
              <w:t>Read Intensive SSD Samsung 860 EVO 4TB pro Lenovo x3650 M5</w:t>
            </w:r>
          </w:p>
        </w:tc>
        <w:tc>
          <w:tcPr>
            <w:tcW w:w="341"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1</w:t>
            </w:r>
          </w:p>
        </w:tc>
        <w:tc>
          <w:tcPr>
            <w:tcW w:w="1168"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30 636 Kč </w:t>
            </w:r>
          </w:p>
        </w:tc>
        <w:tc>
          <w:tcPr>
            <w:tcW w:w="1519"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30 636 Kč </w:t>
            </w:r>
          </w:p>
        </w:tc>
      </w:tr>
      <w:tr w:rsidR="00055E86" w:rsidRPr="00055E86" w:rsidTr="00055E86">
        <w:trPr>
          <w:trHeight w:val="300"/>
        </w:trPr>
        <w:tc>
          <w:tcPr>
            <w:tcW w:w="380"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HW</w:t>
            </w:r>
          </w:p>
        </w:tc>
        <w:tc>
          <w:tcPr>
            <w:tcW w:w="1592" w:type="pct"/>
            <w:tcBorders>
              <w:top w:val="nil"/>
              <w:left w:val="nil"/>
              <w:bottom w:val="nil"/>
              <w:right w:val="nil"/>
            </w:tcBorders>
            <w:shd w:val="clear" w:color="auto" w:fill="auto"/>
            <w:noWrap/>
            <w:vAlign w:val="center"/>
            <w:hideMark/>
          </w:tcPr>
          <w:p w:rsidR="00055E86" w:rsidRDefault="00055E86" w:rsidP="00055E86">
            <w:pPr>
              <w:rPr>
                <w:rFonts w:ascii="Arial" w:hAnsi="Arial" w:cs="Arial"/>
                <w:sz w:val="14"/>
                <w:szCs w:val="20"/>
                <w:lang w:eastAsia="en-US"/>
              </w:rPr>
            </w:pPr>
            <w:r>
              <w:rPr>
                <w:rFonts w:ascii="Arial" w:hAnsi="Arial" w:cs="Arial"/>
                <w:sz w:val="14"/>
                <w:szCs w:val="20"/>
                <w:lang w:eastAsia="en-US"/>
              </w:rPr>
              <w:t>Mixed use SSD Samsung 86</w:t>
            </w:r>
            <w:r w:rsidRPr="00055E86">
              <w:rPr>
                <w:rFonts w:ascii="Arial" w:hAnsi="Arial" w:cs="Arial"/>
                <w:sz w:val="14"/>
                <w:szCs w:val="20"/>
                <w:lang w:eastAsia="en-US"/>
              </w:rPr>
              <w:t>0 PRO</w:t>
            </w:r>
            <w:r>
              <w:rPr>
                <w:rFonts w:ascii="Arial" w:hAnsi="Arial" w:cs="Arial"/>
                <w:sz w:val="14"/>
                <w:szCs w:val="20"/>
                <w:lang w:eastAsia="en-US"/>
              </w:rPr>
              <w:t xml:space="preserve"> </w:t>
            </w:r>
          </w:p>
          <w:p w:rsidR="00055E86" w:rsidRPr="00055E86" w:rsidRDefault="00055E86" w:rsidP="00055E86">
            <w:pPr>
              <w:rPr>
                <w:rFonts w:ascii="Arial" w:hAnsi="Arial" w:cs="Arial"/>
                <w:sz w:val="14"/>
                <w:szCs w:val="20"/>
                <w:lang w:eastAsia="en-US"/>
              </w:rPr>
            </w:pPr>
            <w:r w:rsidRPr="00055E86">
              <w:rPr>
                <w:rFonts w:ascii="Arial" w:hAnsi="Arial" w:cs="Arial"/>
                <w:sz w:val="14"/>
                <w:szCs w:val="20"/>
                <w:lang w:eastAsia="en-US"/>
              </w:rPr>
              <w:t>512GB pro Lenovo x3650 M4</w:t>
            </w:r>
          </w:p>
        </w:tc>
        <w:tc>
          <w:tcPr>
            <w:tcW w:w="341"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1</w:t>
            </w:r>
          </w:p>
        </w:tc>
        <w:tc>
          <w:tcPr>
            <w:tcW w:w="1168"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8 554 Kč </w:t>
            </w:r>
          </w:p>
        </w:tc>
        <w:tc>
          <w:tcPr>
            <w:tcW w:w="1519"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8 554 Kč </w:t>
            </w:r>
          </w:p>
        </w:tc>
      </w:tr>
      <w:tr w:rsidR="00055E86" w:rsidRPr="00055E86" w:rsidTr="00055E86">
        <w:trPr>
          <w:trHeight w:val="300"/>
        </w:trPr>
        <w:tc>
          <w:tcPr>
            <w:tcW w:w="380"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HW</w:t>
            </w:r>
          </w:p>
        </w:tc>
        <w:tc>
          <w:tcPr>
            <w:tcW w:w="1592" w:type="pct"/>
            <w:tcBorders>
              <w:top w:val="nil"/>
              <w:left w:val="nil"/>
              <w:bottom w:val="nil"/>
              <w:right w:val="nil"/>
            </w:tcBorders>
            <w:shd w:val="clear" w:color="auto" w:fill="auto"/>
            <w:noWrap/>
            <w:vAlign w:val="center"/>
            <w:hideMark/>
          </w:tcPr>
          <w:p w:rsidR="00055E86" w:rsidRDefault="00055E86" w:rsidP="00055E86">
            <w:pPr>
              <w:rPr>
                <w:rFonts w:ascii="Arial" w:hAnsi="Arial" w:cs="Arial"/>
                <w:sz w:val="14"/>
                <w:szCs w:val="20"/>
                <w:lang w:eastAsia="en-US"/>
              </w:rPr>
            </w:pPr>
            <w:r>
              <w:rPr>
                <w:rFonts w:ascii="Arial" w:hAnsi="Arial" w:cs="Arial"/>
                <w:sz w:val="14"/>
                <w:szCs w:val="20"/>
                <w:lang w:eastAsia="en-US"/>
              </w:rPr>
              <w:t>Mixed use SSD Samsung 86</w:t>
            </w:r>
            <w:r w:rsidRPr="00055E86">
              <w:rPr>
                <w:rFonts w:ascii="Arial" w:hAnsi="Arial" w:cs="Arial"/>
                <w:sz w:val="14"/>
                <w:szCs w:val="20"/>
                <w:lang w:eastAsia="en-US"/>
              </w:rPr>
              <w:t xml:space="preserve">0 PRO </w:t>
            </w:r>
          </w:p>
          <w:p w:rsidR="00055E86" w:rsidRPr="00055E86" w:rsidRDefault="00055E86" w:rsidP="00055E86">
            <w:pPr>
              <w:rPr>
                <w:rFonts w:ascii="Arial" w:hAnsi="Arial" w:cs="Arial"/>
                <w:sz w:val="14"/>
                <w:szCs w:val="20"/>
                <w:lang w:eastAsia="en-US"/>
              </w:rPr>
            </w:pPr>
            <w:r w:rsidRPr="00055E86">
              <w:rPr>
                <w:rFonts w:ascii="Arial" w:hAnsi="Arial" w:cs="Arial"/>
                <w:sz w:val="14"/>
                <w:szCs w:val="20"/>
                <w:lang w:eastAsia="en-US"/>
              </w:rPr>
              <w:t>512GB pro Lenovo x3650 M5</w:t>
            </w:r>
          </w:p>
        </w:tc>
        <w:tc>
          <w:tcPr>
            <w:tcW w:w="341"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1</w:t>
            </w:r>
          </w:p>
        </w:tc>
        <w:tc>
          <w:tcPr>
            <w:tcW w:w="1168"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8 554 Kč </w:t>
            </w:r>
          </w:p>
        </w:tc>
        <w:tc>
          <w:tcPr>
            <w:tcW w:w="1519"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8 554 Kč </w:t>
            </w:r>
          </w:p>
        </w:tc>
      </w:tr>
      <w:tr w:rsidR="00055E86" w:rsidRPr="00055E86" w:rsidTr="00055E86">
        <w:trPr>
          <w:trHeight w:val="300"/>
        </w:trPr>
        <w:tc>
          <w:tcPr>
            <w:tcW w:w="380"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HW</w:t>
            </w:r>
          </w:p>
        </w:tc>
        <w:tc>
          <w:tcPr>
            <w:tcW w:w="1592" w:type="pct"/>
            <w:tcBorders>
              <w:top w:val="nil"/>
              <w:left w:val="nil"/>
              <w:bottom w:val="nil"/>
              <w:right w:val="nil"/>
            </w:tcBorders>
            <w:shd w:val="clear" w:color="auto" w:fill="auto"/>
            <w:noWrap/>
            <w:vAlign w:val="center"/>
            <w:hideMark/>
          </w:tcPr>
          <w:p w:rsidR="00055E86" w:rsidRPr="00055E86" w:rsidRDefault="00055E86" w:rsidP="00055E86">
            <w:pPr>
              <w:rPr>
                <w:rFonts w:ascii="Arial" w:hAnsi="Arial" w:cs="Arial"/>
                <w:sz w:val="14"/>
                <w:szCs w:val="20"/>
                <w:lang w:eastAsia="en-US"/>
              </w:rPr>
            </w:pPr>
            <w:r w:rsidRPr="00055E86">
              <w:rPr>
                <w:rFonts w:ascii="Arial" w:hAnsi="Arial" w:cs="Arial"/>
                <w:sz w:val="14"/>
                <w:szCs w:val="20"/>
                <w:lang w:eastAsia="en-US"/>
              </w:rPr>
              <w:t xml:space="preserve">System x3650 PCIe Riser </w:t>
            </w:r>
          </w:p>
        </w:tc>
        <w:tc>
          <w:tcPr>
            <w:tcW w:w="341"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1</w:t>
            </w:r>
          </w:p>
        </w:tc>
        <w:tc>
          <w:tcPr>
            <w:tcW w:w="1168"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2 000 Kč </w:t>
            </w:r>
          </w:p>
        </w:tc>
        <w:tc>
          <w:tcPr>
            <w:tcW w:w="1519"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2 000 Kč </w:t>
            </w:r>
          </w:p>
        </w:tc>
      </w:tr>
      <w:tr w:rsidR="00055E86" w:rsidRPr="00055E86" w:rsidTr="00055E86">
        <w:trPr>
          <w:trHeight w:val="300"/>
        </w:trPr>
        <w:tc>
          <w:tcPr>
            <w:tcW w:w="380"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HW</w:t>
            </w:r>
          </w:p>
        </w:tc>
        <w:tc>
          <w:tcPr>
            <w:tcW w:w="1592" w:type="pct"/>
            <w:tcBorders>
              <w:top w:val="nil"/>
              <w:left w:val="nil"/>
              <w:bottom w:val="nil"/>
              <w:right w:val="nil"/>
            </w:tcBorders>
            <w:shd w:val="clear" w:color="auto" w:fill="auto"/>
            <w:noWrap/>
            <w:vAlign w:val="center"/>
            <w:hideMark/>
          </w:tcPr>
          <w:p w:rsidR="00055E86" w:rsidRPr="00055E86" w:rsidRDefault="00055E86" w:rsidP="00055E86">
            <w:pPr>
              <w:rPr>
                <w:rFonts w:ascii="Arial" w:hAnsi="Arial" w:cs="Arial"/>
                <w:sz w:val="14"/>
                <w:szCs w:val="20"/>
                <w:lang w:eastAsia="en-US"/>
              </w:rPr>
            </w:pPr>
            <w:r w:rsidRPr="00055E86">
              <w:rPr>
                <w:rFonts w:ascii="Arial" w:hAnsi="Arial" w:cs="Arial"/>
                <w:sz w:val="14"/>
                <w:szCs w:val="20"/>
                <w:lang w:eastAsia="en-US"/>
              </w:rPr>
              <w:t>Dualport 10GbE SFP+ Adapter</w:t>
            </w:r>
            <w:r>
              <w:rPr>
                <w:rFonts w:ascii="Arial" w:hAnsi="Arial" w:cs="Arial"/>
                <w:sz w:val="14"/>
                <w:szCs w:val="20"/>
                <w:lang w:eastAsia="en-US"/>
              </w:rPr>
              <w:t xml:space="preserve"> </w:t>
            </w:r>
          </w:p>
        </w:tc>
        <w:tc>
          <w:tcPr>
            <w:tcW w:w="341"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2</w:t>
            </w:r>
          </w:p>
        </w:tc>
        <w:tc>
          <w:tcPr>
            <w:tcW w:w="1168"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14 000 Kč </w:t>
            </w:r>
          </w:p>
        </w:tc>
        <w:tc>
          <w:tcPr>
            <w:tcW w:w="1519"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28 000 Kč </w:t>
            </w:r>
          </w:p>
        </w:tc>
      </w:tr>
      <w:tr w:rsidR="00055E86" w:rsidRPr="00055E86" w:rsidTr="00055E86">
        <w:trPr>
          <w:trHeight w:val="300"/>
        </w:trPr>
        <w:tc>
          <w:tcPr>
            <w:tcW w:w="380"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HW</w:t>
            </w:r>
          </w:p>
        </w:tc>
        <w:tc>
          <w:tcPr>
            <w:tcW w:w="1592" w:type="pct"/>
            <w:tcBorders>
              <w:top w:val="nil"/>
              <w:left w:val="nil"/>
              <w:bottom w:val="nil"/>
              <w:right w:val="nil"/>
            </w:tcBorders>
            <w:shd w:val="clear" w:color="auto" w:fill="auto"/>
            <w:noWrap/>
            <w:vAlign w:val="center"/>
            <w:hideMark/>
          </w:tcPr>
          <w:p w:rsidR="00055E86" w:rsidRDefault="00055E86" w:rsidP="00055E86">
            <w:pPr>
              <w:rPr>
                <w:rFonts w:ascii="Arial" w:hAnsi="Arial" w:cs="Arial"/>
                <w:sz w:val="14"/>
                <w:szCs w:val="20"/>
                <w:lang w:eastAsia="en-US"/>
              </w:rPr>
            </w:pPr>
            <w:r w:rsidRPr="00055E86">
              <w:rPr>
                <w:rFonts w:ascii="Arial" w:hAnsi="Arial" w:cs="Arial"/>
                <w:sz w:val="14"/>
                <w:szCs w:val="20"/>
                <w:lang w:eastAsia="en-US"/>
              </w:rPr>
              <w:t xml:space="preserve">10Gbit SFP+ </w:t>
            </w:r>
            <w:r>
              <w:rPr>
                <w:rFonts w:ascii="Arial" w:hAnsi="Arial" w:cs="Arial"/>
                <w:sz w:val="14"/>
                <w:szCs w:val="20"/>
                <w:lang w:eastAsia="en-US"/>
              </w:rPr>
              <w:t xml:space="preserve">SM </w:t>
            </w:r>
            <w:proofErr w:type="spellStart"/>
            <w:r>
              <w:rPr>
                <w:rFonts w:ascii="Arial" w:hAnsi="Arial" w:cs="Arial"/>
                <w:sz w:val="14"/>
                <w:szCs w:val="20"/>
                <w:lang w:eastAsia="en-US"/>
              </w:rPr>
              <w:t>Optical</w:t>
            </w:r>
            <w:proofErr w:type="spellEnd"/>
            <w:r>
              <w:rPr>
                <w:rFonts w:ascii="Arial" w:hAnsi="Arial" w:cs="Arial"/>
                <w:sz w:val="14"/>
                <w:szCs w:val="20"/>
                <w:lang w:eastAsia="en-US"/>
              </w:rPr>
              <w:t xml:space="preserve"> </w:t>
            </w:r>
            <w:proofErr w:type="spellStart"/>
            <w:r>
              <w:rPr>
                <w:rFonts w:ascii="Arial" w:hAnsi="Arial" w:cs="Arial"/>
                <w:sz w:val="14"/>
                <w:szCs w:val="20"/>
                <w:lang w:eastAsia="en-US"/>
              </w:rPr>
              <w:t>TransCiever</w:t>
            </w:r>
            <w:proofErr w:type="spellEnd"/>
            <w:r>
              <w:rPr>
                <w:rFonts w:ascii="Arial" w:hAnsi="Arial" w:cs="Arial"/>
                <w:sz w:val="14"/>
                <w:szCs w:val="20"/>
                <w:lang w:eastAsia="en-US"/>
              </w:rPr>
              <w:t xml:space="preserve"> </w:t>
            </w:r>
          </w:p>
          <w:p w:rsidR="00055E86" w:rsidRPr="00055E86" w:rsidRDefault="00055E86" w:rsidP="00055E86">
            <w:pPr>
              <w:rPr>
                <w:rFonts w:ascii="Arial" w:hAnsi="Arial" w:cs="Arial"/>
                <w:sz w:val="14"/>
                <w:szCs w:val="20"/>
                <w:lang w:eastAsia="en-US"/>
              </w:rPr>
            </w:pPr>
            <w:r>
              <w:rPr>
                <w:rFonts w:ascii="Arial" w:hAnsi="Arial" w:cs="Arial"/>
                <w:sz w:val="14"/>
                <w:szCs w:val="20"/>
                <w:lang w:eastAsia="en-US"/>
              </w:rPr>
              <w:t xml:space="preserve">+ 3m </w:t>
            </w:r>
            <w:proofErr w:type="spellStart"/>
            <w:r>
              <w:rPr>
                <w:rFonts w:ascii="Arial" w:hAnsi="Arial" w:cs="Arial"/>
                <w:sz w:val="14"/>
                <w:szCs w:val="20"/>
                <w:lang w:eastAsia="en-US"/>
              </w:rPr>
              <w:t>opt</w:t>
            </w:r>
            <w:proofErr w:type="spellEnd"/>
            <w:r>
              <w:rPr>
                <w:rFonts w:ascii="Arial" w:hAnsi="Arial" w:cs="Arial"/>
                <w:sz w:val="14"/>
                <w:szCs w:val="20"/>
                <w:lang w:eastAsia="en-US"/>
              </w:rPr>
              <w:t>. kabeláž</w:t>
            </w:r>
          </w:p>
        </w:tc>
        <w:tc>
          <w:tcPr>
            <w:tcW w:w="341"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Pr>
                <w:rFonts w:ascii="Arial" w:hAnsi="Arial" w:cs="Arial"/>
                <w:sz w:val="14"/>
                <w:szCs w:val="20"/>
                <w:lang w:eastAsia="en-US"/>
              </w:rPr>
              <w:t>4</w:t>
            </w:r>
          </w:p>
        </w:tc>
        <w:tc>
          <w:tcPr>
            <w:tcW w:w="1168"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w:t>
            </w:r>
            <w:r>
              <w:rPr>
                <w:rFonts w:ascii="Arial" w:hAnsi="Arial" w:cs="Arial"/>
                <w:sz w:val="14"/>
                <w:lang w:eastAsia="en-US"/>
              </w:rPr>
              <w:t>1</w:t>
            </w:r>
            <w:r w:rsidRPr="00055E86">
              <w:rPr>
                <w:rFonts w:ascii="Arial" w:hAnsi="Arial" w:cs="Arial"/>
                <w:sz w:val="14"/>
                <w:lang w:eastAsia="en-US"/>
              </w:rPr>
              <w:t xml:space="preserve"> 000 Kč </w:t>
            </w:r>
          </w:p>
        </w:tc>
        <w:tc>
          <w:tcPr>
            <w:tcW w:w="1519"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4 000 Kč </w:t>
            </w:r>
          </w:p>
        </w:tc>
      </w:tr>
      <w:tr w:rsidR="00055E86" w:rsidRPr="00055E86" w:rsidTr="00055E86">
        <w:trPr>
          <w:trHeight w:val="300"/>
        </w:trPr>
        <w:tc>
          <w:tcPr>
            <w:tcW w:w="380"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HW</w:t>
            </w:r>
          </w:p>
        </w:tc>
        <w:tc>
          <w:tcPr>
            <w:tcW w:w="1592" w:type="pct"/>
            <w:tcBorders>
              <w:top w:val="nil"/>
              <w:left w:val="nil"/>
              <w:bottom w:val="nil"/>
              <w:right w:val="nil"/>
            </w:tcBorders>
            <w:shd w:val="clear" w:color="auto" w:fill="auto"/>
            <w:noWrap/>
            <w:vAlign w:val="center"/>
            <w:hideMark/>
          </w:tcPr>
          <w:p w:rsidR="00055E86" w:rsidRPr="00055E86" w:rsidRDefault="00055E86" w:rsidP="00055E86">
            <w:pPr>
              <w:rPr>
                <w:rFonts w:ascii="Arial" w:hAnsi="Arial" w:cs="Arial"/>
                <w:sz w:val="14"/>
                <w:szCs w:val="20"/>
                <w:lang w:eastAsia="en-US"/>
              </w:rPr>
            </w:pPr>
            <w:r w:rsidRPr="00055E86">
              <w:rPr>
                <w:rFonts w:ascii="Arial" w:hAnsi="Arial" w:cs="Arial"/>
                <w:sz w:val="14"/>
                <w:szCs w:val="20"/>
                <w:lang w:eastAsia="en-US"/>
              </w:rPr>
              <w:t>vSAN Quorum Server vCube Witness</w:t>
            </w:r>
          </w:p>
        </w:tc>
        <w:tc>
          <w:tcPr>
            <w:tcW w:w="341"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1</w:t>
            </w:r>
          </w:p>
        </w:tc>
        <w:tc>
          <w:tcPr>
            <w:tcW w:w="1168"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28 064 Kč </w:t>
            </w:r>
          </w:p>
        </w:tc>
        <w:tc>
          <w:tcPr>
            <w:tcW w:w="1519"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28 064 Kč </w:t>
            </w:r>
          </w:p>
        </w:tc>
      </w:tr>
      <w:tr w:rsidR="00055E86" w:rsidRPr="00055E86" w:rsidTr="00055E86">
        <w:trPr>
          <w:trHeight w:val="300"/>
        </w:trPr>
        <w:tc>
          <w:tcPr>
            <w:tcW w:w="380"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služby</w:t>
            </w:r>
          </w:p>
        </w:tc>
        <w:tc>
          <w:tcPr>
            <w:tcW w:w="1592" w:type="pct"/>
            <w:tcBorders>
              <w:top w:val="nil"/>
              <w:left w:val="nil"/>
              <w:bottom w:val="nil"/>
              <w:right w:val="nil"/>
            </w:tcBorders>
            <w:shd w:val="clear" w:color="auto" w:fill="auto"/>
            <w:noWrap/>
            <w:vAlign w:val="center"/>
            <w:hideMark/>
          </w:tcPr>
          <w:p w:rsidR="00055E86" w:rsidRPr="00055E86" w:rsidRDefault="00055E86" w:rsidP="00055E86">
            <w:pPr>
              <w:rPr>
                <w:rFonts w:ascii="Arial" w:hAnsi="Arial" w:cs="Arial"/>
                <w:sz w:val="14"/>
                <w:szCs w:val="20"/>
                <w:lang w:eastAsia="en-US"/>
              </w:rPr>
            </w:pPr>
            <w:r w:rsidRPr="00055E86">
              <w:rPr>
                <w:rFonts w:ascii="Arial" w:hAnsi="Arial" w:cs="Arial"/>
                <w:sz w:val="14"/>
                <w:szCs w:val="20"/>
                <w:lang w:eastAsia="en-US"/>
              </w:rPr>
              <w:t>HW Montáž + vSphere upgrade &amp; rekonfigurace vSAN setup, montáž, rekonfigurace</w:t>
            </w:r>
          </w:p>
        </w:tc>
        <w:tc>
          <w:tcPr>
            <w:tcW w:w="341"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szCs w:val="20"/>
                <w:lang w:eastAsia="en-US"/>
              </w:rPr>
            </w:pPr>
            <w:r w:rsidRPr="00055E86">
              <w:rPr>
                <w:rFonts w:ascii="Arial" w:hAnsi="Arial" w:cs="Arial"/>
                <w:sz w:val="14"/>
                <w:szCs w:val="20"/>
                <w:lang w:eastAsia="en-US"/>
              </w:rPr>
              <w:t>4</w:t>
            </w:r>
          </w:p>
        </w:tc>
        <w:tc>
          <w:tcPr>
            <w:tcW w:w="1168"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10 800 Kč </w:t>
            </w:r>
          </w:p>
        </w:tc>
        <w:tc>
          <w:tcPr>
            <w:tcW w:w="1519" w:type="pct"/>
            <w:tcBorders>
              <w:top w:val="nil"/>
              <w:left w:val="nil"/>
              <w:bottom w:val="nil"/>
              <w:right w:val="nil"/>
            </w:tcBorders>
            <w:shd w:val="clear" w:color="auto" w:fill="auto"/>
            <w:vAlign w:val="bottom"/>
            <w:hideMark/>
          </w:tcPr>
          <w:p w:rsidR="00055E86" w:rsidRPr="00055E86" w:rsidRDefault="00055E86" w:rsidP="00055E86">
            <w:pPr>
              <w:jc w:val="center"/>
              <w:rPr>
                <w:rFonts w:ascii="Arial" w:hAnsi="Arial" w:cs="Arial"/>
                <w:sz w:val="14"/>
                <w:lang w:eastAsia="en-US"/>
              </w:rPr>
            </w:pPr>
            <w:r w:rsidRPr="00055E86">
              <w:rPr>
                <w:rFonts w:ascii="Arial" w:hAnsi="Arial" w:cs="Arial"/>
                <w:sz w:val="14"/>
                <w:lang w:eastAsia="en-US"/>
              </w:rPr>
              <w:t xml:space="preserve">                                                43 200 Kč </w:t>
            </w:r>
          </w:p>
        </w:tc>
      </w:tr>
      <w:tr w:rsidR="00055E86" w:rsidRPr="00055E86" w:rsidTr="00055E86">
        <w:trPr>
          <w:trHeight w:val="315"/>
        </w:trPr>
        <w:tc>
          <w:tcPr>
            <w:tcW w:w="380" w:type="pct"/>
            <w:tcBorders>
              <w:top w:val="nil"/>
              <w:left w:val="nil"/>
              <w:bottom w:val="nil"/>
              <w:right w:val="nil"/>
            </w:tcBorders>
            <w:shd w:val="clear" w:color="auto" w:fill="auto"/>
            <w:noWrap/>
            <w:vAlign w:val="center"/>
            <w:hideMark/>
          </w:tcPr>
          <w:p w:rsidR="00055E86" w:rsidRPr="00055E86" w:rsidRDefault="00055E86" w:rsidP="00055E86">
            <w:pPr>
              <w:jc w:val="center"/>
              <w:rPr>
                <w:rFonts w:ascii="Arial" w:hAnsi="Arial" w:cs="Arial"/>
                <w:sz w:val="14"/>
                <w:lang w:eastAsia="en-US"/>
              </w:rPr>
            </w:pPr>
          </w:p>
        </w:tc>
        <w:tc>
          <w:tcPr>
            <w:tcW w:w="1592" w:type="pct"/>
            <w:tcBorders>
              <w:top w:val="nil"/>
              <w:left w:val="nil"/>
              <w:bottom w:val="nil"/>
              <w:right w:val="nil"/>
            </w:tcBorders>
            <w:shd w:val="clear" w:color="auto" w:fill="auto"/>
            <w:noWrap/>
            <w:vAlign w:val="center"/>
            <w:hideMark/>
          </w:tcPr>
          <w:p w:rsidR="00055E86" w:rsidRPr="00055E86" w:rsidRDefault="00055E86" w:rsidP="00055E86">
            <w:pPr>
              <w:rPr>
                <w:sz w:val="14"/>
                <w:szCs w:val="20"/>
                <w:lang w:eastAsia="en-US"/>
              </w:rPr>
            </w:pPr>
          </w:p>
        </w:tc>
        <w:tc>
          <w:tcPr>
            <w:tcW w:w="341" w:type="pct"/>
            <w:tcBorders>
              <w:top w:val="nil"/>
              <w:left w:val="nil"/>
              <w:bottom w:val="nil"/>
              <w:right w:val="nil"/>
            </w:tcBorders>
            <w:shd w:val="clear" w:color="auto" w:fill="auto"/>
            <w:noWrap/>
            <w:vAlign w:val="center"/>
            <w:hideMark/>
          </w:tcPr>
          <w:p w:rsidR="00055E86" w:rsidRPr="00055E86" w:rsidRDefault="00055E86" w:rsidP="00055E86">
            <w:pPr>
              <w:rPr>
                <w:sz w:val="14"/>
                <w:szCs w:val="20"/>
                <w:lang w:eastAsia="en-US"/>
              </w:rPr>
            </w:pPr>
          </w:p>
        </w:tc>
        <w:tc>
          <w:tcPr>
            <w:tcW w:w="1168" w:type="pct"/>
            <w:tcBorders>
              <w:top w:val="nil"/>
              <w:left w:val="nil"/>
              <w:bottom w:val="nil"/>
              <w:right w:val="nil"/>
            </w:tcBorders>
            <w:shd w:val="clear" w:color="auto" w:fill="auto"/>
            <w:vAlign w:val="bottom"/>
            <w:hideMark/>
          </w:tcPr>
          <w:p w:rsidR="00055E86" w:rsidRPr="00055E86" w:rsidRDefault="00055E86" w:rsidP="00055E86">
            <w:pPr>
              <w:jc w:val="center"/>
              <w:rPr>
                <w:sz w:val="14"/>
                <w:szCs w:val="20"/>
                <w:lang w:eastAsia="en-US"/>
              </w:rPr>
            </w:pPr>
          </w:p>
        </w:tc>
        <w:tc>
          <w:tcPr>
            <w:tcW w:w="1519" w:type="pct"/>
            <w:tcBorders>
              <w:top w:val="nil"/>
              <w:left w:val="nil"/>
              <w:bottom w:val="nil"/>
              <w:right w:val="nil"/>
            </w:tcBorders>
            <w:shd w:val="clear" w:color="auto" w:fill="auto"/>
            <w:vAlign w:val="bottom"/>
            <w:hideMark/>
          </w:tcPr>
          <w:p w:rsidR="00055E86" w:rsidRPr="00055E86" w:rsidRDefault="00055E86" w:rsidP="00055E86">
            <w:pPr>
              <w:jc w:val="center"/>
              <w:rPr>
                <w:sz w:val="14"/>
                <w:szCs w:val="20"/>
                <w:lang w:eastAsia="en-US"/>
              </w:rPr>
            </w:pPr>
          </w:p>
        </w:tc>
      </w:tr>
      <w:tr w:rsidR="00055E86" w:rsidRPr="00055E86" w:rsidTr="00055E86">
        <w:trPr>
          <w:trHeight w:val="330"/>
        </w:trPr>
        <w:tc>
          <w:tcPr>
            <w:tcW w:w="380" w:type="pct"/>
            <w:tcBorders>
              <w:top w:val="nil"/>
              <w:left w:val="nil"/>
              <w:bottom w:val="nil"/>
              <w:right w:val="nil"/>
            </w:tcBorders>
            <w:shd w:val="clear" w:color="auto" w:fill="auto"/>
            <w:noWrap/>
            <w:vAlign w:val="center"/>
            <w:hideMark/>
          </w:tcPr>
          <w:p w:rsidR="00055E86" w:rsidRPr="00055E86" w:rsidRDefault="00055E86" w:rsidP="00055E86">
            <w:pPr>
              <w:jc w:val="center"/>
              <w:rPr>
                <w:sz w:val="14"/>
                <w:szCs w:val="20"/>
                <w:lang w:eastAsia="en-US"/>
              </w:rPr>
            </w:pPr>
          </w:p>
        </w:tc>
        <w:tc>
          <w:tcPr>
            <w:tcW w:w="1592" w:type="pct"/>
            <w:tcBorders>
              <w:top w:val="nil"/>
              <w:left w:val="nil"/>
              <w:bottom w:val="nil"/>
              <w:right w:val="nil"/>
            </w:tcBorders>
            <w:shd w:val="clear" w:color="auto" w:fill="auto"/>
            <w:noWrap/>
            <w:vAlign w:val="center"/>
            <w:hideMark/>
          </w:tcPr>
          <w:p w:rsidR="00055E86" w:rsidRPr="00055E86" w:rsidRDefault="00055E86" w:rsidP="00055E86">
            <w:pPr>
              <w:rPr>
                <w:sz w:val="14"/>
                <w:szCs w:val="20"/>
                <w:lang w:eastAsia="en-US"/>
              </w:rPr>
            </w:pPr>
          </w:p>
        </w:tc>
        <w:tc>
          <w:tcPr>
            <w:tcW w:w="341" w:type="pct"/>
            <w:tcBorders>
              <w:top w:val="nil"/>
              <w:left w:val="nil"/>
              <w:bottom w:val="nil"/>
              <w:right w:val="nil"/>
            </w:tcBorders>
            <w:shd w:val="clear" w:color="auto" w:fill="auto"/>
            <w:noWrap/>
            <w:vAlign w:val="center"/>
            <w:hideMark/>
          </w:tcPr>
          <w:p w:rsidR="00055E86" w:rsidRPr="00055E86" w:rsidRDefault="00055E86" w:rsidP="00055E86">
            <w:pPr>
              <w:rPr>
                <w:sz w:val="14"/>
                <w:szCs w:val="20"/>
                <w:lang w:eastAsia="en-US"/>
              </w:rPr>
            </w:pPr>
          </w:p>
        </w:tc>
        <w:tc>
          <w:tcPr>
            <w:tcW w:w="1168" w:type="pct"/>
            <w:tcBorders>
              <w:top w:val="single" w:sz="8" w:space="0" w:color="auto"/>
              <w:left w:val="single" w:sz="8" w:space="0" w:color="auto"/>
              <w:bottom w:val="single" w:sz="8" w:space="0" w:color="auto"/>
              <w:right w:val="nil"/>
            </w:tcBorders>
            <w:shd w:val="clear" w:color="000000" w:fill="9BC2E6"/>
            <w:noWrap/>
            <w:vAlign w:val="center"/>
            <w:hideMark/>
          </w:tcPr>
          <w:p w:rsidR="00055E86" w:rsidRPr="00055E86" w:rsidRDefault="00055E86" w:rsidP="00055E86">
            <w:pPr>
              <w:jc w:val="right"/>
              <w:rPr>
                <w:rFonts w:ascii="Arial" w:hAnsi="Arial" w:cs="Arial"/>
                <w:b/>
                <w:bCs/>
                <w:sz w:val="14"/>
                <w:szCs w:val="20"/>
                <w:lang w:eastAsia="en-US"/>
              </w:rPr>
            </w:pPr>
            <w:r w:rsidRPr="00055E86">
              <w:rPr>
                <w:rFonts w:ascii="Arial" w:hAnsi="Arial" w:cs="Arial"/>
                <w:b/>
                <w:bCs/>
                <w:sz w:val="14"/>
                <w:szCs w:val="20"/>
                <w:lang w:eastAsia="en-US"/>
              </w:rPr>
              <w:t>Celkem Kč bez DPH:</w:t>
            </w:r>
          </w:p>
        </w:tc>
        <w:tc>
          <w:tcPr>
            <w:tcW w:w="1519" w:type="pct"/>
            <w:tcBorders>
              <w:top w:val="single" w:sz="8" w:space="0" w:color="auto"/>
              <w:left w:val="nil"/>
              <w:bottom w:val="single" w:sz="8" w:space="0" w:color="auto"/>
              <w:right w:val="single" w:sz="8" w:space="0" w:color="auto"/>
            </w:tcBorders>
            <w:shd w:val="clear" w:color="000000" w:fill="9BC2E6"/>
            <w:noWrap/>
            <w:vAlign w:val="center"/>
            <w:hideMark/>
          </w:tcPr>
          <w:p w:rsidR="00055E86" w:rsidRPr="00055E86" w:rsidRDefault="00055E86" w:rsidP="00055E86">
            <w:pPr>
              <w:rPr>
                <w:rFonts w:ascii="Arial" w:hAnsi="Arial" w:cs="Arial"/>
                <w:b/>
                <w:bCs/>
                <w:sz w:val="14"/>
                <w:lang w:eastAsia="en-US"/>
              </w:rPr>
            </w:pPr>
            <w:r w:rsidRPr="00055E86">
              <w:rPr>
                <w:rFonts w:ascii="Arial" w:hAnsi="Arial" w:cs="Arial"/>
                <w:b/>
                <w:bCs/>
                <w:sz w:val="14"/>
                <w:lang w:eastAsia="en-US"/>
              </w:rPr>
              <w:t xml:space="preserve">                                             183 642 Kč </w:t>
            </w:r>
          </w:p>
        </w:tc>
      </w:tr>
      <w:tr w:rsidR="00055E86" w:rsidRPr="00055E86" w:rsidTr="00055E86">
        <w:trPr>
          <w:trHeight w:val="270"/>
        </w:trPr>
        <w:tc>
          <w:tcPr>
            <w:tcW w:w="380" w:type="pct"/>
            <w:tcBorders>
              <w:top w:val="nil"/>
              <w:left w:val="nil"/>
              <w:bottom w:val="nil"/>
              <w:right w:val="nil"/>
            </w:tcBorders>
            <w:shd w:val="clear" w:color="auto" w:fill="auto"/>
            <w:noWrap/>
            <w:vAlign w:val="center"/>
            <w:hideMark/>
          </w:tcPr>
          <w:p w:rsidR="00055E86" w:rsidRPr="00055E86" w:rsidRDefault="00055E86" w:rsidP="00055E86">
            <w:pPr>
              <w:rPr>
                <w:rFonts w:ascii="Arial" w:hAnsi="Arial" w:cs="Arial"/>
                <w:b/>
                <w:bCs/>
                <w:sz w:val="14"/>
                <w:lang w:eastAsia="en-US"/>
              </w:rPr>
            </w:pPr>
          </w:p>
        </w:tc>
        <w:tc>
          <w:tcPr>
            <w:tcW w:w="1592" w:type="pct"/>
            <w:tcBorders>
              <w:top w:val="nil"/>
              <w:left w:val="nil"/>
              <w:bottom w:val="nil"/>
              <w:right w:val="nil"/>
            </w:tcBorders>
            <w:shd w:val="clear" w:color="auto" w:fill="auto"/>
            <w:noWrap/>
            <w:vAlign w:val="center"/>
            <w:hideMark/>
          </w:tcPr>
          <w:p w:rsidR="00055E86" w:rsidRPr="00055E86" w:rsidRDefault="00055E86" w:rsidP="00055E86">
            <w:pPr>
              <w:rPr>
                <w:sz w:val="14"/>
                <w:szCs w:val="20"/>
                <w:lang w:eastAsia="en-US"/>
              </w:rPr>
            </w:pPr>
          </w:p>
        </w:tc>
        <w:tc>
          <w:tcPr>
            <w:tcW w:w="341" w:type="pct"/>
            <w:tcBorders>
              <w:top w:val="nil"/>
              <w:left w:val="nil"/>
              <w:bottom w:val="nil"/>
              <w:right w:val="nil"/>
            </w:tcBorders>
            <w:shd w:val="clear" w:color="auto" w:fill="auto"/>
            <w:noWrap/>
            <w:vAlign w:val="center"/>
            <w:hideMark/>
          </w:tcPr>
          <w:p w:rsidR="00055E86" w:rsidRPr="00055E86" w:rsidRDefault="00055E86" w:rsidP="00055E86">
            <w:pPr>
              <w:rPr>
                <w:sz w:val="14"/>
                <w:szCs w:val="20"/>
                <w:lang w:eastAsia="en-US"/>
              </w:rPr>
            </w:pPr>
          </w:p>
        </w:tc>
        <w:tc>
          <w:tcPr>
            <w:tcW w:w="1168" w:type="pct"/>
            <w:tcBorders>
              <w:top w:val="nil"/>
              <w:left w:val="nil"/>
              <w:bottom w:val="nil"/>
              <w:right w:val="nil"/>
            </w:tcBorders>
            <w:shd w:val="clear" w:color="auto" w:fill="auto"/>
            <w:noWrap/>
            <w:vAlign w:val="center"/>
            <w:hideMark/>
          </w:tcPr>
          <w:p w:rsidR="00055E86" w:rsidRPr="00055E86" w:rsidRDefault="00055E86" w:rsidP="00055E86">
            <w:pPr>
              <w:jc w:val="center"/>
              <w:rPr>
                <w:sz w:val="14"/>
                <w:szCs w:val="20"/>
                <w:lang w:eastAsia="en-US"/>
              </w:rPr>
            </w:pPr>
          </w:p>
        </w:tc>
        <w:tc>
          <w:tcPr>
            <w:tcW w:w="1519" w:type="pct"/>
            <w:tcBorders>
              <w:top w:val="nil"/>
              <w:left w:val="nil"/>
              <w:bottom w:val="nil"/>
              <w:right w:val="nil"/>
            </w:tcBorders>
            <w:shd w:val="clear" w:color="auto" w:fill="auto"/>
            <w:noWrap/>
            <w:vAlign w:val="center"/>
            <w:hideMark/>
          </w:tcPr>
          <w:p w:rsidR="00055E86" w:rsidRPr="00055E86" w:rsidRDefault="00055E86" w:rsidP="00055E86">
            <w:pPr>
              <w:jc w:val="right"/>
              <w:rPr>
                <w:sz w:val="14"/>
                <w:szCs w:val="20"/>
                <w:lang w:eastAsia="en-US"/>
              </w:rPr>
            </w:pPr>
          </w:p>
        </w:tc>
      </w:tr>
      <w:tr w:rsidR="00055E86" w:rsidRPr="00055E86" w:rsidTr="00055E86">
        <w:trPr>
          <w:trHeight w:val="330"/>
        </w:trPr>
        <w:tc>
          <w:tcPr>
            <w:tcW w:w="380" w:type="pct"/>
            <w:tcBorders>
              <w:top w:val="nil"/>
              <w:left w:val="nil"/>
              <w:bottom w:val="nil"/>
              <w:right w:val="nil"/>
            </w:tcBorders>
            <w:shd w:val="clear" w:color="auto" w:fill="auto"/>
            <w:noWrap/>
            <w:vAlign w:val="center"/>
            <w:hideMark/>
          </w:tcPr>
          <w:p w:rsidR="00055E86" w:rsidRPr="00055E86" w:rsidRDefault="00055E86" w:rsidP="00055E86">
            <w:pPr>
              <w:rPr>
                <w:sz w:val="14"/>
                <w:szCs w:val="20"/>
                <w:lang w:eastAsia="en-US"/>
              </w:rPr>
            </w:pPr>
          </w:p>
        </w:tc>
        <w:tc>
          <w:tcPr>
            <w:tcW w:w="1592" w:type="pct"/>
            <w:tcBorders>
              <w:top w:val="nil"/>
              <w:left w:val="nil"/>
              <w:bottom w:val="nil"/>
              <w:right w:val="nil"/>
            </w:tcBorders>
            <w:shd w:val="clear" w:color="auto" w:fill="auto"/>
            <w:noWrap/>
            <w:vAlign w:val="center"/>
            <w:hideMark/>
          </w:tcPr>
          <w:p w:rsidR="00055E86" w:rsidRPr="00055E86" w:rsidRDefault="00055E86" w:rsidP="00055E86">
            <w:pPr>
              <w:rPr>
                <w:sz w:val="14"/>
                <w:szCs w:val="20"/>
                <w:lang w:eastAsia="en-US"/>
              </w:rPr>
            </w:pPr>
          </w:p>
        </w:tc>
        <w:tc>
          <w:tcPr>
            <w:tcW w:w="341" w:type="pct"/>
            <w:tcBorders>
              <w:top w:val="nil"/>
              <w:left w:val="nil"/>
              <w:bottom w:val="nil"/>
              <w:right w:val="nil"/>
            </w:tcBorders>
            <w:shd w:val="clear" w:color="auto" w:fill="auto"/>
            <w:noWrap/>
            <w:vAlign w:val="center"/>
            <w:hideMark/>
          </w:tcPr>
          <w:p w:rsidR="00055E86" w:rsidRPr="00055E86" w:rsidRDefault="00055E86" w:rsidP="00055E86">
            <w:pPr>
              <w:rPr>
                <w:sz w:val="14"/>
                <w:szCs w:val="20"/>
                <w:lang w:eastAsia="en-US"/>
              </w:rPr>
            </w:pPr>
          </w:p>
        </w:tc>
        <w:tc>
          <w:tcPr>
            <w:tcW w:w="1168" w:type="pct"/>
            <w:tcBorders>
              <w:top w:val="single" w:sz="8" w:space="0" w:color="auto"/>
              <w:left w:val="single" w:sz="8" w:space="0" w:color="auto"/>
              <w:bottom w:val="single" w:sz="8" w:space="0" w:color="auto"/>
              <w:right w:val="nil"/>
            </w:tcBorders>
            <w:shd w:val="clear" w:color="000000" w:fill="70AD47"/>
            <w:noWrap/>
            <w:vAlign w:val="center"/>
            <w:hideMark/>
          </w:tcPr>
          <w:p w:rsidR="00055E86" w:rsidRPr="00055E86" w:rsidRDefault="00055E86" w:rsidP="00055E86">
            <w:pPr>
              <w:jc w:val="right"/>
              <w:rPr>
                <w:rFonts w:ascii="Arial" w:hAnsi="Arial" w:cs="Arial"/>
                <w:b/>
                <w:bCs/>
                <w:sz w:val="14"/>
                <w:szCs w:val="20"/>
                <w:lang w:eastAsia="en-US"/>
              </w:rPr>
            </w:pPr>
            <w:r w:rsidRPr="00055E86">
              <w:rPr>
                <w:rFonts w:ascii="Arial" w:hAnsi="Arial" w:cs="Arial"/>
                <w:b/>
                <w:bCs/>
                <w:sz w:val="14"/>
                <w:szCs w:val="20"/>
                <w:lang w:eastAsia="en-US"/>
              </w:rPr>
              <w:t>Celkem Kč včetně DPH:</w:t>
            </w:r>
          </w:p>
        </w:tc>
        <w:tc>
          <w:tcPr>
            <w:tcW w:w="1519" w:type="pct"/>
            <w:tcBorders>
              <w:top w:val="single" w:sz="8" w:space="0" w:color="auto"/>
              <w:left w:val="nil"/>
              <w:bottom w:val="single" w:sz="8" w:space="0" w:color="auto"/>
              <w:right w:val="single" w:sz="8" w:space="0" w:color="auto"/>
            </w:tcBorders>
            <w:shd w:val="clear" w:color="000000" w:fill="70AD47"/>
            <w:noWrap/>
            <w:vAlign w:val="center"/>
            <w:hideMark/>
          </w:tcPr>
          <w:p w:rsidR="00055E86" w:rsidRPr="00055E86" w:rsidRDefault="00055E86" w:rsidP="00055E86">
            <w:pPr>
              <w:rPr>
                <w:rFonts w:ascii="Arial" w:hAnsi="Arial" w:cs="Arial"/>
                <w:b/>
                <w:bCs/>
                <w:sz w:val="14"/>
                <w:lang w:eastAsia="en-US"/>
              </w:rPr>
            </w:pPr>
            <w:r w:rsidRPr="00055E86">
              <w:rPr>
                <w:rFonts w:ascii="Arial" w:hAnsi="Arial" w:cs="Arial"/>
                <w:b/>
                <w:bCs/>
                <w:sz w:val="14"/>
                <w:lang w:eastAsia="en-US"/>
              </w:rPr>
              <w:t xml:space="preserve">                                             222 207 Kč </w:t>
            </w:r>
          </w:p>
        </w:tc>
      </w:tr>
    </w:tbl>
    <w:p w:rsidR="003041EB" w:rsidRPr="00055E86" w:rsidRDefault="003041EB" w:rsidP="003041EB">
      <w:pPr>
        <w:widowControl w:val="0"/>
        <w:autoSpaceDE w:val="0"/>
        <w:autoSpaceDN w:val="0"/>
        <w:adjustRightInd w:val="0"/>
        <w:ind w:firstLine="720"/>
        <w:jc w:val="both"/>
        <w:rPr>
          <w:rFonts w:ascii="Arial" w:hAnsi="Arial" w:cs="Arial"/>
          <w:b/>
          <w:bCs/>
          <w:sz w:val="22"/>
          <w:szCs w:val="32"/>
          <w:u w:val="single"/>
        </w:rPr>
      </w:pPr>
    </w:p>
    <w:p w:rsidR="003041EB" w:rsidRDefault="003041EB" w:rsidP="003041EB">
      <w:pPr>
        <w:widowControl w:val="0"/>
        <w:autoSpaceDE w:val="0"/>
        <w:autoSpaceDN w:val="0"/>
        <w:adjustRightInd w:val="0"/>
        <w:ind w:firstLine="720"/>
        <w:jc w:val="both"/>
        <w:rPr>
          <w:rFonts w:ascii="Arial" w:hAnsi="Arial" w:cs="Arial"/>
          <w:b/>
          <w:bCs/>
          <w:sz w:val="22"/>
          <w:szCs w:val="32"/>
          <w:u w:val="single"/>
        </w:rPr>
      </w:pPr>
    </w:p>
    <w:p w:rsidR="007665C6" w:rsidRPr="00C51C65" w:rsidRDefault="007665C6" w:rsidP="003041EB">
      <w:pPr>
        <w:widowControl w:val="0"/>
        <w:autoSpaceDE w:val="0"/>
        <w:autoSpaceDN w:val="0"/>
        <w:adjustRightInd w:val="0"/>
        <w:ind w:firstLine="720"/>
        <w:jc w:val="both"/>
        <w:rPr>
          <w:rFonts w:ascii="Arial" w:hAnsi="Arial" w:cs="Arial"/>
          <w:bCs/>
          <w:sz w:val="22"/>
          <w:szCs w:val="32"/>
        </w:rPr>
      </w:pPr>
      <w:r w:rsidRPr="00C51C65">
        <w:rPr>
          <w:rFonts w:ascii="Arial" w:hAnsi="Arial" w:cs="Arial"/>
          <w:bCs/>
          <w:sz w:val="22"/>
          <w:szCs w:val="32"/>
        </w:rPr>
        <w:t xml:space="preserve">Součástí dodávky objednaného hardwaru je jeho sestavení, zahoření a instalace do serverové infrastruktury objednatele. </w:t>
      </w:r>
    </w:p>
    <w:p w:rsidR="003041EB" w:rsidRPr="00C51C65" w:rsidRDefault="007665C6" w:rsidP="003041EB">
      <w:pPr>
        <w:widowControl w:val="0"/>
        <w:autoSpaceDE w:val="0"/>
        <w:autoSpaceDN w:val="0"/>
        <w:adjustRightInd w:val="0"/>
        <w:ind w:firstLine="720"/>
        <w:jc w:val="both"/>
        <w:rPr>
          <w:rFonts w:ascii="Arial" w:hAnsi="Arial" w:cs="Arial"/>
          <w:bCs/>
          <w:sz w:val="22"/>
          <w:szCs w:val="32"/>
        </w:rPr>
      </w:pPr>
      <w:r w:rsidRPr="00C51C65">
        <w:rPr>
          <w:rFonts w:ascii="Arial" w:hAnsi="Arial" w:cs="Arial"/>
          <w:bCs/>
          <w:sz w:val="22"/>
          <w:szCs w:val="32"/>
        </w:rPr>
        <w:t xml:space="preserve">  </w:t>
      </w:r>
    </w:p>
    <w:p w:rsidR="003041EB" w:rsidRDefault="003041EB" w:rsidP="003041EB">
      <w:pPr>
        <w:widowControl w:val="0"/>
        <w:autoSpaceDE w:val="0"/>
        <w:autoSpaceDN w:val="0"/>
        <w:adjustRightInd w:val="0"/>
        <w:jc w:val="both"/>
        <w:rPr>
          <w:rFonts w:ascii="Arial" w:hAnsi="Arial" w:cs="Arial"/>
          <w:sz w:val="20"/>
          <w:szCs w:val="20"/>
        </w:rPr>
      </w:pPr>
    </w:p>
    <w:p w:rsidR="00667766" w:rsidRDefault="00C51C65" w:rsidP="00667766">
      <w:pPr>
        <w:widowControl w:val="0"/>
        <w:autoSpaceDE w:val="0"/>
        <w:autoSpaceDN w:val="0"/>
        <w:adjustRightInd w:val="0"/>
        <w:jc w:val="both"/>
        <w:rPr>
          <w:rFonts w:ascii="Arial" w:hAnsi="Arial" w:cs="Arial"/>
          <w:sz w:val="20"/>
          <w:szCs w:val="20"/>
        </w:rPr>
      </w:pPr>
      <w:r>
        <w:rPr>
          <w:rFonts w:ascii="Arial" w:hAnsi="Arial" w:cs="Arial"/>
          <w:sz w:val="20"/>
          <w:szCs w:val="20"/>
        </w:rPr>
        <w:t xml:space="preserve">V Brně dne </w:t>
      </w:r>
      <w:proofErr w:type="gramStart"/>
      <w:r w:rsidR="00055E86">
        <w:rPr>
          <w:rFonts w:ascii="Arial" w:hAnsi="Arial" w:cs="Arial"/>
          <w:sz w:val="20"/>
          <w:szCs w:val="20"/>
        </w:rPr>
        <w:t>10</w:t>
      </w:r>
      <w:r w:rsidR="00667766">
        <w:rPr>
          <w:rFonts w:ascii="Arial" w:hAnsi="Arial" w:cs="Arial"/>
          <w:sz w:val="20"/>
          <w:szCs w:val="20"/>
        </w:rPr>
        <w:t>.12.201</w:t>
      </w:r>
      <w:r w:rsidR="00055E86">
        <w:rPr>
          <w:rFonts w:ascii="Arial" w:hAnsi="Arial" w:cs="Arial"/>
          <w:sz w:val="20"/>
          <w:szCs w:val="20"/>
        </w:rPr>
        <w:t>8</w:t>
      </w:r>
      <w:proofErr w:type="gramEnd"/>
      <w:r w:rsidR="00667766">
        <w:rPr>
          <w:rFonts w:ascii="Arial" w:hAnsi="Arial" w:cs="Arial"/>
          <w:sz w:val="20"/>
          <w:szCs w:val="20"/>
        </w:rPr>
        <w:t>.</w:t>
      </w:r>
    </w:p>
    <w:p w:rsidR="00667766" w:rsidRDefault="00667766" w:rsidP="00667766">
      <w:pPr>
        <w:widowControl w:val="0"/>
        <w:autoSpaceDE w:val="0"/>
        <w:autoSpaceDN w:val="0"/>
        <w:adjustRightInd w:val="0"/>
        <w:jc w:val="both"/>
        <w:rPr>
          <w:rFonts w:ascii="Arial" w:hAnsi="Arial" w:cs="Arial"/>
          <w:sz w:val="20"/>
          <w:szCs w:val="20"/>
        </w:rPr>
      </w:pPr>
    </w:p>
    <w:p w:rsidR="00667766" w:rsidRDefault="00667766" w:rsidP="00667766">
      <w:pPr>
        <w:widowControl w:val="0"/>
        <w:autoSpaceDE w:val="0"/>
        <w:autoSpaceDN w:val="0"/>
        <w:adjustRightInd w:val="0"/>
        <w:jc w:val="both"/>
        <w:rPr>
          <w:rFonts w:ascii="Arial" w:hAnsi="Arial" w:cs="Arial"/>
          <w:sz w:val="20"/>
          <w:szCs w:val="20"/>
        </w:rPr>
      </w:pPr>
    </w:p>
    <w:p w:rsidR="00667766" w:rsidRDefault="00667766" w:rsidP="00667766">
      <w:pPr>
        <w:widowControl w:val="0"/>
        <w:autoSpaceDE w:val="0"/>
        <w:autoSpaceDN w:val="0"/>
        <w:adjustRightInd w:val="0"/>
        <w:jc w:val="both"/>
        <w:rPr>
          <w:rFonts w:ascii="Arial" w:hAnsi="Arial" w:cs="Arial"/>
          <w:sz w:val="20"/>
          <w:szCs w:val="20"/>
        </w:rPr>
      </w:pPr>
    </w:p>
    <w:p w:rsidR="00667766" w:rsidRDefault="00667766" w:rsidP="00667766">
      <w:pPr>
        <w:widowControl w:val="0"/>
        <w:autoSpaceDE w:val="0"/>
        <w:autoSpaceDN w:val="0"/>
        <w:adjustRightInd w:val="0"/>
        <w:jc w:val="both"/>
        <w:rPr>
          <w:rFonts w:ascii="Arial" w:hAnsi="Arial" w:cs="Arial"/>
          <w:sz w:val="20"/>
          <w:szCs w:val="20"/>
        </w:rPr>
      </w:pPr>
    </w:p>
    <w:p w:rsidR="00667766" w:rsidRDefault="00667766" w:rsidP="00667766">
      <w:pPr>
        <w:tabs>
          <w:tab w:val="left" w:pos="0"/>
        </w:tabs>
        <w:jc w:val="both"/>
        <w:rPr>
          <w:rFonts w:ascii="Arial" w:hAnsi="Arial" w:cs="Arial"/>
          <w:b/>
          <w:bCs/>
        </w:rPr>
      </w:pPr>
      <w:r>
        <w:rPr>
          <w:rFonts w:ascii="Arial" w:hAnsi="Arial" w:cs="Arial"/>
          <w:b/>
        </w:rPr>
        <w:t>Zhotovitel: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Objednatel.:</w:t>
      </w:r>
    </w:p>
    <w:p w:rsidR="00667766" w:rsidRDefault="00667766" w:rsidP="00667766">
      <w:pPr>
        <w:tabs>
          <w:tab w:val="left" w:pos="0"/>
        </w:tabs>
        <w:jc w:val="both"/>
        <w:rPr>
          <w:b/>
          <w:sz w:val="22"/>
        </w:rPr>
      </w:pPr>
    </w:p>
    <w:p w:rsidR="00667766" w:rsidRDefault="00667766" w:rsidP="00667766">
      <w:pPr>
        <w:tabs>
          <w:tab w:val="left" w:pos="0"/>
        </w:tabs>
        <w:jc w:val="both"/>
        <w:rPr>
          <w:b/>
          <w:sz w:val="22"/>
        </w:rPr>
      </w:pPr>
    </w:p>
    <w:p w:rsidR="00667766" w:rsidRDefault="00667766" w:rsidP="00667766">
      <w:pPr>
        <w:tabs>
          <w:tab w:val="left" w:pos="0"/>
        </w:tabs>
        <w:jc w:val="both"/>
        <w:rPr>
          <w:sz w:val="22"/>
        </w:rPr>
      </w:pPr>
    </w:p>
    <w:p w:rsidR="00667766" w:rsidRDefault="00667766" w:rsidP="00667766">
      <w:pPr>
        <w:tabs>
          <w:tab w:val="left" w:pos="0"/>
        </w:tabs>
        <w:jc w:val="both"/>
        <w:rPr>
          <w:sz w:val="22"/>
        </w:rPr>
      </w:pPr>
    </w:p>
    <w:p w:rsidR="00667766" w:rsidRDefault="00667766" w:rsidP="00667766">
      <w:pPr>
        <w:tabs>
          <w:tab w:val="left" w:pos="0"/>
        </w:tabs>
        <w:jc w:val="both"/>
        <w:rPr>
          <w:sz w:val="22"/>
        </w:rPr>
      </w:pPr>
    </w:p>
    <w:p w:rsidR="00667766" w:rsidRDefault="00667766" w:rsidP="00667766">
      <w:pPr>
        <w:tabs>
          <w:tab w:val="left" w:pos="0"/>
        </w:tabs>
        <w:jc w:val="both"/>
        <w:rPr>
          <w:sz w:val="22"/>
        </w:rPr>
      </w:pPr>
      <w:r>
        <w:rPr>
          <w:sz w:val="22"/>
        </w:rPr>
        <w:tab/>
      </w:r>
      <w:r>
        <w:rPr>
          <w:sz w:val="22"/>
        </w:rPr>
        <w:tab/>
      </w:r>
      <w:r>
        <w:rPr>
          <w:sz w:val="22"/>
        </w:rPr>
        <w:tab/>
      </w:r>
      <w:r>
        <w:rPr>
          <w:sz w:val="22"/>
        </w:rPr>
        <w:tab/>
      </w:r>
      <w:r>
        <w:rPr>
          <w:sz w:val="22"/>
        </w:rPr>
        <w:tab/>
      </w:r>
      <w:r>
        <w:rPr>
          <w:sz w:val="22"/>
        </w:rPr>
        <w:tab/>
      </w:r>
    </w:p>
    <w:p w:rsidR="00667766" w:rsidRDefault="00667766" w:rsidP="00667766">
      <w:pPr>
        <w:tabs>
          <w:tab w:val="left" w:pos="0"/>
        </w:tabs>
        <w:jc w:val="both"/>
        <w:rPr>
          <w:sz w:val="22"/>
        </w:rPr>
      </w:pPr>
      <w:r>
        <w:rPr>
          <w:sz w:val="22"/>
        </w:rPr>
        <w:t>_____________________________</w:t>
      </w:r>
      <w:r>
        <w:rPr>
          <w:sz w:val="22"/>
        </w:rPr>
        <w:tab/>
      </w:r>
      <w:r>
        <w:rPr>
          <w:sz w:val="22"/>
        </w:rPr>
        <w:tab/>
      </w:r>
      <w:r>
        <w:rPr>
          <w:sz w:val="22"/>
        </w:rPr>
        <w:tab/>
        <w:t>_____________________________</w:t>
      </w:r>
    </w:p>
    <w:p w:rsidR="00667766" w:rsidRDefault="00667766" w:rsidP="00667766">
      <w:pPr>
        <w:widowControl w:val="0"/>
        <w:autoSpaceDE w:val="0"/>
        <w:autoSpaceDN w:val="0"/>
        <w:adjustRightInd w:val="0"/>
        <w:ind w:firstLine="720"/>
        <w:jc w:val="both"/>
        <w:rPr>
          <w:rFonts w:ascii="Arial" w:hAnsi="Arial" w:cs="Arial"/>
          <w:b/>
          <w:bCs/>
          <w:sz w:val="22"/>
          <w:szCs w:val="32"/>
        </w:rPr>
      </w:pPr>
      <w:r>
        <w:rPr>
          <w:rFonts w:ascii="Arial" w:hAnsi="Arial" w:cs="Arial"/>
          <w:b/>
          <w:bCs/>
          <w:sz w:val="22"/>
          <w:szCs w:val="32"/>
        </w:rPr>
        <w:t>Ing. Petr Klabeneš</w:t>
      </w:r>
    </w:p>
    <w:p w:rsidR="00667766" w:rsidRPr="007D2638" w:rsidRDefault="00667766" w:rsidP="00667766">
      <w:pPr>
        <w:widowControl w:val="0"/>
        <w:autoSpaceDE w:val="0"/>
        <w:autoSpaceDN w:val="0"/>
        <w:adjustRightInd w:val="0"/>
        <w:ind w:firstLine="720"/>
        <w:jc w:val="both"/>
        <w:rPr>
          <w:rFonts w:ascii="Arial" w:hAnsi="Arial" w:cs="Arial"/>
          <w:bCs/>
          <w:sz w:val="22"/>
          <w:szCs w:val="32"/>
        </w:rPr>
      </w:pPr>
      <w:r w:rsidRPr="007D2638">
        <w:rPr>
          <w:rFonts w:ascii="Arial" w:hAnsi="Arial" w:cs="Arial"/>
          <w:bCs/>
          <w:sz w:val="22"/>
          <w:szCs w:val="32"/>
        </w:rPr>
        <w:t>jednatel</w:t>
      </w:r>
      <w:r w:rsidRPr="007D2638">
        <w:rPr>
          <w:rFonts w:ascii="Arial" w:hAnsi="Arial" w:cs="Arial"/>
          <w:bCs/>
          <w:sz w:val="22"/>
          <w:szCs w:val="32"/>
        </w:rPr>
        <w:tab/>
      </w:r>
      <w:r w:rsidRPr="007D2638">
        <w:rPr>
          <w:rFonts w:ascii="Arial" w:hAnsi="Arial" w:cs="Arial"/>
          <w:bCs/>
          <w:sz w:val="22"/>
          <w:szCs w:val="32"/>
        </w:rPr>
        <w:tab/>
      </w:r>
      <w:r w:rsidRPr="007D2638">
        <w:rPr>
          <w:rFonts w:ascii="Arial" w:hAnsi="Arial" w:cs="Arial"/>
          <w:bCs/>
          <w:sz w:val="22"/>
          <w:szCs w:val="32"/>
        </w:rPr>
        <w:tab/>
      </w:r>
      <w:r w:rsidRPr="007D2638">
        <w:rPr>
          <w:rFonts w:ascii="Arial" w:hAnsi="Arial" w:cs="Arial"/>
          <w:bCs/>
          <w:sz w:val="22"/>
          <w:szCs w:val="32"/>
        </w:rPr>
        <w:tab/>
      </w:r>
      <w:r w:rsidRPr="007D2638">
        <w:rPr>
          <w:rFonts w:ascii="Arial" w:hAnsi="Arial" w:cs="Arial"/>
          <w:bCs/>
          <w:sz w:val="22"/>
          <w:szCs w:val="32"/>
        </w:rPr>
        <w:tab/>
      </w:r>
    </w:p>
    <w:p w:rsidR="00667766" w:rsidRDefault="00667766" w:rsidP="00667766">
      <w:pPr>
        <w:widowControl w:val="0"/>
        <w:autoSpaceDE w:val="0"/>
        <w:autoSpaceDN w:val="0"/>
        <w:adjustRightInd w:val="0"/>
        <w:ind w:firstLine="720"/>
        <w:jc w:val="both"/>
        <w:rPr>
          <w:rFonts w:ascii="Arial" w:hAnsi="Arial" w:cs="Arial"/>
          <w:b/>
          <w:bCs/>
          <w:sz w:val="22"/>
          <w:szCs w:val="32"/>
        </w:rPr>
      </w:pPr>
    </w:p>
    <w:p w:rsidR="00667766" w:rsidRDefault="00667766" w:rsidP="00667766">
      <w:pPr>
        <w:widowControl w:val="0"/>
        <w:autoSpaceDE w:val="0"/>
        <w:autoSpaceDN w:val="0"/>
        <w:adjustRightInd w:val="0"/>
        <w:ind w:firstLine="720"/>
        <w:jc w:val="both"/>
        <w:rPr>
          <w:rFonts w:ascii="Arial" w:hAnsi="Arial" w:cs="Arial"/>
          <w:b/>
          <w:bCs/>
          <w:sz w:val="22"/>
          <w:szCs w:val="32"/>
        </w:rPr>
      </w:pPr>
    </w:p>
    <w:p w:rsidR="00B5339D" w:rsidRPr="00667766" w:rsidRDefault="00B5339D" w:rsidP="00667766">
      <w:pPr>
        <w:spacing w:after="160" w:line="259" w:lineRule="auto"/>
        <w:rPr>
          <w:rFonts w:ascii="Arial" w:hAnsi="Arial" w:cs="Arial"/>
          <w:b/>
          <w:bCs/>
          <w:sz w:val="22"/>
          <w:szCs w:val="32"/>
        </w:rPr>
      </w:pPr>
    </w:p>
    <w:sectPr w:rsidR="00B5339D" w:rsidRPr="00667766">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38" w:rsidRDefault="007D2638" w:rsidP="00AD56A8">
      <w:r>
        <w:separator/>
      </w:r>
    </w:p>
  </w:endnote>
  <w:endnote w:type="continuationSeparator" w:id="0">
    <w:p w:rsidR="007D2638" w:rsidRDefault="007D2638" w:rsidP="00AD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38" w:rsidRDefault="007D263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38" w:rsidRDefault="007D263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38" w:rsidRDefault="007D26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38" w:rsidRDefault="007D2638" w:rsidP="00AD56A8">
      <w:r>
        <w:separator/>
      </w:r>
    </w:p>
  </w:footnote>
  <w:footnote w:type="continuationSeparator" w:id="0">
    <w:p w:rsidR="007D2638" w:rsidRDefault="007D2638" w:rsidP="00AD5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38" w:rsidRDefault="007D263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38" w:rsidRDefault="007D263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38" w:rsidRDefault="007D26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123BB"/>
    <w:multiLevelType w:val="hybridMultilevel"/>
    <w:tmpl w:val="403ED61A"/>
    <w:lvl w:ilvl="0" w:tplc="5F8297F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D"/>
    <w:rsid w:val="00055E86"/>
    <w:rsid w:val="001D040F"/>
    <w:rsid w:val="003041EB"/>
    <w:rsid w:val="00512AD4"/>
    <w:rsid w:val="00524DEB"/>
    <w:rsid w:val="00667766"/>
    <w:rsid w:val="007665C6"/>
    <w:rsid w:val="007D2638"/>
    <w:rsid w:val="0085558C"/>
    <w:rsid w:val="00AD56A8"/>
    <w:rsid w:val="00B06D00"/>
    <w:rsid w:val="00B5339D"/>
    <w:rsid w:val="00C51C65"/>
    <w:rsid w:val="00C95626"/>
    <w:rsid w:val="00CC3B02"/>
    <w:rsid w:val="00D02E42"/>
    <w:rsid w:val="00E44A9C"/>
    <w:rsid w:val="00E9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1EB"/>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qFormat/>
    <w:rsid w:val="00E44A9C"/>
    <w:rPr>
      <w:b/>
      <w:bCs/>
      <w:i w:val="0"/>
      <w:iCs w:val="0"/>
    </w:rPr>
  </w:style>
  <w:style w:type="paragraph" w:styleId="Zhlav">
    <w:name w:val="header"/>
    <w:basedOn w:val="Normln"/>
    <w:link w:val="ZhlavChar"/>
    <w:uiPriority w:val="99"/>
    <w:unhideWhenUsed/>
    <w:rsid w:val="00AD56A8"/>
    <w:pPr>
      <w:tabs>
        <w:tab w:val="center" w:pos="4703"/>
        <w:tab w:val="right" w:pos="9406"/>
      </w:tabs>
    </w:pPr>
  </w:style>
  <w:style w:type="character" w:customStyle="1" w:styleId="ZhlavChar">
    <w:name w:val="Záhlaví Char"/>
    <w:basedOn w:val="Standardnpsmoodstavce"/>
    <w:link w:val="Zhlav"/>
    <w:uiPriority w:val="99"/>
    <w:rsid w:val="00AD56A8"/>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AD56A8"/>
    <w:pPr>
      <w:tabs>
        <w:tab w:val="center" w:pos="4703"/>
        <w:tab w:val="right" w:pos="9406"/>
      </w:tabs>
    </w:pPr>
  </w:style>
  <w:style w:type="character" w:customStyle="1" w:styleId="ZpatChar">
    <w:name w:val="Zápatí Char"/>
    <w:basedOn w:val="Standardnpsmoodstavce"/>
    <w:link w:val="Zpat"/>
    <w:uiPriority w:val="99"/>
    <w:rsid w:val="00AD56A8"/>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7D263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2638"/>
    <w:rPr>
      <w:rFonts w:ascii="Segoe UI" w:eastAsia="Times New Roman" w:hAnsi="Segoe UI" w:cs="Segoe UI"/>
      <w:sz w:val="18"/>
      <w:szCs w:val="18"/>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1EB"/>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qFormat/>
    <w:rsid w:val="00E44A9C"/>
    <w:rPr>
      <w:b/>
      <w:bCs/>
      <w:i w:val="0"/>
      <w:iCs w:val="0"/>
    </w:rPr>
  </w:style>
  <w:style w:type="paragraph" w:styleId="Zhlav">
    <w:name w:val="header"/>
    <w:basedOn w:val="Normln"/>
    <w:link w:val="ZhlavChar"/>
    <w:uiPriority w:val="99"/>
    <w:unhideWhenUsed/>
    <w:rsid w:val="00AD56A8"/>
    <w:pPr>
      <w:tabs>
        <w:tab w:val="center" w:pos="4703"/>
        <w:tab w:val="right" w:pos="9406"/>
      </w:tabs>
    </w:pPr>
  </w:style>
  <w:style w:type="character" w:customStyle="1" w:styleId="ZhlavChar">
    <w:name w:val="Záhlaví Char"/>
    <w:basedOn w:val="Standardnpsmoodstavce"/>
    <w:link w:val="Zhlav"/>
    <w:uiPriority w:val="99"/>
    <w:rsid w:val="00AD56A8"/>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AD56A8"/>
    <w:pPr>
      <w:tabs>
        <w:tab w:val="center" w:pos="4703"/>
        <w:tab w:val="right" w:pos="9406"/>
      </w:tabs>
    </w:pPr>
  </w:style>
  <w:style w:type="character" w:customStyle="1" w:styleId="ZpatChar">
    <w:name w:val="Zápatí Char"/>
    <w:basedOn w:val="Standardnpsmoodstavce"/>
    <w:link w:val="Zpat"/>
    <w:uiPriority w:val="99"/>
    <w:rsid w:val="00AD56A8"/>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7D263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2638"/>
    <w:rPr>
      <w:rFonts w:ascii="Segoe UI" w:eastAsia="Times New Roman"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6789">
      <w:bodyDiv w:val="1"/>
      <w:marLeft w:val="0"/>
      <w:marRight w:val="0"/>
      <w:marTop w:val="0"/>
      <w:marBottom w:val="0"/>
      <w:divBdr>
        <w:top w:val="none" w:sz="0" w:space="0" w:color="auto"/>
        <w:left w:val="none" w:sz="0" w:space="0" w:color="auto"/>
        <w:bottom w:val="none" w:sz="0" w:space="0" w:color="auto"/>
        <w:right w:val="none" w:sz="0" w:space="0" w:color="auto"/>
      </w:divBdr>
    </w:div>
    <w:div w:id="1761754217">
      <w:bodyDiv w:val="1"/>
      <w:marLeft w:val="0"/>
      <w:marRight w:val="0"/>
      <w:marTop w:val="0"/>
      <w:marBottom w:val="0"/>
      <w:divBdr>
        <w:top w:val="none" w:sz="0" w:space="0" w:color="auto"/>
        <w:left w:val="none" w:sz="0" w:space="0" w:color="auto"/>
        <w:bottom w:val="none" w:sz="0" w:space="0" w:color="auto"/>
        <w:right w:val="none" w:sz="0" w:space="0" w:color="auto"/>
      </w:divBdr>
    </w:div>
    <w:div w:id="19116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5028</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2019-01-10T14:47:00Z</dcterms:created>
  <dcterms:modified xsi:type="dcterms:W3CDTF">2019-01-10T14:47:00Z</dcterms:modified>
</cp:coreProperties>
</file>