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94" w:rsidRPr="00DA1636" w:rsidRDefault="00517B94" w:rsidP="00517B94">
      <w:pPr>
        <w:spacing w:line="300" w:lineRule="atLeast"/>
        <w:ind w:left="284"/>
        <w:rPr>
          <w:rFonts w:ascii="Arial" w:hAnsi="Arial" w:cs="Arial"/>
          <w:b/>
          <w:sz w:val="22"/>
        </w:rPr>
      </w:pPr>
      <w:bookmarkStart w:id="0" w:name="_GoBack"/>
      <w:bookmarkEnd w:id="0"/>
      <w:r w:rsidRPr="00DA1636">
        <w:rPr>
          <w:rFonts w:ascii="Arial" w:hAnsi="Arial" w:cs="Arial"/>
          <w:b/>
          <w:sz w:val="22"/>
        </w:rPr>
        <w:t>APOGEO, s.r.o.</w:t>
      </w: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se sídlem:</w:t>
      </w:r>
      <w:r w:rsidRPr="00DA1636">
        <w:rPr>
          <w:rFonts w:ascii="Arial" w:hAnsi="Arial" w:cs="Arial"/>
          <w:sz w:val="22"/>
        </w:rPr>
        <w:tab/>
      </w:r>
      <w:r>
        <w:rPr>
          <w:rFonts w:ascii="Arial" w:hAnsi="Arial" w:cs="Arial"/>
          <w:sz w:val="22"/>
        </w:rPr>
        <w:tab/>
      </w:r>
      <w:r>
        <w:rPr>
          <w:rFonts w:ascii="Arial" w:hAnsi="Arial" w:cs="Arial"/>
          <w:sz w:val="21"/>
          <w:szCs w:val="21"/>
        </w:rPr>
        <w:t>Rohanské nábřeží 671/15, Praha 8</w:t>
      </w:r>
      <w:r w:rsidRPr="009711BD">
        <w:rPr>
          <w:rFonts w:ascii="Arial" w:hAnsi="Arial" w:cs="Arial"/>
          <w:sz w:val="21"/>
          <w:szCs w:val="21"/>
        </w:rPr>
        <w:t xml:space="preserve">, </w:t>
      </w:r>
      <w:r>
        <w:rPr>
          <w:rFonts w:ascii="Arial" w:hAnsi="Arial" w:cs="Arial"/>
          <w:sz w:val="21"/>
          <w:szCs w:val="21"/>
        </w:rPr>
        <w:t>Karlín</w:t>
      </w:r>
      <w:r w:rsidRPr="009711BD">
        <w:rPr>
          <w:rFonts w:ascii="Arial" w:hAnsi="Arial" w:cs="Arial"/>
          <w:sz w:val="21"/>
          <w:szCs w:val="21"/>
        </w:rPr>
        <w:t xml:space="preserve">, PSČ: </w:t>
      </w:r>
      <w:r>
        <w:rPr>
          <w:rFonts w:ascii="Arial" w:hAnsi="Arial" w:cs="Arial"/>
          <w:sz w:val="21"/>
          <w:szCs w:val="21"/>
        </w:rPr>
        <w:t>186 00</w:t>
      </w: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IČO:</w:t>
      </w:r>
      <w:r w:rsidRPr="00DA1636">
        <w:rPr>
          <w:rFonts w:ascii="Arial" w:hAnsi="Arial" w:cs="Arial"/>
          <w:sz w:val="22"/>
        </w:rPr>
        <w:tab/>
      </w:r>
      <w:r w:rsidRPr="00DA1636">
        <w:rPr>
          <w:rFonts w:ascii="Arial" w:hAnsi="Arial" w:cs="Arial"/>
          <w:sz w:val="22"/>
        </w:rPr>
        <w:tab/>
        <w:t>276 61 237</w:t>
      </w: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DIČ:</w:t>
      </w:r>
      <w:r w:rsidRPr="00DA1636">
        <w:rPr>
          <w:rFonts w:ascii="Arial" w:hAnsi="Arial" w:cs="Arial"/>
          <w:sz w:val="22"/>
        </w:rPr>
        <w:tab/>
      </w:r>
      <w:r w:rsidRPr="00DA1636">
        <w:rPr>
          <w:rFonts w:ascii="Arial" w:hAnsi="Arial" w:cs="Arial"/>
          <w:sz w:val="22"/>
        </w:rPr>
        <w:tab/>
        <w:t>CZ27661237</w:t>
      </w:r>
    </w:p>
    <w:p w:rsidR="00EB222D" w:rsidRDefault="00517B94" w:rsidP="00517B94">
      <w:pPr>
        <w:spacing w:line="300" w:lineRule="atLeast"/>
        <w:ind w:left="284"/>
        <w:rPr>
          <w:rFonts w:ascii="Arial" w:hAnsi="Arial" w:cs="Arial"/>
          <w:sz w:val="22"/>
        </w:rPr>
      </w:pPr>
      <w:r w:rsidRPr="00DA1636">
        <w:rPr>
          <w:rFonts w:ascii="Arial" w:hAnsi="Arial" w:cs="Arial"/>
          <w:sz w:val="22"/>
        </w:rPr>
        <w:t>zapsaná v obchodním rejstříku vedeném Městským soudem v Praze, oddíl C, vložka 129943</w:t>
      </w:r>
      <w:r w:rsidR="00EB222D">
        <w:rPr>
          <w:rFonts w:ascii="Arial" w:hAnsi="Arial" w:cs="Arial"/>
          <w:sz w:val="22"/>
        </w:rPr>
        <w:t>,</w:t>
      </w:r>
    </w:p>
    <w:p w:rsidR="00517B94" w:rsidRPr="00DA1636" w:rsidRDefault="00EB222D" w:rsidP="00517B94">
      <w:pPr>
        <w:spacing w:line="300" w:lineRule="atLeast"/>
        <w:ind w:left="284"/>
        <w:rPr>
          <w:rFonts w:ascii="Arial" w:hAnsi="Arial" w:cs="Arial"/>
          <w:sz w:val="22"/>
        </w:rPr>
      </w:pPr>
      <w:r>
        <w:rPr>
          <w:rFonts w:ascii="Arial" w:hAnsi="Arial" w:cs="Arial"/>
          <w:sz w:val="22"/>
        </w:rPr>
        <w:t>zastoupená</w:t>
      </w:r>
      <w:r w:rsidR="00517B94">
        <w:rPr>
          <w:rFonts w:ascii="Arial" w:hAnsi="Arial" w:cs="Arial"/>
          <w:sz w:val="22"/>
        </w:rPr>
        <w:t xml:space="preserve"> Josef</w:t>
      </w:r>
      <w:r>
        <w:rPr>
          <w:rFonts w:ascii="Arial" w:hAnsi="Arial" w:cs="Arial"/>
          <w:sz w:val="22"/>
        </w:rPr>
        <w:t>em</w:t>
      </w:r>
      <w:r w:rsidR="00517B94">
        <w:rPr>
          <w:rFonts w:ascii="Arial" w:hAnsi="Arial" w:cs="Arial"/>
          <w:sz w:val="22"/>
        </w:rPr>
        <w:t xml:space="preserve"> Jaroš</w:t>
      </w:r>
      <w:r>
        <w:rPr>
          <w:rFonts w:ascii="Arial" w:hAnsi="Arial" w:cs="Arial"/>
          <w:sz w:val="22"/>
        </w:rPr>
        <w:t>em</w:t>
      </w:r>
      <w:r w:rsidR="00C9608A">
        <w:rPr>
          <w:rFonts w:ascii="Arial" w:hAnsi="Arial" w:cs="Arial"/>
          <w:sz w:val="22"/>
        </w:rPr>
        <w:t xml:space="preserve">, </w:t>
      </w:r>
      <w:r w:rsidR="00517B94">
        <w:rPr>
          <w:rFonts w:ascii="Arial" w:hAnsi="Arial" w:cs="Arial"/>
          <w:sz w:val="22"/>
        </w:rPr>
        <w:t>jednatel</w:t>
      </w:r>
      <w:r>
        <w:rPr>
          <w:rFonts w:ascii="Arial" w:hAnsi="Arial" w:cs="Arial"/>
          <w:sz w:val="22"/>
        </w:rPr>
        <w:t>em</w:t>
      </w:r>
    </w:p>
    <w:p w:rsidR="00517B94" w:rsidRPr="00DA1636" w:rsidRDefault="00517B94" w:rsidP="00517B94">
      <w:pPr>
        <w:spacing w:line="300" w:lineRule="atLeast"/>
        <w:ind w:left="284"/>
        <w:rPr>
          <w:rFonts w:ascii="Arial" w:hAnsi="Arial" w:cs="Arial"/>
          <w:sz w:val="22"/>
        </w:rPr>
      </w:pP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(dále jen „</w:t>
      </w:r>
      <w:r w:rsidRPr="00DA1636">
        <w:rPr>
          <w:rFonts w:ascii="Arial" w:hAnsi="Arial" w:cs="Arial"/>
          <w:b/>
          <w:sz w:val="22"/>
        </w:rPr>
        <w:t>Apogeo</w:t>
      </w:r>
      <w:r w:rsidRPr="00DA1636">
        <w:rPr>
          <w:rFonts w:ascii="Arial" w:hAnsi="Arial" w:cs="Arial"/>
          <w:sz w:val="22"/>
        </w:rPr>
        <w:t>“)</w:t>
      </w:r>
    </w:p>
    <w:p w:rsidR="00517B94" w:rsidRPr="00DA1636" w:rsidRDefault="00517B94" w:rsidP="00517B94">
      <w:pPr>
        <w:spacing w:line="300" w:lineRule="atLeast"/>
        <w:ind w:left="284"/>
        <w:rPr>
          <w:rFonts w:ascii="Arial" w:hAnsi="Arial" w:cs="Arial"/>
          <w:sz w:val="22"/>
        </w:rPr>
      </w:pP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a</w:t>
      </w:r>
    </w:p>
    <w:p w:rsidR="00517B94" w:rsidRPr="00DA1636" w:rsidRDefault="00517B94" w:rsidP="00517B94">
      <w:pPr>
        <w:spacing w:line="300" w:lineRule="atLeast"/>
        <w:ind w:left="284"/>
        <w:rPr>
          <w:rFonts w:ascii="Arial" w:hAnsi="Arial" w:cs="Arial"/>
          <w:sz w:val="22"/>
        </w:rPr>
      </w:pPr>
    </w:p>
    <w:p w:rsidR="00C9608A" w:rsidRPr="00C9608A" w:rsidRDefault="005B2F1B" w:rsidP="00517B94">
      <w:pPr>
        <w:spacing w:line="300" w:lineRule="atLeast"/>
        <w:ind w:left="284"/>
        <w:rPr>
          <w:rFonts w:ascii="Arial" w:hAnsi="Arial" w:cs="Arial"/>
          <w:b/>
          <w:sz w:val="22"/>
        </w:rPr>
      </w:pPr>
      <w:r w:rsidRPr="005B2F1B">
        <w:rPr>
          <w:rFonts w:ascii="Arial" w:hAnsi="Arial" w:cs="Arial"/>
          <w:b/>
          <w:sz w:val="22"/>
        </w:rPr>
        <w:t>Oblastní nemocnice Trutnov</w:t>
      </w:r>
      <w:r w:rsidR="00C9608A" w:rsidRPr="00C9608A">
        <w:rPr>
          <w:rFonts w:ascii="Arial" w:hAnsi="Arial" w:cs="Arial"/>
          <w:b/>
          <w:sz w:val="22"/>
        </w:rPr>
        <w:t xml:space="preserve"> a.s.</w:t>
      </w:r>
    </w:p>
    <w:p w:rsidR="00517B94" w:rsidRPr="00C9608A" w:rsidRDefault="00517B94" w:rsidP="00517B94">
      <w:pPr>
        <w:spacing w:line="300" w:lineRule="atLeast"/>
        <w:ind w:left="284"/>
        <w:rPr>
          <w:rFonts w:ascii="Arial" w:hAnsi="Arial" w:cs="Arial"/>
          <w:sz w:val="21"/>
          <w:szCs w:val="21"/>
        </w:rPr>
      </w:pPr>
      <w:r w:rsidRPr="00DA1636">
        <w:rPr>
          <w:rFonts w:ascii="Arial" w:hAnsi="Arial" w:cs="Arial"/>
          <w:sz w:val="22"/>
        </w:rPr>
        <w:t>se sídlem:</w:t>
      </w:r>
      <w:r w:rsidRPr="00DA1636">
        <w:rPr>
          <w:rFonts w:ascii="Arial" w:hAnsi="Arial" w:cs="Arial"/>
          <w:sz w:val="22"/>
        </w:rPr>
        <w:tab/>
      </w:r>
      <w:r>
        <w:rPr>
          <w:rFonts w:ascii="Arial" w:hAnsi="Arial" w:cs="Arial"/>
          <w:sz w:val="22"/>
        </w:rPr>
        <w:tab/>
      </w:r>
      <w:r w:rsidR="005B2F1B" w:rsidRPr="005B2F1B">
        <w:rPr>
          <w:rFonts w:ascii="Arial" w:hAnsi="Arial" w:cs="Arial"/>
          <w:sz w:val="21"/>
          <w:szCs w:val="21"/>
        </w:rPr>
        <w:t>Maxima Gorkého 77, Kryblice, 541 01 Trutnov</w:t>
      </w:r>
    </w:p>
    <w:p w:rsidR="00517B94" w:rsidRPr="00C9608A" w:rsidRDefault="00517B94" w:rsidP="00517B94">
      <w:pPr>
        <w:spacing w:line="300" w:lineRule="atLeast"/>
        <w:ind w:left="284"/>
        <w:rPr>
          <w:rFonts w:ascii="Arial" w:hAnsi="Arial" w:cs="Arial"/>
          <w:sz w:val="22"/>
        </w:rPr>
      </w:pPr>
      <w:r w:rsidRPr="00DA1636">
        <w:rPr>
          <w:rFonts w:ascii="Arial" w:hAnsi="Arial" w:cs="Arial"/>
          <w:sz w:val="22"/>
        </w:rPr>
        <w:t>IČO:</w:t>
      </w:r>
      <w:r w:rsidRPr="00DA1636">
        <w:rPr>
          <w:rFonts w:ascii="Arial" w:hAnsi="Arial" w:cs="Arial"/>
          <w:sz w:val="22"/>
        </w:rPr>
        <w:tab/>
      </w:r>
      <w:r w:rsidRPr="00DA1636">
        <w:rPr>
          <w:rFonts w:ascii="Arial" w:hAnsi="Arial" w:cs="Arial"/>
          <w:sz w:val="22"/>
        </w:rPr>
        <w:tab/>
      </w:r>
      <w:r w:rsidR="005B2F1B">
        <w:rPr>
          <w:rFonts w:ascii="Arial" w:hAnsi="Arial" w:cs="Arial"/>
          <w:sz w:val="22"/>
        </w:rPr>
        <w:t>260 00 237</w:t>
      </w: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DIČ:</w:t>
      </w:r>
      <w:r w:rsidRPr="00DA1636">
        <w:rPr>
          <w:rFonts w:ascii="Arial" w:hAnsi="Arial" w:cs="Arial"/>
          <w:sz w:val="22"/>
        </w:rPr>
        <w:tab/>
      </w:r>
      <w:r w:rsidRPr="00DA1636">
        <w:rPr>
          <w:rFonts w:ascii="Arial" w:hAnsi="Arial" w:cs="Arial"/>
          <w:sz w:val="22"/>
        </w:rPr>
        <w:tab/>
      </w:r>
      <w:r w:rsidRPr="00C9608A">
        <w:rPr>
          <w:rFonts w:ascii="Arial" w:hAnsi="Arial" w:cs="Arial"/>
          <w:sz w:val="22"/>
        </w:rPr>
        <w:t>CZ</w:t>
      </w:r>
      <w:r w:rsidR="005B2F1B">
        <w:rPr>
          <w:rFonts w:ascii="Arial" w:hAnsi="Arial" w:cs="Arial"/>
          <w:sz w:val="22"/>
        </w:rPr>
        <w:t>26000237</w:t>
      </w: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 xml:space="preserve">zapsaná v obchodním rejstříku vedeném </w:t>
      </w:r>
      <w:r w:rsidR="00C9608A">
        <w:rPr>
          <w:rFonts w:ascii="Arial" w:hAnsi="Arial" w:cs="Arial"/>
          <w:sz w:val="22"/>
        </w:rPr>
        <w:t xml:space="preserve">u </w:t>
      </w:r>
      <w:r w:rsidR="00C9608A" w:rsidRPr="00C9608A">
        <w:rPr>
          <w:rFonts w:ascii="Arial" w:hAnsi="Arial" w:cs="Arial"/>
          <w:sz w:val="22"/>
        </w:rPr>
        <w:t>Krajského soudu v Hradci Králové</w:t>
      </w:r>
      <w:r w:rsidRPr="00C9608A">
        <w:rPr>
          <w:rFonts w:ascii="Arial" w:hAnsi="Arial" w:cs="Arial"/>
          <w:sz w:val="22"/>
        </w:rPr>
        <w:t>, od</w:t>
      </w:r>
      <w:r w:rsidR="00C9608A" w:rsidRPr="00C9608A">
        <w:rPr>
          <w:rFonts w:ascii="Arial" w:hAnsi="Arial" w:cs="Arial"/>
          <w:sz w:val="22"/>
        </w:rPr>
        <w:t>díl B</w:t>
      </w:r>
      <w:r w:rsidRPr="00C9608A">
        <w:rPr>
          <w:rFonts w:ascii="Arial" w:hAnsi="Arial" w:cs="Arial"/>
          <w:sz w:val="22"/>
        </w:rPr>
        <w:t xml:space="preserve">, vložka </w:t>
      </w:r>
      <w:r w:rsidR="005C5E81">
        <w:rPr>
          <w:rFonts w:ascii="Arial" w:hAnsi="Arial" w:cs="Arial"/>
          <w:sz w:val="22"/>
        </w:rPr>
        <w:t>2334</w:t>
      </w:r>
      <w:r>
        <w:rPr>
          <w:rFonts w:ascii="Arial" w:hAnsi="Arial" w:cs="Arial"/>
          <w:sz w:val="22"/>
        </w:rPr>
        <w:t>,</w:t>
      </w:r>
    </w:p>
    <w:p w:rsidR="00517B94" w:rsidRPr="00C9608A" w:rsidRDefault="00517B94" w:rsidP="00517B94">
      <w:pPr>
        <w:spacing w:line="300" w:lineRule="atLeast"/>
        <w:ind w:left="284"/>
        <w:rPr>
          <w:rFonts w:ascii="Arial" w:hAnsi="Arial" w:cs="Arial"/>
          <w:sz w:val="22"/>
        </w:rPr>
      </w:pPr>
      <w:r w:rsidRPr="00DA1636">
        <w:rPr>
          <w:rFonts w:ascii="Arial" w:hAnsi="Arial" w:cs="Arial"/>
          <w:sz w:val="22"/>
        </w:rPr>
        <w:t xml:space="preserve">jejímž jménem jedná </w:t>
      </w:r>
      <w:r w:rsidR="00C9608A">
        <w:rPr>
          <w:rFonts w:ascii="Arial" w:hAnsi="Arial" w:cs="Arial"/>
          <w:sz w:val="22"/>
        </w:rPr>
        <w:t xml:space="preserve">Ing. </w:t>
      </w:r>
      <w:r w:rsidR="00C9608A" w:rsidRPr="00C9608A">
        <w:rPr>
          <w:rFonts w:ascii="Arial" w:hAnsi="Arial" w:cs="Arial"/>
          <w:sz w:val="22"/>
        </w:rPr>
        <w:t>Miroslavem Procházkou</w:t>
      </w:r>
      <w:r w:rsidR="00C9608A">
        <w:rPr>
          <w:rFonts w:ascii="Arial" w:hAnsi="Arial" w:cs="Arial"/>
          <w:sz w:val="22"/>
        </w:rPr>
        <w:t>, Ph</w:t>
      </w:r>
      <w:r w:rsidR="007B7D84">
        <w:rPr>
          <w:rFonts w:ascii="Arial" w:hAnsi="Arial" w:cs="Arial"/>
          <w:sz w:val="22"/>
        </w:rPr>
        <w:t>.</w:t>
      </w:r>
      <w:r w:rsidR="00C9608A">
        <w:rPr>
          <w:rFonts w:ascii="Arial" w:hAnsi="Arial" w:cs="Arial"/>
          <w:sz w:val="22"/>
        </w:rPr>
        <w:t>D.</w:t>
      </w:r>
      <w:r w:rsidRPr="00C9608A">
        <w:rPr>
          <w:rFonts w:ascii="Arial" w:hAnsi="Arial" w:cs="Arial"/>
          <w:sz w:val="22"/>
        </w:rPr>
        <w:t xml:space="preserve">, </w:t>
      </w:r>
      <w:r w:rsidR="00C9608A" w:rsidRPr="00C9608A">
        <w:rPr>
          <w:rFonts w:ascii="Arial" w:hAnsi="Arial" w:cs="Arial"/>
          <w:sz w:val="22"/>
        </w:rPr>
        <w:t>předsedou představenstva</w:t>
      </w:r>
    </w:p>
    <w:p w:rsidR="00517B94" w:rsidRPr="00DA1636" w:rsidRDefault="00517B94" w:rsidP="00517B94">
      <w:pPr>
        <w:spacing w:line="300" w:lineRule="atLeast"/>
        <w:ind w:left="284"/>
        <w:rPr>
          <w:rFonts w:ascii="Arial" w:hAnsi="Arial" w:cs="Arial"/>
          <w:sz w:val="22"/>
        </w:rPr>
      </w:pP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(dále jen „</w:t>
      </w:r>
      <w:r w:rsidRPr="00DA1636">
        <w:rPr>
          <w:rFonts w:ascii="Arial" w:hAnsi="Arial" w:cs="Arial"/>
          <w:b/>
          <w:sz w:val="22"/>
        </w:rPr>
        <w:t>Klient</w:t>
      </w:r>
      <w:r w:rsidRPr="00DA1636">
        <w:rPr>
          <w:rFonts w:ascii="Arial" w:hAnsi="Arial" w:cs="Arial"/>
          <w:sz w:val="22"/>
        </w:rPr>
        <w:t>“)</w:t>
      </w:r>
    </w:p>
    <w:p w:rsidR="00517B94" w:rsidRPr="00DA1636" w:rsidRDefault="00517B94" w:rsidP="00517B94">
      <w:pPr>
        <w:spacing w:line="300" w:lineRule="atLeast"/>
        <w:ind w:left="284"/>
        <w:rPr>
          <w:rFonts w:ascii="Arial" w:hAnsi="Arial" w:cs="Arial"/>
          <w:sz w:val="22"/>
        </w:rPr>
      </w:pP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 xml:space="preserve">(Apogeo a Klient společně též jako </w:t>
      </w:r>
      <w:r w:rsidRPr="00DA1636">
        <w:rPr>
          <w:rFonts w:ascii="Arial" w:hAnsi="Arial" w:cs="Arial"/>
          <w:b/>
          <w:sz w:val="22"/>
        </w:rPr>
        <w:t>„smluvní strany“</w:t>
      </w:r>
      <w:r w:rsidRPr="00DA1636">
        <w:rPr>
          <w:rFonts w:ascii="Arial" w:hAnsi="Arial" w:cs="Arial"/>
          <w:sz w:val="22"/>
        </w:rPr>
        <w:t>)</w:t>
      </w:r>
    </w:p>
    <w:p w:rsidR="00517B94" w:rsidRPr="00DA1636" w:rsidRDefault="00517B94" w:rsidP="00517B94">
      <w:pPr>
        <w:spacing w:line="300" w:lineRule="atLeast"/>
        <w:ind w:left="284"/>
        <w:rPr>
          <w:rFonts w:ascii="Arial" w:hAnsi="Arial" w:cs="Arial"/>
          <w:sz w:val="22"/>
        </w:rPr>
      </w:pPr>
    </w:p>
    <w:p w:rsidR="00517B94" w:rsidRPr="00DA1636" w:rsidRDefault="00517B94" w:rsidP="00517B94">
      <w:pPr>
        <w:spacing w:line="300" w:lineRule="atLeast"/>
        <w:ind w:left="284"/>
        <w:rPr>
          <w:rFonts w:ascii="Arial" w:hAnsi="Arial" w:cs="Arial"/>
          <w:sz w:val="22"/>
        </w:rPr>
      </w:pPr>
      <w:r w:rsidRPr="00DA1636">
        <w:rPr>
          <w:rFonts w:ascii="Arial" w:hAnsi="Arial" w:cs="Arial"/>
          <w:sz w:val="22"/>
        </w:rPr>
        <w:t>uzavírají níže uvedeného dne, měsíce a roku tuto</w:t>
      </w:r>
    </w:p>
    <w:p w:rsidR="00517B94" w:rsidRPr="00DA1636" w:rsidRDefault="00517B94" w:rsidP="00517B94">
      <w:pPr>
        <w:spacing w:line="300" w:lineRule="atLeast"/>
        <w:rPr>
          <w:rFonts w:ascii="Arial" w:hAnsi="Arial" w:cs="Arial"/>
          <w:sz w:val="22"/>
        </w:rPr>
      </w:pPr>
    </w:p>
    <w:p w:rsidR="00517B94" w:rsidRPr="00DA1636" w:rsidRDefault="00517B94" w:rsidP="00517B94">
      <w:pPr>
        <w:spacing w:line="300" w:lineRule="atLeast"/>
        <w:rPr>
          <w:rFonts w:ascii="Arial" w:hAnsi="Arial" w:cs="Arial"/>
          <w:sz w:val="22"/>
        </w:rPr>
      </w:pPr>
    </w:p>
    <w:p w:rsidR="00517B94" w:rsidRPr="00DA1636" w:rsidRDefault="00517B94" w:rsidP="00517B94">
      <w:pPr>
        <w:spacing w:line="300" w:lineRule="atLeast"/>
        <w:jc w:val="center"/>
        <w:rPr>
          <w:rFonts w:ascii="Arial" w:hAnsi="Arial" w:cs="Arial"/>
          <w:b/>
          <w:sz w:val="28"/>
          <w:szCs w:val="28"/>
        </w:rPr>
      </w:pPr>
      <w:r w:rsidRPr="00DA1636">
        <w:rPr>
          <w:rFonts w:ascii="Arial" w:hAnsi="Arial" w:cs="Arial"/>
          <w:b/>
          <w:sz w:val="28"/>
          <w:szCs w:val="28"/>
        </w:rPr>
        <w:t>SMLOUVU O POSKYTOVÁNÍ DAŇOVÉHO PORADENSTVÍ</w:t>
      </w:r>
    </w:p>
    <w:p w:rsidR="00517B94" w:rsidRPr="00DA1636" w:rsidRDefault="00517B94" w:rsidP="00517B94">
      <w:pPr>
        <w:spacing w:line="300" w:lineRule="atLeast"/>
        <w:jc w:val="center"/>
        <w:rPr>
          <w:rFonts w:ascii="Arial" w:hAnsi="Arial" w:cs="Arial"/>
          <w:sz w:val="22"/>
        </w:rPr>
      </w:pPr>
      <w:r w:rsidRPr="00DA1636">
        <w:rPr>
          <w:rFonts w:ascii="Arial" w:hAnsi="Arial" w:cs="Arial"/>
          <w:sz w:val="22"/>
        </w:rPr>
        <w:t xml:space="preserve">(dále jen </w:t>
      </w:r>
      <w:r w:rsidRPr="00DA1636">
        <w:rPr>
          <w:rFonts w:ascii="Arial" w:hAnsi="Arial" w:cs="Arial"/>
          <w:b/>
          <w:sz w:val="22"/>
        </w:rPr>
        <w:t>„Smlouva“</w:t>
      </w:r>
      <w:r w:rsidRPr="00DA1636">
        <w:rPr>
          <w:rFonts w:ascii="Arial" w:hAnsi="Arial" w:cs="Arial"/>
          <w:sz w:val="22"/>
        </w:rPr>
        <w:t>)</w:t>
      </w:r>
    </w:p>
    <w:p w:rsidR="00517B94" w:rsidRPr="00DA1636" w:rsidRDefault="00517B94" w:rsidP="00517B94">
      <w:pPr>
        <w:spacing w:line="300" w:lineRule="atLeast"/>
        <w:rPr>
          <w:rFonts w:ascii="Arial" w:hAnsi="Arial" w:cs="Arial"/>
          <w:sz w:val="22"/>
        </w:rPr>
      </w:pPr>
    </w:p>
    <w:p w:rsidR="00517B94" w:rsidRDefault="00517B94" w:rsidP="00517B94">
      <w:pPr>
        <w:spacing w:line="300" w:lineRule="atLeast"/>
        <w:rPr>
          <w:rFonts w:ascii="Arial" w:hAnsi="Arial" w:cs="Arial"/>
          <w:sz w:val="22"/>
        </w:rPr>
      </w:pPr>
    </w:p>
    <w:p w:rsidR="007B7D84" w:rsidRPr="00DA1636" w:rsidRDefault="007B7D84" w:rsidP="00517B94">
      <w:pPr>
        <w:spacing w:line="300" w:lineRule="atLeast"/>
        <w:rPr>
          <w:rFonts w:ascii="Arial" w:hAnsi="Arial" w:cs="Arial"/>
          <w:sz w:val="22"/>
        </w:rPr>
      </w:pP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lastRenderedPageBreak/>
        <w:t>Článek 1</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Definice vybraných pojmů, předmět Smlouvy</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1"/>
        </w:numPr>
        <w:spacing w:after="0" w:line="300" w:lineRule="atLeast"/>
        <w:ind w:left="641" w:hanging="357"/>
        <w:jc w:val="both"/>
        <w:rPr>
          <w:rFonts w:ascii="Arial" w:hAnsi="Arial" w:cs="Arial"/>
          <w:sz w:val="22"/>
        </w:rPr>
      </w:pPr>
      <w:r w:rsidRPr="00DA1636">
        <w:rPr>
          <w:rFonts w:ascii="Arial" w:hAnsi="Arial" w:cs="Arial"/>
          <w:b/>
          <w:sz w:val="22"/>
        </w:rPr>
        <w:t>„Apogeo“</w:t>
      </w:r>
      <w:r w:rsidRPr="00DA1636">
        <w:rPr>
          <w:rFonts w:ascii="Arial" w:hAnsi="Arial" w:cs="Arial"/>
          <w:sz w:val="22"/>
        </w:rPr>
        <w:t xml:space="preserve"> je pro účely této Smlouvy obchodní společnost APOGEO, s.r.o., která je zapsaná v seznamu poradenských společností vedeném Komorou, a mezi jejíž předměty podnikání mimo jiné patří činnost účetních poradců, vedení účetnictví a vedení daňové evidence, jakož i daňové poradenství. Společnost Apogeo vykonává Daňové poradenství dle této Smlouvy, zcela nebo zčásti, prostřednictvím, v součinnosti či za pomoci zaměstnaných či jinak smluvně spolupracujících daňových poradců zapsaných v seznamu daňových poradců vedeném Komorou, jakož i dalších osob, jež jsou k výkonu předmětných činností odborně způsobilé, přičemž všechny vpředu uvedené osoby se na poskytování Daňového poradenství Klientovi podílejí dle potřeby jménem společnosti </w:t>
      </w:r>
      <w:proofErr w:type="spellStart"/>
      <w:r w:rsidRPr="00DA1636">
        <w:rPr>
          <w:rFonts w:ascii="Arial" w:hAnsi="Arial" w:cs="Arial"/>
          <w:sz w:val="22"/>
        </w:rPr>
        <w:t>Apogeo</w:t>
      </w:r>
      <w:proofErr w:type="spellEnd"/>
      <w:r w:rsidRPr="00DA1636">
        <w:rPr>
          <w:rFonts w:ascii="Arial" w:hAnsi="Arial" w:cs="Arial"/>
          <w:sz w:val="22"/>
        </w:rPr>
        <w:t>, event. jménem svým, v odůvodněných případech je společnost Apogeo oprávněna pověřit poskytováním Daňového poradenství třetí osobu odlišnou od smluvních stran; s těmito skutečnostmi byl Klient seznámen, bere je na vědomí a podpisem této Smlouvy s nimi projevuje svůj souhlas.</w:t>
      </w:r>
    </w:p>
    <w:p w:rsidR="00A540DE" w:rsidRPr="00A540DE" w:rsidRDefault="00A540DE" w:rsidP="00A540DE">
      <w:pPr>
        <w:numPr>
          <w:ilvl w:val="0"/>
          <w:numId w:val="1"/>
        </w:numPr>
        <w:spacing w:after="0" w:line="300" w:lineRule="atLeast"/>
        <w:ind w:left="641" w:hanging="357"/>
        <w:jc w:val="both"/>
        <w:rPr>
          <w:rFonts w:ascii="Arial" w:hAnsi="Arial" w:cs="Arial"/>
          <w:sz w:val="22"/>
        </w:rPr>
      </w:pPr>
      <w:r w:rsidRPr="00A540DE">
        <w:rPr>
          <w:rFonts w:ascii="Arial" w:hAnsi="Arial" w:cs="Arial"/>
          <w:b/>
          <w:sz w:val="22"/>
        </w:rPr>
        <w:t>„Daňovým poradenstvím“</w:t>
      </w:r>
      <w:r w:rsidRPr="00915230">
        <w:rPr>
          <w:rFonts w:ascii="Arial" w:hAnsi="Arial" w:cs="Arial"/>
          <w:sz w:val="20"/>
          <w:szCs w:val="20"/>
        </w:rPr>
        <w:t xml:space="preserve"> </w:t>
      </w:r>
      <w:r w:rsidRPr="00A540DE">
        <w:rPr>
          <w:rFonts w:ascii="Arial" w:hAnsi="Arial" w:cs="Arial"/>
          <w:sz w:val="22"/>
        </w:rPr>
        <w:t>se pro účely této Smlouvy rozumí zpracování přiznání k dani z příjmů právnických za zdaňovací období 201</w:t>
      </w:r>
      <w:r w:rsidR="00C9608A">
        <w:rPr>
          <w:rFonts w:ascii="Arial" w:hAnsi="Arial" w:cs="Arial"/>
          <w:sz w:val="22"/>
        </w:rPr>
        <w:t>8</w:t>
      </w:r>
      <w:r w:rsidRPr="00A540DE">
        <w:rPr>
          <w:rFonts w:ascii="Arial" w:hAnsi="Arial" w:cs="Arial"/>
          <w:sz w:val="22"/>
        </w:rPr>
        <w:t>, jakož i veškeré s tím související a přidružené činnosti poradenské, administrativní a jiné obdobné povahy.</w:t>
      </w:r>
    </w:p>
    <w:p w:rsidR="00517B94" w:rsidRPr="009C369F" w:rsidRDefault="00A540DE" w:rsidP="00A540DE">
      <w:pPr>
        <w:numPr>
          <w:ilvl w:val="0"/>
          <w:numId w:val="1"/>
        </w:numPr>
        <w:spacing w:after="0" w:line="300" w:lineRule="atLeast"/>
        <w:ind w:left="641" w:hanging="357"/>
        <w:jc w:val="both"/>
        <w:rPr>
          <w:rFonts w:ascii="Arial" w:hAnsi="Arial" w:cs="Arial"/>
          <w:sz w:val="22"/>
        </w:rPr>
      </w:pPr>
      <w:r w:rsidRPr="009C369F">
        <w:rPr>
          <w:rFonts w:ascii="Arial" w:hAnsi="Arial" w:cs="Arial"/>
          <w:b/>
          <w:sz w:val="22"/>
        </w:rPr>
        <w:t xml:space="preserve"> </w:t>
      </w:r>
      <w:r w:rsidR="00517B94" w:rsidRPr="009C369F">
        <w:rPr>
          <w:rFonts w:ascii="Arial" w:hAnsi="Arial" w:cs="Arial"/>
          <w:b/>
          <w:sz w:val="22"/>
        </w:rPr>
        <w:t>„Komorou“</w:t>
      </w:r>
      <w:r w:rsidR="00517B94" w:rsidRPr="009C369F">
        <w:rPr>
          <w:rFonts w:ascii="Arial" w:hAnsi="Arial" w:cs="Arial"/>
          <w:sz w:val="22"/>
        </w:rPr>
        <w:t xml:space="preserve"> se pro účely této Smlouvy rozumí Komora daňových poradců České republiky.</w:t>
      </w:r>
    </w:p>
    <w:p w:rsidR="00517B94" w:rsidRPr="00DA1636" w:rsidRDefault="00517B94" w:rsidP="00517B94">
      <w:pPr>
        <w:numPr>
          <w:ilvl w:val="0"/>
          <w:numId w:val="1"/>
        </w:numPr>
        <w:spacing w:after="0" w:line="300" w:lineRule="atLeast"/>
        <w:ind w:left="641" w:hanging="357"/>
        <w:jc w:val="both"/>
        <w:rPr>
          <w:rFonts w:ascii="Arial" w:hAnsi="Arial" w:cs="Arial"/>
          <w:sz w:val="22"/>
        </w:rPr>
      </w:pPr>
      <w:r w:rsidRPr="00DA1636">
        <w:rPr>
          <w:rFonts w:ascii="Arial" w:hAnsi="Arial" w:cs="Arial"/>
          <w:b/>
          <w:sz w:val="22"/>
        </w:rPr>
        <w:t>„Odměnou“</w:t>
      </w:r>
      <w:r w:rsidRPr="00DA1636">
        <w:rPr>
          <w:rFonts w:ascii="Arial" w:hAnsi="Arial" w:cs="Arial"/>
          <w:sz w:val="22"/>
        </w:rPr>
        <w:t xml:space="preserve"> se pro účely této Smlouvy rozumí odměna společnosti Apogeo za poskytování služeb Daňového poradenství sjednaná v čl. 2 této Smlouvy; Odměna nezahrnuje Účelně vynaložené náklady.</w:t>
      </w:r>
    </w:p>
    <w:p w:rsidR="00517B94" w:rsidRPr="00DA1636" w:rsidRDefault="00517B94" w:rsidP="00517B94">
      <w:pPr>
        <w:numPr>
          <w:ilvl w:val="0"/>
          <w:numId w:val="1"/>
        </w:numPr>
        <w:spacing w:after="0" w:line="300" w:lineRule="atLeast"/>
        <w:ind w:left="641" w:hanging="357"/>
        <w:jc w:val="both"/>
        <w:rPr>
          <w:rFonts w:ascii="Arial" w:hAnsi="Arial" w:cs="Arial"/>
          <w:sz w:val="22"/>
        </w:rPr>
      </w:pPr>
      <w:r w:rsidRPr="00DA1636">
        <w:rPr>
          <w:rFonts w:ascii="Arial" w:hAnsi="Arial" w:cs="Arial"/>
          <w:b/>
          <w:sz w:val="22"/>
        </w:rPr>
        <w:t>„Skupinou APOGEO“</w:t>
      </w:r>
      <w:r w:rsidRPr="00DA1636">
        <w:rPr>
          <w:rFonts w:ascii="Arial" w:hAnsi="Arial" w:cs="Arial"/>
          <w:sz w:val="22"/>
        </w:rPr>
        <w:t xml:space="preserve"> se pro účely této Smlouvy rozumí veškeré subjekty, zejména pak fyzické a právnické osoby bez ohledu na právní řád, dle nějž jsou zřízeny a kterým se řídí, které jsou právním, faktickým, personálním, obchodním, zájmovým či jiným obdobným způsobem propojeny se společností Apogeo.</w:t>
      </w:r>
    </w:p>
    <w:p w:rsidR="00517B94" w:rsidRPr="00DA1636" w:rsidRDefault="00517B94" w:rsidP="00517B94">
      <w:pPr>
        <w:numPr>
          <w:ilvl w:val="0"/>
          <w:numId w:val="1"/>
        </w:numPr>
        <w:spacing w:after="0" w:line="300" w:lineRule="atLeast"/>
        <w:ind w:left="641" w:hanging="357"/>
        <w:jc w:val="both"/>
        <w:rPr>
          <w:rFonts w:ascii="Arial" w:hAnsi="Arial" w:cs="Arial"/>
          <w:sz w:val="22"/>
        </w:rPr>
      </w:pPr>
      <w:r w:rsidRPr="00DA1636">
        <w:rPr>
          <w:rFonts w:ascii="Arial" w:hAnsi="Arial" w:cs="Arial"/>
          <w:b/>
          <w:sz w:val="22"/>
        </w:rPr>
        <w:t>„Účelně vynaloženými náklady“</w:t>
      </w:r>
      <w:r w:rsidRPr="00DA1636">
        <w:rPr>
          <w:rFonts w:ascii="Arial" w:hAnsi="Arial" w:cs="Arial"/>
          <w:sz w:val="22"/>
        </w:rPr>
        <w:t xml:space="preserve"> se pro účely této Smlouvy rozumějí náklady, jež společnost Apogeo (sama nebo prostřednictvím spolupracujících osob, jak jsou tyto vymezeny shora v čl. 1 odst. 1) vynakládá v souvislosti s plněním dle této Smlouvy; těmito Účelně vynaloženými náklady se zejména, nikoli však výhradně, rozumějí cestovní a ubytovací náklady, náklady na obstarání překladů dokumentů, náklady na tlumočení, soudní, správní či jiné obdobné poplatky a další obdobné náklady, jež obvykle nejsou v běžném obchodním styku zahrnuty v odměně za poskytování Daňového poradenství.</w:t>
      </w:r>
    </w:p>
    <w:p w:rsidR="00517B94" w:rsidRPr="00DA1636" w:rsidRDefault="00517B94" w:rsidP="00517B94">
      <w:pPr>
        <w:numPr>
          <w:ilvl w:val="0"/>
          <w:numId w:val="1"/>
        </w:numPr>
        <w:spacing w:after="0" w:line="300" w:lineRule="atLeast"/>
        <w:ind w:left="641" w:hanging="357"/>
        <w:jc w:val="both"/>
        <w:rPr>
          <w:rFonts w:ascii="Arial" w:hAnsi="Arial" w:cs="Arial"/>
          <w:b/>
          <w:sz w:val="22"/>
        </w:rPr>
      </w:pPr>
      <w:r w:rsidRPr="00DA1636">
        <w:rPr>
          <w:rFonts w:ascii="Arial" w:hAnsi="Arial" w:cs="Arial"/>
          <w:b/>
          <w:sz w:val="22"/>
        </w:rPr>
        <w:t>Společnost Apogeo se zavazuje poskyt</w:t>
      </w:r>
      <w:r>
        <w:rPr>
          <w:rFonts w:ascii="Arial" w:hAnsi="Arial" w:cs="Arial"/>
          <w:b/>
          <w:sz w:val="22"/>
        </w:rPr>
        <w:t>nou</w:t>
      </w:r>
      <w:r w:rsidRPr="00DA1636">
        <w:rPr>
          <w:rFonts w:ascii="Arial" w:hAnsi="Arial" w:cs="Arial"/>
          <w:b/>
          <w:sz w:val="22"/>
        </w:rPr>
        <w:t>t Klientovi na základě této Smlouvy Daňové poradenství, za což je Klient povinen zaplatit společnosti Apogeo sjednanou Odměnu a Účelně vynaložené náklady.</w:t>
      </w:r>
    </w:p>
    <w:p w:rsidR="00517B94" w:rsidRPr="00DA1636" w:rsidRDefault="00517B94" w:rsidP="00517B94">
      <w:pPr>
        <w:spacing w:line="300" w:lineRule="atLeast"/>
        <w:jc w:val="center"/>
        <w:rPr>
          <w:rFonts w:ascii="Arial" w:hAnsi="Arial" w:cs="Arial"/>
          <w:b/>
          <w:sz w:val="22"/>
        </w:rPr>
      </w:pPr>
    </w:p>
    <w:p w:rsidR="00323BEF" w:rsidRDefault="00323BEF">
      <w:pPr>
        <w:spacing w:after="0"/>
        <w:rPr>
          <w:rFonts w:ascii="Arial" w:hAnsi="Arial" w:cs="Arial"/>
          <w:b/>
          <w:iCs/>
          <w:sz w:val="22"/>
          <w:lang w:eastAsia="cs-CZ"/>
        </w:rPr>
      </w:pPr>
      <w:r>
        <w:rPr>
          <w:rFonts w:ascii="Arial" w:hAnsi="Arial" w:cs="Arial"/>
          <w:i/>
          <w:iCs/>
          <w:sz w:val="22"/>
        </w:rPr>
        <w:br w:type="page"/>
      </w: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lastRenderedPageBreak/>
        <w:t>Článek 2</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Odměna, Účelně vynaložené náklady a způsob jejich úhrady</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2"/>
        </w:numPr>
        <w:spacing w:after="0" w:line="300" w:lineRule="atLeast"/>
        <w:ind w:left="641" w:hanging="357"/>
        <w:jc w:val="both"/>
        <w:rPr>
          <w:rFonts w:ascii="Arial" w:hAnsi="Arial" w:cs="Arial"/>
          <w:sz w:val="22"/>
        </w:rPr>
      </w:pPr>
      <w:r w:rsidRPr="00DA1636">
        <w:rPr>
          <w:rFonts w:ascii="Arial" w:hAnsi="Arial" w:cs="Arial"/>
          <w:sz w:val="22"/>
        </w:rPr>
        <w:t>Za poskytn</w:t>
      </w:r>
      <w:r>
        <w:rPr>
          <w:rFonts w:ascii="Arial" w:hAnsi="Arial" w:cs="Arial"/>
          <w:sz w:val="22"/>
        </w:rPr>
        <w:t>ut</w:t>
      </w:r>
      <w:r w:rsidRPr="00DA1636">
        <w:rPr>
          <w:rFonts w:ascii="Arial" w:hAnsi="Arial" w:cs="Arial"/>
          <w:sz w:val="22"/>
        </w:rPr>
        <w:t xml:space="preserve">í Daňového poradenství se Klient zavazuje </w:t>
      </w:r>
      <w:r>
        <w:rPr>
          <w:rFonts w:ascii="Arial" w:hAnsi="Arial" w:cs="Arial"/>
          <w:sz w:val="22"/>
        </w:rPr>
        <w:t>za</w:t>
      </w:r>
      <w:r w:rsidRPr="00DA1636">
        <w:rPr>
          <w:rFonts w:ascii="Arial" w:hAnsi="Arial" w:cs="Arial"/>
          <w:sz w:val="22"/>
        </w:rPr>
        <w:t xml:space="preserve">platit společnosti </w:t>
      </w:r>
      <w:proofErr w:type="spellStart"/>
      <w:r w:rsidRPr="00DA1636">
        <w:rPr>
          <w:rFonts w:ascii="Arial" w:hAnsi="Arial" w:cs="Arial"/>
          <w:sz w:val="22"/>
        </w:rPr>
        <w:t>Apogeo</w:t>
      </w:r>
      <w:proofErr w:type="spellEnd"/>
      <w:r w:rsidRPr="00DA1636">
        <w:rPr>
          <w:rFonts w:ascii="Arial" w:hAnsi="Arial" w:cs="Arial"/>
          <w:sz w:val="22"/>
        </w:rPr>
        <w:t xml:space="preserve"> Odměnu </w:t>
      </w:r>
      <w:r>
        <w:rPr>
          <w:rFonts w:ascii="Arial" w:hAnsi="Arial" w:cs="Arial"/>
          <w:sz w:val="22"/>
        </w:rPr>
        <w:t xml:space="preserve">ve </w:t>
      </w:r>
      <w:r w:rsidRPr="007B7D84">
        <w:rPr>
          <w:rFonts w:ascii="Arial" w:hAnsi="Arial" w:cs="Arial"/>
          <w:sz w:val="22"/>
        </w:rPr>
        <w:t>výši</w:t>
      </w:r>
      <w:r w:rsidR="007B7D84" w:rsidRPr="007B7D84">
        <w:rPr>
          <w:rFonts w:ascii="Arial" w:hAnsi="Arial" w:cs="Arial"/>
          <w:sz w:val="22"/>
        </w:rPr>
        <w:t xml:space="preserve"> </w:t>
      </w:r>
      <w:r w:rsidR="005C5E81">
        <w:rPr>
          <w:rFonts w:ascii="Arial" w:hAnsi="Arial" w:cs="Arial"/>
          <w:b/>
          <w:sz w:val="22"/>
        </w:rPr>
        <w:t>65.0</w:t>
      </w:r>
      <w:r w:rsidR="007B7D84" w:rsidRPr="007B7D84">
        <w:rPr>
          <w:rFonts w:ascii="Arial" w:hAnsi="Arial" w:cs="Arial"/>
          <w:b/>
          <w:sz w:val="22"/>
        </w:rPr>
        <w:t>00</w:t>
      </w:r>
      <w:r w:rsidRPr="007B7D84">
        <w:rPr>
          <w:rFonts w:ascii="Arial" w:hAnsi="Arial" w:cs="Arial"/>
          <w:b/>
          <w:sz w:val="22"/>
        </w:rPr>
        <w:t>,-</w:t>
      </w:r>
      <w:r w:rsidRPr="00EE3AD0">
        <w:rPr>
          <w:rFonts w:ascii="Arial" w:hAnsi="Arial" w:cs="Arial"/>
          <w:b/>
          <w:sz w:val="22"/>
        </w:rPr>
        <w:t xml:space="preserve"> Kč</w:t>
      </w:r>
      <w:r w:rsidR="00E42752">
        <w:rPr>
          <w:rFonts w:ascii="Arial" w:hAnsi="Arial" w:cs="Arial"/>
          <w:b/>
          <w:sz w:val="22"/>
        </w:rPr>
        <w:t xml:space="preserve"> </w:t>
      </w:r>
      <w:r w:rsidR="00E42752">
        <w:rPr>
          <w:rFonts w:ascii="Arial" w:hAnsi="Arial" w:cs="Arial"/>
          <w:sz w:val="22"/>
        </w:rPr>
        <w:t>bez DPH</w:t>
      </w:r>
      <w:r w:rsidRPr="00DA1636">
        <w:rPr>
          <w:rFonts w:ascii="Arial" w:hAnsi="Arial" w:cs="Arial"/>
          <w:sz w:val="22"/>
        </w:rPr>
        <w:t>.</w:t>
      </w:r>
    </w:p>
    <w:p w:rsidR="00517B94" w:rsidRPr="00DA1636" w:rsidRDefault="00517B94" w:rsidP="00517B94">
      <w:pPr>
        <w:numPr>
          <w:ilvl w:val="0"/>
          <w:numId w:val="2"/>
        </w:numPr>
        <w:spacing w:after="0" w:line="300" w:lineRule="atLeast"/>
        <w:ind w:left="641" w:hanging="357"/>
        <w:jc w:val="both"/>
        <w:rPr>
          <w:rFonts w:ascii="Arial" w:hAnsi="Arial" w:cs="Arial"/>
          <w:sz w:val="22"/>
        </w:rPr>
      </w:pPr>
      <w:r w:rsidRPr="00DA1636">
        <w:rPr>
          <w:rFonts w:ascii="Arial" w:hAnsi="Arial" w:cs="Arial"/>
          <w:sz w:val="22"/>
        </w:rPr>
        <w:t>Společnost Apogeo je oprávněna požadovat po Klientovi úhradu přiměřené zálohy na Odměnu a Účelně vynaložené náklady.</w:t>
      </w:r>
    </w:p>
    <w:p w:rsidR="00517B94" w:rsidRPr="007851B2" w:rsidRDefault="00517B94" w:rsidP="00517B94">
      <w:pPr>
        <w:numPr>
          <w:ilvl w:val="0"/>
          <w:numId w:val="2"/>
        </w:numPr>
        <w:spacing w:after="0" w:line="300" w:lineRule="atLeast"/>
        <w:ind w:left="641" w:hanging="357"/>
        <w:jc w:val="both"/>
        <w:rPr>
          <w:rFonts w:ascii="Arial" w:hAnsi="Arial" w:cs="Arial"/>
          <w:sz w:val="22"/>
        </w:rPr>
      </w:pPr>
      <w:r w:rsidRPr="007851B2">
        <w:rPr>
          <w:rFonts w:ascii="Arial" w:hAnsi="Arial" w:cs="Arial"/>
          <w:sz w:val="22"/>
        </w:rPr>
        <w:t>Není-li mezi smluvními stranami dohodnuto jinak, učiní společnost Apogeo vyúčtování Odměny a Účelně vynaložených nákladů. Odměna a Účelně vynaložené náklady jsou splatné na základě daňov</w:t>
      </w:r>
      <w:r>
        <w:rPr>
          <w:rFonts w:ascii="Arial" w:hAnsi="Arial" w:cs="Arial"/>
          <w:sz w:val="22"/>
        </w:rPr>
        <w:t>ého</w:t>
      </w:r>
      <w:r w:rsidRPr="007851B2">
        <w:rPr>
          <w:rFonts w:ascii="Arial" w:hAnsi="Arial" w:cs="Arial"/>
          <w:sz w:val="22"/>
        </w:rPr>
        <w:t xml:space="preserve"> doklad</w:t>
      </w:r>
      <w:r>
        <w:rPr>
          <w:rFonts w:ascii="Arial" w:hAnsi="Arial" w:cs="Arial"/>
          <w:sz w:val="22"/>
        </w:rPr>
        <w:t>u</w:t>
      </w:r>
      <w:r w:rsidRPr="007851B2">
        <w:rPr>
          <w:rFonts w:ascii="Arial" w:hAnsi="Arial" w:cs="Arial"/>
          <w:sz w:val="22"/>
        </w:rPr>
        <w:t xml:space="preserve"> (faktur</w:t>
      </w:r>
      <w:r>
        <w:rPr>
          <w:rFonts w:ascii="Arial" w:hAnsi="Arial" w:cs="Arial"/>
          <w:sz w:val="22"/>
        </w:rPr>
        <w:t>y</w:t>
      </w:r>
      <w:r w:rsidRPr="007851B2">
        <w:rPr>
          <w:rFonts w:ascii="Arial" w:hAnsi="Arial" w:cs="Arial"/>
          <w:sz w:val="22"/>
        </w:rPr>
        <w:t>) vystaven</w:t>
      </w:r>
      <w:r>
        <w:rPr>
          <w:rFonts w:ascii="Arial" w:hAnsi="Arial" w:cs="Arial"/>
          <w:sz w:val="22"/>
        </w:rPr>
        <w:t>ého</w:t>
      </w:r>
      <w:r w:rsidRPr="007851B2">
        <w:rPr>
          <w:rFonts w:ascii="Arial" w:hAnsi="Arial" w:cs="Arial"/>
          <w:sz w:val="22"/>
        </w:rPr>
        <w:t xml:space="preserve"> společností Apogeo a splatn</w:t>
      </w:r>
      <w:r>
        <w:rPr>
          <w:rFonts w:ascii="Arial" w:hAnsi="Arial" w:cs="Arial"/>
          <w:sz w:val="22"/>
        </w:rPr>
        <w:t>ého</w:t>
      </w:r>
      <w:r w:rsidRPr="007851B2">
        <w:rPr>
          <w:rFonts w:ascii="Arial" w:hAnsi="Arial" w:cs="Arial"/>
          <w:sz w:val="22"/>
        </w:rPr>
        <w:t>, nebude-li dohodnuto nebo na daňovém dokladu výslovně uvedeno jinak, do 15 dnů ode dne jeh</w:t>
      </w:r>
      <w:r>
        <w:rPr>
          <w:rFonts w:ascii="Arial" w:hAnsi="Arial" w:cs="Arial"/>
          <w:sz w:val="22"/>
        </w:rPr>
        <w:t>o</w:t>
      </w:r>
      <w:r w:rsidRPr="007851B2">
        <w:rPr>
          <w:rFonts w:ascii="Arial" w:hAnsi="Arial" w:cs="Arial"/>
          <w:sz w:val="22"/>
        </w:rPr>
        <w:t xml:space="preserve"> vystavení.</w:t>
      </w:r>
    </w:p>
    <w:p w:rsidR="00517B94" w:rsidRPr="007B7D84" w:rsidRDefault="00517B94" w:rsidP="00517B94">
      <w:pPr>
        <w:numPr>
          <w:ilvl w:val="0"/>
          <w:numId w:val="2"/>
        </w:numPr>
        <w:spacing w:after="0" w:line="300" w:lineRule="atLeast"/>
        <w:ind w:left="641" w:hanging="357"/>
        <w:jc w:val="both"/>
        <w:rPr>
          <w:rFonts w:ascii="Arial" w:hAnsi="Arial" w:cs="Arial"/>
          <w:sz w:val="22"/>
        </w:rPr>
      </w:pPr>
      <w:r w:rsidRPr="007504C1">
        <w:rPr>
          <w:rFonts w:ascii="Arial" w:hAnsi="Arial" w:cs="Arial"/>
          <w:sz w:val="22"/>
        </w:rPr>
        <w:t>Odměna i Účelně vynaložené náklady představují základ daně z přidané hodnoty. Při vystav</w:t>
      </w:r>
      <w:r>
        <w:rPr>
          <w:rFonts w:ascii="Arial" w:hAnsi="Arial" w:cs="Arial"/>
          <w:sz w:val="22"/>
        </w:rPr>
        <w:t>e</w:t>
      </w:r>
      <w:r w:rsidRPr="007504C1">
        <w:rPr>
          <w:rFonts w:ascii="Arial" w:hAnsi="Arial" w:cs="Arial"/>
          <w:sz w:val="22"/>
        </w:rPr>
        <w:t>ní daňov</w:t>
      </w:r>
      <w:r>
        <w:rPr>
          <w:rFonts w:ascii="Arial" w:hAnsi="Arial" w:cs="Arial"/>
          <w:sz w:val="22"/>
        </w:rPr>
        <w:t>é</w:t>
      </w:r>
      <w:r w:rsidRPr="007504C1">
        <w:rPr>
          <w:rFonts w:ascii="Arial" w:hAnsi="Arial" w:cs="Arial"/>
          <w:sz w:val="22"/>
        </w:rPr>
        <w:t>h</w:t>
      </w:r>
      <w:r>
        <w:rPr>
          <w:rFonts w:ascii="Arial" w:hAnsi="Arial" w:cs="Arial"/>
          <w:sz w:val="22"/>
        </w:rPr>
        <w:t>o</w:t>
      </w:r>
      <w:r w:rsidRPr="007504C1">
        <w:rPr>
          <w:rFonts w:ascii="Arial" w:hAnsi="Arial" w:cs="Arial"/>
          <w:sz w:val="22"/>
        </w:rPr>
        <w:t xml:space="preserve"> doklad</w:t>
      </w:r>
      <w:r>
        <w:rPr>
          <w:rFonts w:ascii="Arial" w:hAnsi="Arial" w:cs="Arial"/>
          <w:sz w:val="22"/>
        </w:rPr>
        <w:t>u</w:t>
      </w:r>
      <w:r w:rsidRPr="007504C1">
        <w:rPr>
          <w:rFonts w:ascii="Arial" w:hAnsi="Arial" w:cs="Arial"/>
          <w:sz w:val="22"/>
        </w:rPr>
        <w:t xml:space="preserve"> (fakturaci) budou fakturovaná Odměna i Účelně vynaložené náklady zvýšeny o daň z přidané hodnoty v sazbě dle právních předpisů </w:t>
      </w:r>
      <w:r w:rsidRPr="007B7D84">
        <w:rPr>
          <w:rFonts w:ascii="Arial" w:hAnsi="Arial" w:cs="Arial"/>
          <w:sz w:val="22"/>
        </w:rPr>
        <w:t>platných a účinných ke dni uskutečnění zdanitelného plnění.</w:t>
      </w:r>
    </w:p>
    <w:p w:rsidR="00517B94" w:rsidRPr="007B7D84" w:rsidRDefault="00517B94" w:rsidP="00517B94">
      <w:pPr>
        <w:numPr>
          <w:ilvl w:val="0"/>
          <w:numId w:val="2"/>
        </w:numPr>
        <w:spacing w:after="0" w:line="300" w:lineRule="atLeast"/>
        <w:ind w:left="641" w:hanging="357"/>
        <w:jc w:val="both"/>
        <w:rPr>
          <w:rFonts w:ascii="Arial" w:hAnsi="Arial" w:cs="Arial"/>
          <w:sz w:val="22"/>
        </w:rPr>
      </w:pPr>
      <w:r w:rsidRPr="007B7D84">
        <w:rPr>
          <w:rFonts w:ascii="Arial" w:hAnsi="Arial" w:cs="Arial"/>
          <w:sz w:val="22"/>
        </w:rPr>
        <w:t>Dojde</w:t>
      </w:r>
      <w:r w:rsidRPr="00DA1636">
        <w:rPr>
          <w:rFonts w:ascii="Arial" w:hAnsi="Arial" w:cs="Arial"/>
          <w:sz w:val="22"/>
        </w:rPr>
        <w:t xml:space="preserve">-li mezi smluvními stranami k ukončení závazkového právního vztahu založeného touto Smlouvou, ať již z jakéhokoli důvodu, není tím dotčen nárok společnosti Apogeo na Odměnu a Účelně vynaložené náklady, jež do okamžiku takového ukončení vznikly. Společnost Apogeo vede, bez ohledu na konkrétně sjednanou formu Odměny, evidenci hodin odpracovaných jednotlivými osobami při poskytování Daňového poradenství pro Klienta. Dojde-li z jakéhokoli důvodu k ukončení účinnosti Smlouvy či Objednávky před jejich splněním, má společnost Apogeo nárok požadovat po Klientovi úhradu všech Účelně vynaložených nákladů, a dále Odměny ve výši odpovídající násobku hodin odpracovaných společností Apogeo při plnění Smlouvy nebo </w:t>
      </w:r>
      <w:r w:rsidRPr="007B7D84">
        <w:rPr>
          <w:rFonts w:ascii="Arial" w:hAnsi="Arial" w:cs="Arial"/>
          <w:sz w:val="22"/>
        </w:rPr>
        <w:t xml:space="preserve">Objednávky </w:t>
      </w:r>
      <w:r w:rsidR="007B7D84" w:rsidRPr="007B7D84">
        <w:rPr>
          <w:rFonts w:ascii="Arial" w:hAnsi="Arial" w:cs="Arial"/>
          <w:sz w:val="22"/>
        </w:rPr>
        <w:t xml:space="preserve">a </w:t>
      </w:r>
      <w:r w:rsidRPr="007B7D84">
        <w:rPr>
          <w:rFonts w:ascii="Arial" w:hAnsi="Arial" w:cs="Arial"/>
          <w:sz w:val="22"/>
        </w:rPr>
        <w:t>hodinové sazby ve výši stanovené pro jednotlivé osoby, které se na poskytování Daňového poradenství podílejí; hodinové sazby ve smyslu tohoto odstavce jsou stanoveny následovně:</w:t>
      </w:r>
    </w:p>
    <w:p w:rsidR="00517B94" w:rsidRPr="007B7D84" w:rsidRDefault="00517B94" w:rsidP="00517B94">
      <w:pPr>
        <w:numPr>
          <w:ilvl w:val="1"/>
          <w:numId w:val="2"/>
        </w:numPr>
        <w:spacing w:after="0" w:line="300" w:lineRule="atLeast"/>
        <w:jc w:val="both"/>
        <w:rPr>
          <w:rFonts w:ascii="Arial" w:hAnsi="Arial" w:cs="Arial"/>
          <w:sz w:val="22"/>
        </w:rPr>
      </w:pPr>
      <w:r w:rsidRPr="007B7D84">
        <w:rPr>
          <w:rFonts w:ascii="Arial" w:hAnsi="Arial" w:cs="Arial"/>
          <w:sz w:val="22"/>
        </w:rPr>
        <w:t>junior konzultant</w:t>
      </w:r>
      <w:r w:rsidRPr="007B7D84">
        <w:rPr>
          <w:rFonts w:ascii="Arial" w:hAnsi="Arial" w:cs="Arial"/>
          <w:sz w:val="22"/>
        </w:rPr>
        <w:tab/>
        <w:t>1.500,- Kč/hod.;</w:t>
      </w:r>
    </w:p>
    <w:p w:rsidR="00517B94" w:rsidRPr="007B7D84" w:rsidRDefault="00517B94" w:rsidP="00517B94">
      <w:pPr>
        <w:numPr>
          <w:ilvl w:val="1"/>
          <w:numId w:val="2"/>
        </w:numPr>
        <w:spacing w:after="0" w:line="300" w:lineRule="atLeast"/>
        <w:jc w:val="both"/>
        <w:rPr>
          <w:rFonts w:ascii="Arial" w:hAnsi="Arial" w:cs="Arial"/>
          <w:sz w:val="22"/>
        </w:rPr>
      </w:pPr>
      <w:r w:rsidRPr="007B7D84">
        <w:rPr>
          <w:rFonts w:ascii="Arial" w:hAnsi="Arial" w:cs="Arial"/>
          <w:sz w:val="22"/>
        </w:rPr>
        <w:t>senior konzultant</w:t>
      </w:r>
      <w:r w:rsidRPr="007B7D84">
        <w:rPr>
          <w:rFonts w:ascii="Arial" w:hAnsi="Arial" w:cs="Arial"/>
          <w:sz w:val="22"/>
        </w:rPr>
        <w:tab/>
        <w:t>2.200,- Kč/hod.;</w:t>
      </w:r>
    </w:p>
    <w:p w:rsidR="00517B94" w:rsidRPr="007B7D84" w:rsidRDefault="00517B94" w:rsidP="00517B94">
      <w:pPr>
        <w:numPr>
          <w:ilvl w:val="1"/>
          <w:numId w:val="2"/>
        </w:numPr>
        <w:spacing w:after="0" w:line="300" w:lineRule="atLeast"/>
        <w:jc w:val="both"/>
        <w:rPr>
          <w:rFonts w:ascii="Arial" w:hAnsi="Arial" w:cs="Arial"/>
          <w:sz w:val="22"/>
        </w:rPr>
      </w:pPr>
      <w:r w:rsidRPr="007B7D84">
        <w:rPr>
          <w:rFonts w:ascii="Arial" w:hAnsi="Arial" w:cs="Arial"/>
          <w:sz w:val="22"/>
        </w:rPr>
        <w:t>manažer</w:t>
      </w:r>
      <w:r w:rsidRPr="007B7D84">
        <w:rPr>
          <w:rFonts w:ascii="Arial" w:hAnsi="Arial" w:cs="Arial"/>
          <w:sz w:val="22"/>
        </w:rPr>
        <w:tab/>
      </w:r>
      <w:r w:rsidRPr="007B7D84">
        <w:rPr>
          <w:rFonts w:ascii="Arial" w:hAnsi="Arial" w:cs="Arial"/>
          <w:sz w:val="22"/>
        </w:rPr>
        <w:tab/>
        <w:t>2.900,- Kč/hod.</w:t>
      </w:r>
    </w:p>
    <w:p w:rsidR="00517B94" w:rsidRPr="00DA1636" w:rsidRDefault="00517B94" w:rsidP="00517B94">
      <w:pPr>
        <w:spacing w:line="300" w:lineRule="atLeast"/>
        <w:ind w:left="641"/>
        <w:jc w:val="both"/>
        <w:rPr>
          <w:rFonts w:ascii="Arial" w:hAnsi="Arial" w:cs="Arial"/>
          <w:sz w:val="22"/>
        </w:rPr>
      </w:pPr>
      <w:r>
        <w:rPr>
          <w:rFonts w:ascii="Arial" w:hAnsi="Arial" w:cs="Arial"/>
          <w:sz w:val="22"/>
        </w:rPr>
        <w:t xml:space="preserve">Odměnu dle tohoto odstavce je společnost Apogeo oprávněna účtovat a Klient je povinen uhradit </w:t>
      </w:r>
      <w:r w:rsidRPr="00DA1636">
        <w:rPr>
          <w:rFonts w:ascii="Arial" w:hAnsi="Arial" w:cs="Arial"/>
          <w:sz w:val="22"/>
        </w:rPr>
        <w:t>až do výše celkové Odměny</w:t>
      </w:r>
      <w:r>
        <w:rPr>
          <w:rFonts w:ascii="Arial" w:hAnsi="Arial" w:cs="Arial"/>
          <w:sz w:val="22"/>
        </w:rPr>
        <w:t xml:space="preserve"> </w:t>
      </w:r>
      <w:r w:rsidRPr="00DA1636">
        <w:rPr>
          <w:rFonts w:ascii="Arial" w:hAnsi="Arial" w:cs="Arial"/>
          <w:sz w:val="22"/>
        </w:rPr>
        <w:t>sjednané</w:t>
      </w:r>
      <w:r>
        <w:rPr>
          <w:rFonts w:ascii="Arial" w:hAnsi="Arial" w:cs="Arial"/>
          <w:sz w:val="22"/>
        </w:rPr>
        <w:t xml:space="preserve"> shora v čl. 2 odst. 1 Smlouvy</w:t>
      </w:r>
      <w:r w:rsidRPr="00DA1636">
        <w:rPr>
          <w:rFonts w:ascii="Arial" w:hAnsi="Arial" w:cs="Arial"/>
          <w:sz w:val="22"/>
        </w:rPr>
        <w:t>.</w:t>
      </w:r>
    </w:p>
    <w:p w:rsidR="00517B94" w:rsidRPr="00DA1636" w:rsidRDefault="00517B94" w:rsidP="00517B94">
      <w:pPr>
        <w:numPr>
          <w:ilvl w:val="0"/>
          <w:numId w:val="2"/>
        </w:numPr>
        <w:spacing w:after="0" w:line="300" w:lineRule="atLeast"/>
        <w:ind w:left="641" w:hanging="357"/>
        <w:jc w:val="both"/>
        <w:rPr>
          <w:rFonts w:ascii="Arial" w:hAnsi="Arial" w:cs="Arial"/>
          <w:sz w:val="22"/>
        </w:rPr>
      </w:pPr>
      <w:r w:rsidRPr="00DA1636">
        <w:rPr>
          <w:rFonts w:ascii="Arial" w:hAnsi="Arial" w:cs="Arial"/>
          <w:sz w:val="22"/>
        </w:rPr>
        <w:t>Dostane-li se Klient s úhradou jakéhokoli svého závazku vůči společnosti Apogeo do prodlení, je povinen zaplatit společnosti Apogeo úrok z prodlení ve výši 0,1 % z celkové dlužné částky za každý den prodlení až do úplného zaplacen</w:t>
      </w:r>
      <w:r>
        <w:rPr>
          <w:rFonts w:ascii="Arial" w:hAnsi="Arial" w:cs="Arial"/>
          <w:sz w:val="22"/>
        </w:rPr>
        <w:t>í</w:t>
      </w:r>
      <w:r w:rsidRPr="00DA1636">
        <w:rPr>
          <w:rFonts w:ascii="Arial" w:hAnsi="Arial" w:cs="Arial"/>
          <w:sz w:val="22"/>
        </w:rPr>
        <w:t>; případné nároky na náhradu škody nejsou úhradou úroku z prodlení dotčeny.</w:t>
      </w:r>
    </w:p>
    <w:p w:rsidR="00517B94" w:rsidRPr="00DA1636" w:rsidRDefault="00517B94" w:rsidP="00517B94">
      <w:pPr>
        <w:spacing w:line="300" w:lineRule="atLeast"/>
        <w:jc w:val="both"/>
        <w:rPr>
          <w:rFonts w:ascii="Arial" w:hAnsi="Arial" w:cs="Arial"/>
          <w:sz w:val="22"/>
          <w:highlight w:val="magenta"/>
        </w:rPr>
      </w:pPr>
    </w:p>
    <w:p w:rsidR="00323BEF" w:rsidRDefault="00323BEF">
      <w:pPr>
        <w:spacing w:after="0"/>
        <w:rPr>
          <w:rFonts w:ascii="Arial" w:hAnsi="Arial" w:cs="Arial"/>
          <w:b/>
          <w:iCs/>
          <w:sz w:val="22"/>
          <w:lang w:eastAsia="cs-CZ"/>
        </w:rPr>
      </w:pPr>
      <w:r>
        <w:rPr>
          <w:rFonts w:ascii="Arial" w:hAnsi="Arial" w:cs="Arial"/>
          <w:i/>
          <w:iCs/>
          <w:sz w:val="22"/>
        </w:rPr>
        <w:br w:type="page"/>
      </w: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lastRenderedPageBreak/>
        <w:t>Článek 3</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Práva a povinnosti smluvních stran</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4"/>
        </w:numPr>
        <w:spacing w:after="0" w:line="300" w:lineRule="atLeast"/>
        <w:jc w:val="both"/>
        <w:rPr>
          <w:rFonts w:ascii="Arial" w:hAnsi="Arial" w:cs="Arial"/>
          <w:sz w:val="22"/>
        </w:rPr>
      </w:pPr>
      <w:r w:rsidRPr="00DA1636">
        <w:rPr>
          <w:rFonts w:ascii="Arial" w:hAnsi="Arial" w:cs="Arial"/>
          <w:sz w:val="22"/>
        </w:rPr>
        <w:t>Společnost Apogeo poskytuje Daňové poradenství dle této Smlouvy podle svého přesvědčení v nejlepším zájmu Klienta, čestně, svědomitě a nezávisle respektujíc obecně závazné právní předpisy, jakož i stavovské předpisy vydané Komorou.</w:t>
      </w:r>
    </w:p>
    <w:p w:rsidR="00517B94" w:rsidRPr="00DA1636" w:rsidRDefault="00517B94" w:rsidP="00517B94">
      <w:pPr>
        <w:numPr>
          <w:ilvl w:val="0"/>
          <w:numId w:val="4"/>
        </w:numPr>
        <w:spacing w:after="0" w:line="300" w:lineRule="atLeast"/>
        <w:jc w:val="both"/>
        <w:rPr>
          <w:rFonts w:ascii="Arial" w:hAnsi="Arial" w:cs="Arial"/>
          <w:sz w:val="22"/>
        </w:rPr>
      </w:pPr>
      <w:r w:rsidRPr="00DA1636">
        <w:rPr>
          <w:rFonts w:ascii="Arial" w:hAnsi="Arial" w:cs="Arial"/>
          <w:sz w:val="22"/>
        </w:rPr>
        <w:t>Klient se zavazuje v souvislosti s plněním dle této Smlouvy poskytovat společnosti Apogeo bez zbytečného odkladu veškerou požadovanou součinnost, tedy zejména řádně a včas sdělovat všechny rozhodné skutečnosti a informace, předávat či zpřístupnit veškerou listinnou či v jiné formě vedenou dokumentaci, a to v její úplné, formálně i věcně správné, platné a pravdivé podobě, jakož i udělit společnosti Apogeo k její žádosti příslušnou plnou moc. O dobu prodlení Klienta s poskytnutím součinnosti se prodlužují termíny sjednané a stanovené pro poskytnutí plnění ze strany společnosti Apogeo. Odmítne-li Klient poskytnout společnosti Apogeo požadovanou součinnost, anebo neposkytne-li ji řádně ani k dodatečné výzvě, je společnost Apogeo oprávněna od této Smlouvy</w:t>
      </w:r>
      <w:r>
        <w:rPr>
          <w:rFonts w:ascii="Arial" w:hAnsi="Arial" w:cs="Arial"/>
          <w:sz w:val="22"/>
        </w:rPr>
        <w:t xml:space="preserve"> odstoupit</w:t>
      </w:r>
      <w:r w:rsidRPr="00DA1636">
        <w:rPr>
          <w:rFonts w:ascii="Arial" w:hAnsi="Arial" w:cs="Arial"/>
          <w:sz w:val="22"/>
        </w:rPr>
        <w:t>. Společnost Apogeo neodpovídá za jakoukoli škodu vzniklou Klientovi či třetí osobě proto, že Klient neposkytl součinnost řádně a včas, tedy zejména dle ustanovení této Smlouvy či dalších požadavků a pokynů společnosti Apogeo.</w:t>
      </w:r>
    </w:p>
    <w:p w:rsidR="00517B94" w:rsidRPr="00DA1636" w:rsidRDefault="00517B94" w:rsidP="00517B94">
      <w:pPr>
        <w:numPr>
          <w:ilvl w:val="0"/>
          <w:numId w:val="4"/>
        </w:numPr>
        <w:spacing w:after="0" w:line="300" w:lineRule="atLeast"/>
        <w:jc w:val="both"/>
        <w:rPr>
          <w:rFonts w:ascii="Arial" w:hAnsi="Arial" w:cs="Arial"/>
          <w:sz w:val="22"/>
        </w:rPr>
      </w:pPr>
      <w:r w:rsidRPr="00DA1636">
        <w:rPr>
          <w:rFonts w:ascii="Arial" w:hAnsi="Arial" w:cs="Arial"/>
          <w:sz w:val="22"/>
        </w:rPr>
        <w:t xml:space="preserve">Společnost Apogeo je oprávněna upozornit Klienta na nevhodnost jeho pokynu či požadavku, anebo na jeho rozpor s obecně závaznými právními předpisy, stavovskými předpisy Komory nebo s dobrými mravy. V případě, že Klient na takovém pokynu či požadavku trvá, je společnost Apogeo oprávněna od této Smlouvy </w:t>
      </w:r>
      <w:r w:rsidRPr="00BF48E7">
        <w:rPr>
          <w:rFonts w:ascii="Arial" w:hAnsi="Arial" w:cs="Arial"/>
          <w:sz w:val="22"/>
        </w:rPr>
        <w:t>s okamžitou účinností</w:t>
      </w:r>
      <w:r w:rsidRPr="00DA1636">
        <w:rPr>
          <w:rFonts w:ascii="Arial" w:hAnsi="Arial" w:cs="Arial"/>
          <w:sz w:val="22"/>
        </w:rPr>
        <w:t xml:space="preserve"> odstoupit.</w:t>
      </w:r>
    </w:p>
    <w:p w:rsidR="00517B94" w:rsidRPr="00DA1636" w:rsidRDefault="00517B94" w:rsidP="00517B94">
      <w:pPr>
        <w:numPr>
          <w:ilvl w:val="0"/>
          <w:numId w:val="4"/>
        </w:numPr>
        <w:spacing w:after="0" w:line="300" w:lineRule="atLeast"/>
        <w:ind w:left="641" w:hanging="357"/>
        <w:jc w:val="both"/>
        <w:rPr>
          <w:rFonts w:ascii="Arial" w:hAnsi="Arial" w:cs="Arial"/>
          <w:sz w:val="22"/>
        </w:rPr>
      </w:pPr>
      <w:r w:rsidRPr="00DA1636">
        <w:rPr>
          <w:rFonts w:ascii="Arial" w:hAnsi="Arial" w:cs="Arial"/>
          <w:sz w:val="22"/>
        </w:rPr>
        <w:t>Po skončení poskytování Daňového poradenství předá společnost Apogeo Klientovi veškeré podklady, které od Klienta v této souvislosti obdržela, nebo které v této souvislosti sama nebo v součinnosti se třetími osobami opatřila, pokud takové podklady společnost Apogeo k plnění dle této Smlouvy dále nepotřebuje, a pokud takové podklady nebyly v rámci poskytování Daňového poradenství spotřebovány, lze-li zároveň takové předání podkladů vzhledem k jejich povaze po společnosti Apogeo spravedlivě požadovat; to platí obdobně i v případě ukončení účinnosti této Smlouvy před jej</w:t>
      </w:r>
      <w:r>
        <w:rPr>
          <w:rFonts w:ascii="Arial" w:hAnsi="Arial" w:cs="Arial"/>
          <w:sz w:val="22"/>
        </w:rPr>
        <w:t>ím</w:t>
      </w:r>
      <w:r w:rsidRPr="00DA1636">
        <w:rPr>
          <w:rFonts w:ascii="Arial" w:hAnsi="Arial" w:cs="Arial"/>
          <w:sz w:val="22"/>
        </w:rPr>
        <w:t xml:space="preserve"> splněním.</w:t>
      </w:r>
      <w:r>
        <w:rPr>
          <w:rFonts w:ascii="Arial" w:hAnsi="Arial" w:cs="Arial"/>
          <w:sz w:val="22"/>
        </w:rPr>
        <w:t xml:space="preserve"> Společnost Apogeo je oprávněna pořizovat si kopie a jiné obdobné výstupy (např. listinnou podobu elektronického podkladu) z podkladů, jež jí byly předány či jež si opatřila při plnění dle této Smlouvy.</w:t>
      </w:r>
    </w:p>
    <w:p w:rsidR="00517B94" w:rsidRPr="007504C1" w:rsidRDefault="00517B94" w:rsidP="00517B94">
      <w:pPr>
        <w:numPr>
          <w:ilvl w:val="0"/>
          <w:numId w:val="4"/>
        </w:numPr>
        <w:spacing w:after="0" w:line="300" w:lineRule="atLeast"/>
        <w:ind w:left="641" w:hanging="357"/>
        <w:jc w:val="both"/>
        <w:rPr>
          <w:rFonts w:ascii="Arial" w:hAnsi="Arial" w:cs="Arial"/>
          <w:sz w:val="22"/>
        </w:rPr>
      </w:pPr>
      <w:r>
        <w:rPr>
          <w:rFonts w:ascii="Arial" w:hAnsi="Arial" w:cs="Arial"/>
          <w:sz w:val="22"/>
        </w:rPr>
        <w:t>Po dobu 15 dnů ode dne, kdy společnost Apogeo učiní vůči Klientovi projev vůle, na jehož základě dojde k ukončení účinnosti této Smlouvy, je společnost Apogeo povinna učinit v mezích plnění dle této Smlouvy všechny neodkladné úkony, pokud Klient neučinil jiné opatření.</w:t>
      </w:r>
    </w:p>
    <w:p w:rsidR="00517B94" w:rsidRPr="00DA1636" w:rsidRDefault="00517B94" w:rsidP="00517B94">
      <w:pPr>
        <w:spacing w:line="300" w:lineRule="atLeast"/>
        <w:rPr>
          <w:rFonts w:ascii="Arial" w:hAnsi="Arial" w:cs="Arial"/>
          <w:sz w:val="22"/>
        </w:rPr>
      </w:pPr>
    </w:p>
    <w:p w:rsidR="00323BEF" w:rsidRDefault="00323BEF">
      <w:pPr>
        <w:spacing w:after="0"/>
        <w:rPr>
          <w:rFonts w:ascii="Arial" w:hAnsi="Arial" w:cs="Arial"/>
          <w:b/>
          <w:iCs/>
          <w:sz w:val="22"/>
          <w:lang w:eastAsia="cs-CZ"/>
        </w:rPr>
      </w:pPr>
      <w:r>
        <w:rPr>
          <w:rFonts w:ascii="Arial" w:hAnsi="Arial" w:cs="Arial"/>
          <w:i/>
          <w:iCs/>
          <w:sz w:val="22"/>
        </w:rPr>
        <w:br w:type="page"/>
      </w: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t>Článek 4</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Ostatní ustanovení</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Není-li mezi smluvními stranami výslovně dohodnuto jinak, nezahrnuje Daňové poradenství poskytování právních služeb, jakož ani služeb účetního, ekonomického, organizačního či zahraničního daňového poradenství; ukáže-li se poskytnutí těchto služeb pro účely Smlouvy vhodným či nezbytným, bude povaha, rozsah, odměna a další podmínky jejich poskytnutí předmětem samostatného ujednání.</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Tato Smlouva nijak neomezuj</w:t>
      </w:r>
      <w:r>
        <w:rPr>
          <w:rFonts w:ascii="Arial" w:hAnsi="Arial" w:cs="Arial"/>
          <w:sz w:val="22"/>
        </w:rPr>
        <w:t>e</w:t>
      </w:r>
      <w:r w:rsidRPr="00DA1636">
        <w:rPr>
          <w:rFonts w:ascii="Arial" w:hAnsi="Arial" w:cs="Arial"/>
          <w:sz w:val="22"/>
        </w:rPr>
        <w:t xml:space="preserve"> společnost Apogeo v poskytování shodného plnění osobám, jež jsou ve vztahu ke Klientovi v soutěžním či jiném obdobném postavení.</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Není-li výslovně dohodnuto jinak, stanoviska, závěry a jiné obdobné výstupy společnosti Apogeo v rámci poskytování Daňového poradenství vycházejí ze skutkového a právního stavu k okamžiku jejich zpracování nebo k okamžiku výslovně sjednanému. Společnost Apogeo neodpovídá za správnost a použitelnost jakýchkoli svých stanovisek, závěrů a jiných obdobných výstupů v případě změn východisek takových výstupů a stavu, jenž nastal poté, co společnost Apogeo tyto výstupy zpracovala.</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Klient prohlašuje, že zpracovává-li a předává-li v souvislosti s plněním dle této Smlouvy jakékoli osobní údaje třetích osob, činí tak v souladu s relevantními obecně závaznými předpisy, zejména pak v souladu se zákonem č. 101/2000 Sb., o ochraně osobních údajů a o změně některých zákonů, ve znění pozdějších změn a doplňků; společnost Apogeo neodpovídá za jakoukoli škodu vzniklou v důsledku nepravdivosti takového prohlášení.</w:t>
      </w:r>
    </w:p>
    <w:p w:rsidR="00517B94" w:rsidRPr="00DA1636" w:rsidRDefault="00EB222D" w:rsidP="00517B94">
      <w:pPr>
        <w:numPr>
          <w:ilvl w:val="0"/>
          <w:numId w:val="5"/>
        </w:numPr>
        <w:spacing w:after="0" w:line="300" w:lineRule="atLeast"/>
        <w:jc w:val="both"/>
        <w:rPr>
          <w:rFonts w:ascii="Arial" w:hAnsi="Arial" w:cs="Arial"/>
          <w:sz w:val="22"/>
        </w:rPr>
      </w:pPr>
      <w:r w:rsidRPr="001176E0">
        <w:rPr>
          <w:rFonts w:ascii="Arial" w:hAnsi="Arial" w:cs="Arial"/>
          <w:sz w:val="22"/>
        </w:rPr>
        <w:t xml:space="preserve">Společnost Apogeo prohlašuje, </w:t>
      </w:r>
      <w:r>
        <w:rPr>
          <w:rFonts w:ascii="Arial" w:hAnsi="Arial" w:cs="Arial"/>
          <w:sz w:val="22"/>
        </w:rPr>
        <w:t>že má sjednáno pojištění profesní odpovědnost za škodu s limitem pojist</w:t>
      </w:r>
      <w:r w:rsidR="00323BEF">
        <w:rPr>
          <w:rFonts w:ascii="Arial" w:hAnsi="Arial" w:cs="Arial"/>
          <w:sz w:val="22"/>
        </w:rPr>
        <w:t>ného plnění až do celkové výše 5</w:t>
      </w:r>
      <w:r>
        <w:rPr>
          <w:rFonts w:ascii="Arial" w:hAnsi="Arial" w:cs="Arial"/>
          <w:sz w:val="22"/>
        </w:rPr>
        <w:t>0.000.000,- Kč vztahující se na poskytování Poradenství dle této Smlouvy</w:t>
      </w:r>
      <w:r w:rsidR="00517B94" w:rsidRPr="00DA1636">
        <w:rPr>
          <w:rFonts w:ascii="Arial" w:hAnsi="Arial" w:cs="Arial"/>
          <w:sz w:val="22"/>
        </w:rPr>
        <w:t>. Uplatní-li Klient vůči společnosti Apogeo jakýkoli nárok na náhradu škody, je povinen bez zbytečného odkladu poskytovat společnosti Apogeo veškerou požadovanou součinnosti v rámci řízení o pojistné události.</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Společnost Apogeo neodpovídá za jakoukoli škodu v případě, že:</w:t>
      </w:r>
    </w:p>
    <w:p w:rsidR="00517B94" w:rsidRPr="00DA1636" w:rsidRDefault="00517B94" w:rsidP="00517B94">
      <w:pPr>
        <w:numPr>
          <w:ilvl w:val="1"/>
          <w:numId w:val="5"/>
        </w:numPr>
        <w:spacing w:after="0" w:line="300" w:lineRule="atLeast"/>
        <w:jc w:val="both"/>
        <w:rPr>
          <w:rFonts w:ascii="Arial" w:hAnsi="Arial" w:cs="Arial"/>
          <w:sz w:val="22"/>
        </w:rPr>
      </w:pPr>
      <w:r w:rsidRPr="000F5061">
        <w:rPr>
          <w:rFonts w:ascii="Arial" w:hAnsi="Arial" w:cs="Arial"/>
          <w:sz w:val="22"/>
        </w:rPr>
        <w:t>jakýkoli jí zpracovaný výstup je použit odlišně či v rozporu s touto Smlouvou</w:t>
      </w:r>
      <w:r w:rsidRPr="00DA1636">
        <w:rPr>
          <w:rFonts w:ascii="Arial" w:hAnsi="Arial" w:cs="Arial"/>
          <w:sz w:val="22"/>
        </w:rPr>
        <w:t>,</w:t>
      </w:r>
      <w:r>
        <w:rPr>
          <w:rFonts w:ascii="Arial" w:hAnsi="Arial" w:cs="Arial"/>
          <w:sz w:val="22"/>
        </w:rPr>
        <w:t xml:space="preserve"> </w:t>
      </w:r>
      <w:r w:rsidRPr="00DA1636">
        <w:rPr>
          <w:rFonts w:ascii="Arial" w:hAnsi="Arial" w:cs="Arial"/>
          <w:sz w:val="22"/>
        </w:rPr>
        <w:t>pokynem či doporučením společnosti Apogeo, a to ať již Klientem, nebo třetí osobou;</w:t>
      </w:r>
    </w:p>
    <w:p w:rsidR="00517B94" w:rsidRPr="00DA1636" w:rsidRDefault="00517B94" w:rsidP="00517B94">
      <w:pPr>
        <w:numPr>
          <w:ilvl w:val="1"/>
          <w:numId w:val="5"/>
        </w:numPr>
        <w:spacing w:after="0" w:line="300" w:lineRule="atLeast"/>
        <w:jc w:val="both"/>
        <w:rPr>
          <w:rFonts w:ascii="Arial" w:hAnsi="Arial" w:cs="Arial"/>
          <w:sz w:val="22"/>
        </w:rPr>
      </w:pPr>
      <w:r w:rsidRPr="00DA1636">
        <w:rPr>
          <w:rFonts w:ascii="Arial" w:hAnsi="Arial" w:cs="Arial"/>
          <w:sz w:val="22"/>
        </w:rPr>
        <w:t>se Klient nebo třetí osoba odchýlí od postupu, pokynu či doporučení společnosti Apogeo;</w:t>
      </w:r>
    </w:p>
    <w:p w:rsidR="00517B94" w:rsidRPr="00DA1636" w:rsidRDefault="00517B94" w:rsidP="00517B94">
      <w:pPr>
        <w:numPr>
          <w:ilvl w:val="1"/>
          <w:numId w:val="5"/>
        </w:numPr>
        <w:spacing w:after="0" w:line="300" w:lineRule="atLeast"/>
        <w:jc w:val="both"/>
        <w:rPr>
          <w:rFonts w:ascii="Arial" w:hAnsi="Arial" w:cs="Arial"/>
          <w:sz w:val="22"/>
        </w:rPr>
      </w:pPr>
      <w:r w:rsidRPr="00DA1636">
        <w:rPr>
          <w:rFonts w:ascii="Arial" w:hAnsi="Arial" w:cs="Arial"/>
          <w:sz w:val="22"/>
        </w:rPr>
        <w:t>neupozorní Klienta na potenciální či reálnou škodu nebo hrozící škodu, nemá-li veškeré relevantní podklady a informace k tomu, aby mohla závěry o škodě či hrozící škodě učinit;</w:t>
      </w:r>
    </w:p>
    <w:p w:rsidR="00517B94" w:rsidRPr="00DA1636" w:rsidRDefault="00517B94" w:rsidP="00517B94">
      <w:pPr>
        <w:numPr>
          <w:ilvl w:val="1"/>
          <w:numId w:val="5"/>
        </w:numPr>
        <w:spacing w:after="0" w:line="300" w:lineRule="atLeast"/>
        <w:jc w:val="both"/>
        <w:rPr>
          <w:rFonts w:ascii="Arial" w:hAnsi="Arial" w:cs="Arial"/>
          <w:sz w:val="22"/>
        </w:rPr>
      </w:pPr>
      <w:r w:rsidRPr="00DA1636">
        <w:rPr>
          <w:rFonts w:ascii="Arial" w:hAnsi="Arial" w:cs="Arial"/>
          <w:sz w:val="22"/>
        </w:rPr>
        <w:t>škoda vznikne nebo její rozsah se zvětšuje v důsledku změny relevantních právních či jiných předpisů nebo jejich všeobecně přijímaných interpretací, pokud společnost Apogeo nemohla tyto změny rozumně předvídat, anebo pokud společnost Apogeo Klienta na tyto případné následky upozorní;</w:t>
      </w:r>
    </w:p>
    <w:p w:rsidR="00517B94" w:rsidRPr="00DA1636" w:rsidRDefault="00517B94" w:rsidP="00517B94">
      <w:pPr>
        <w:numPr>
          <w:ilvl w:val="1"/>
          <w:numId w:val="5"/>
        </w:numPr>
        <w:spacing w:after="0" w:line="300" w:lineRule="atLeast"/>
        <w:jc w:val="both"/>
        <w:rPr>
          <w:rFonts w:ascii="Arial" w:hAnsi="Arial" w:cs="Arial"/>
          <w:sz w:val="22"/>
        </w:rPr>
      </w:pPr>
      <w:r w:rsidRPr="00DA1636">
        <w:rPr>
          <w:rFonts w:ascii="Arial" w:hAnsi="Arial" w:cs="Arial"/>
          <w:sz w:val="22"/>
        </w:rPr>
        <w:t>škoda vznikne nebo její rozsah se zvětšuje v důsledku jednání Klienta či třetích osob, které je v rozporu s obecně závaznými právními předpisy, anebo s jinými předpisy a normami, jež lze aplikovat na předmět plnění při poskytování Daňového poradenství.</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V případě hrozby či vzniku škody je Klient povinen o takové skutečnosti bez zbytečného odkladu vyrozumět společnost Apogeo a poskytnout jí veškerou součinnost k jejímu předejití, zabránění či omezení rozsahu škody; v opačném případě společnost Apogeo neodpovídá za škodu vzniklou, ať již z jakéhokoli důvodu, od okamžiku, kdy se Klient o hrozbě či vzniku škody mohl a měl dozvědět. Pro vyloučení pochybností se hrozící či vzniklou škodou ve smyslu tohoto ustanovení rozumí rovněž, nikoli však výlučně, jakékoli soudní, správní, daňové či jiné obdobné řízení, v němž může být Klientovi uložena jakákoli povinnost.</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Společnost Apogeo není odpovědná za plnění zákonných či smluvních povinností Klienta.</w:t>
      </w:r>
    </w:p>
    <w:p w:rsidR="00517B94" w:rsidRPr="00DA1636" w:rsidRDefault="00517B94" w:rsidP="00517B94">
      <w:pPr>
        <w:numPr>
          <w:ilvl w:val="0"/>
          <w:numId w:val="5"/>
        </w:numPr>
        <w:spacing w:after="0" w:line="300" w:lineRule="atLeast"/>
        <w:jc w:val="both"/>
        <w:rPr>
          <w:rFonts w:ascii="Arial" w:hAnsi="Arial" w:cs="Arial"/>
          <w:sz w:val="22"/>
        </w:rPr>
      </w:pPr>
      <w:r w:rsidRPr="00DA1636">
        <w:rPr>
          <w:rFonts w:ascii="Arial" w:hAnsi="Arial" w:cs="Arial"/>
          <w:sz w:val="22"/>
        </w:rPr>
        <w:t xml:space="preserve">Klient bere na vědomí, že veškeré původní výstupy, především stanoviska a odborná vyjádření zpracovaná společností Apogeo na základě </w:t>
      </w:r>
      <w:r>
        <w:rPr>
          <w:rFonts w:ascii="Arial" w:hAnsi="Arial" w:cs="Arial"/>
          <w:sz w:val="22"/>
        </w:rPr>
        <w:t xml:space="preserve">této </w:t>
      </w:r>
      <w:r w:rsidRPr="00DA1636">
        <w:rPr>
          <w:rFonts w:ascii="Arial" w:hAnsi="Arial" w:cs="Arial"/>
          <w:sz w:val="22"/>
        </w:rPr>
        <w:t>Smlouvy jsou jako dílo předmětem ochrany práva autorského. Ve smyslu zákona č. 121/2000 Sb., o právu autorském, o právech souvisejících s právem autorským a o změně některých zákonů (autorský zákon), ve znění pozdějších změn a doplňků, zůstávají tyto původní výstupy majetkem společnosti Apogeo, přičemž Klient je po zaplacení Odměny a Účelně vynaložených nákladů oprávněn tyto výstupy použí</w:t>
      </w:r>
      <w:r>
        <w:rPr>
          <w:rFonts w:ascii="Arial" w:hAnsi="Arial" w:cs="Arial"/>
          <w:sz w:val="22"/>
        </w:rPr>
        <w:t>t pouze k účelu vyplývajícímu z této</w:t>
      </w:r>
      <w:r w:rsidRPr="00DA1636">
        <w:rPr>
          <w:rFonts w:ascii="Arial" w:hAnsi="Arial" w:cs="Arial"/>
          <w:sz w:val="22"/>
        </w:rPr>
        <w:t xml:space="preserve"> Smlouvy. Užít dílo dle tohoto odstavce či poskytnout licenci třetí osobě je Klient oprávněn pouze s předchozím souhlasem společnosti Apogeo a na základě zvláštní licenční smlouvy.</w:t>
      </w:r>
    </w:p>
    <w:p w:rsidR="00517B94" w:rsidRPr="00DA1636" w:rsidRDefault="00517B94" w:rsidP="00517B94">
      <w:pPr>
        <w:spacing w:line="300" w:lineRule="atLeast"/>
        <w:rPr>
          <w:rFonts w:ascii="Arial" w:hAnsi="Arial" w:cs="Arial"/>
          <w:sz w:val="22"/>
        </w:rPr>
      </w:pP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t>Článek 5</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Mlčenlivost</w:t>
      </w:r>
    </w:p>
    <w:p w:rsidR="00517B94" w:rsidRPr="00DA1636" w:rsidRDefault="00517B94" w:rsidP="00517B94">
      <w:pPr>
        <w:spacing w:line="300" w:lineRule="atLeast"/>
        <w:rPr>
          <w:rFonts w:ascii="Arial" w:hAnsi="Arial" w:cs="Arial"/>
          <w:sz w:val="22"/>
        </w:rPr>
      </w:pPr>
    </w:p>
    <w:p w:rsidR="00517B94" w:rsidRPr="00DA1636" w:rsidRDefault="00517B94" w:rsidP="00517B94">
      <w:pPr>
        <w:numPr>
          <w:ilvl w:val="0"/>
          <w:numId w:val="6"/>
        </w:numPr>
        <w:spacing w:after="0" w:line="300" w:lineRule="atLeast"/>
        <w:jc w:val="both"/>
        <w:rPr>
          <w:rFonts w:ascii="Arial" w:hAnsi="Arial" w:cs="Arial"/>
          <w:sz w:val="22"/>
        </w:rPr>
      </w:pPr>
      <w:r w:rsidRPr="00DA1636">
        <w:rPr>
          <w:rFonts w:ascii="Arial" w:hAnsi="Arial" w:cs="Arial"/>
          <w:sz w:val="22"/>
        </w:rPr>
        <w:t>Žádná ze smluvních stran není oprávněna bez předchozího písemného souhlasu druhé smluvní strany zveřejnit, sdělit či zpřístupnit třetí osobě cokoli o druhé smluvní straně, o obsahu této Smlouvy, jakož i jakýchkoli listin či dat v souvislosti s touto Smlouvou předanými či zpřístupněnými; to se nevztahuje na informace všeobecně známé ani na informace, jež o sobě sama publikuje některá ze smluvních stran. Tato povinnost mlčenlivosti trvá i po ukončení trvání (účinnosti) této Smlouvy. Porušením této povinnosti mlčenlivosti není poskytnutí informací při plnění povinností vyplývajících ze zákona</w:t>
      </w:r>
      <w:r>
        <w:rPr>
          <w:rFonts w:ascii="Arial" w:hAnsi="Arial" w:cs="Arial"/>
          <w:sz w:val="22"/>
        </w:rPr>
        <w:t xml:space="preserve"> či</w:t>
      </w:r>
      <w:r w:rsidRPr="00DA1636">
        <w:rPr>
          <w:rFonts w:ascii="Arial" w:hAnsi="Arial" w:cs="Arial"/>
          <w:sz w:val="22"/>
        </w:rPr>
        <w:t xml:space="preserve"> z této Smlouvy, </w:t>
      </w:r>
      <w:r>
        <w:rPr>
          <w:rFonts w:ascii="Arial" w:hAnsi="Arial" w:cs="Arial"/>
          <w:sz w:val="22"/>
        </w:rPr>
        <w:t>a</w:t>
      </w:r>
      <w:r w:rsidRPr="00DA1636">
        <w:rPr>
          <w:rFonts w:ascii="Arial" w:hAnsi="Arial" w:cs="Arial"/>
          <w:sz w:val="22"/>
        </w:rPr>
        <w:t>nebo poskytnutí informací soudu nebo rozhodčímu soudu při uplatnění jakýchkoli nároků a práv z této Smlouvy, poskytnutí informací pojišťovnám v rámci řízení o pojistné události, poskytnutí informací právním, účetním, ekonomickým či jiným poradcům, je-li to pro poskytování plnění společností Apogeo dle této Smlouvy účelné, anebo poskytnutí informací právním zástupcům smluvních stran, přičemž žádná ze smluvních stran není bez předchozího písemného souhlasu druhé smluvní strany oprávněna v jakékoli souvislosti s obsahem této Smlouvy své právní zástupce nebo jakéhokoli poradce zprostit povinnosti mlčenlivosti. Zákonná povinnost mlčenlivosti společnosti Apogeo ve smyslu § 6 zákona č. 523/1992 Sb., o daňovém poradenství a Komoře daňových poradců České republiky, ve znění pozdějších změn a doplňků, tím není dotčena.</w:t>
      </w:r>
    </w:p>
    <w:p w:rsidR="00517B94" w:rsidRPr="00DA1636" w:rsidRDefault="00517B94" w:rsidP="00517B94">
      <w:pPr>
        <w:numPr>
          <w:ilvl w:val="0"/>
          <w:numId w:val="6"/>
        </w:numPr>
        <w:spacing w:after="0" w:line="300" w:lineRule="atLeast"/>
        <w:jc w:val="both"/>
        <w:rPr>
          <w:rFonts w:ascii="Arial" w:hAnsi="Arial" w:cs="Arial"/>
          <w:sz w:val="22"/>
        </w:rPr>
      </w:pPr>
      <w:r w:rsidRPr="00DA1636">
        <w:rPr>
          <w:rFonts w:ascii="Arial" w:hAnsi="Arial" w:cs="Arial"/>
          <w:sz w:val="22"/>
        </w:rPr>
        <w:t xml:space="preserve">Ustanovením čl. 5 odst. 1. Smlouvy není jakkoli dotčeno právo společnosti Apogeo </w:t>
      </w:r>
      <w:r>
        <w:rPr>
          <w:rFonts w:ascii="Arial" w:hAnsi="Arial" w:cs="Arial"/>
          <w:sz w:val="22"/>
        </w:rPr>
        <w:t xml:space="preserve">a subjektů v rámci Skupiny APOGEO </w:t>
      </w:r>
      <w:r w:rsidRPr="00DA1636">
        <w:rPr>
          <w:rFonts w:ascii="Arial" w:hAnsi="Arial" w:cs="Arial"/>
          <w:sz w:val="22"/>
        </w:rPr>
        <w:t xml:space="preserve">dle čl. 7 odst. </w:t>
      </w:r>
      <w:r>
        <w:rPr>
          <w:rFonts w:ascii="Arial" w:hAnsi="Arial" w:cs="Arial"/>
          <w:sz w:val="22"/>
        </w:rPr>
        <w:t>5 a 6</w:t>
      </w:r>
      <w:r w:rsidRPr="00DA1636">
        <w:rPr>
          <w:rFonts w:ascii="Arial" w:hAnsi="Arial" w:cs="Arial"/>
          <w:sz w:val="22"/>
        </w:rPr>
        <w:t xml:space="preserve"> této Smlouvy.</w:t>
      </w:r>
    </w:p>
    <w:p w:rsidR="00517B94" w:rsidRPr="00DA1636" w:rsidRDefault="00517B94" w:rsidP="00517B94">
      <w:pPr>
        <w:numPr>
          <w:ilvl w:val="0"/>
          <w:numId w:val="6"/>
        </w:numPr>
        <w:spacing w:after="0" w:line="300" w:lineRule="atLeast"/>
        <w:jc w:val="both"/>
        <w:rPr>
          <w:rFonts w:ascii="Arial" w:hAnsi="Arial" w:cs="Arial"/>
          <w:sz w:val="22"/>
        </w:rPr>
      </w:pPr>
      <w:r w:rsidRPr="00DA1636">
        <w:rPr>
          <w:rFonts w:ascii="Arial" w:hAnsi="Arial" w:cs="Arial"/>
          <w:sz w:val="22"/>
        </w:rPr>
        <w:t>Ustanovení čl. 5 Smlouvy o povinnost mlčenlivosti převzaté společností Apogeo se neužijí ve vztahu k subjektům v rámci Skupiny APOGEO</w:t>
      </w:r>
      <w:r w:rsidRPr="008964B8">
        <w:rPr>
          <w:rFonts w:ascii="Arial" w:hAnsi="Arial" w:cs="Arial"/>
          <w:sz w:val="22"/>
        </w:rPr>
        <w:t>, je-li to pro poskytování plnění společnosti Apogeo dle této Smlouvy a konkrétní Objednávky účelné či z hlediska plnění zákonné povinnosti nezbytné; v tomto rozsahu Klient s</w:t>
      </w:r>
      <w:r>
        <w:rPr>
          <w:rFonts w:ascii="Arial" w:hAnsi="Arial" w:cs="Arial"/>
          <w:sz w:val="22"/>
        </w:rPr>
        <w:t>polečnost Apogeo povinnosti mlčenlivosti zprošťuje.</w:t>
      </w:r>
    </w:p>
    <w:p w:rsidR="00517B94" w:rsidRDefault="00517B94" w:rsidP="00517B94">
      <w:pPr>
        <w:spacing w:line="300" w:lineRule="atLeast"/>
        <w:ind w:left="644"/>
        <w:jc w:val="both"/>
        <w:rPr>
          <w:rFonts w:ascii="Arial" w:hAnsi="Arial" w:cs="Arial"/>
          <w:sz w:val="22"/>
        </w:rPr>
      </w:pPr>
    </w:p>
    <w:p w:rsidR="00517B94" w:rsidRPr="00DA1636" w:rsidRDefault="00517B94" w:rsidP="00517B94">
      <w:pPr>
        <w:spacing w:line="300" w:lineRule="atLeast"/>
        <w:ind w:left="644"/>
        <w:jc w:val="both"/>
        <w:rPr>
          <w:rFonts w:ascii="Arial" w:hAnsi="Arial" w:cs="Arial"/>
          <w:sz w:val="22"/>
        </w:rPr>
      </w:pP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t>Článek 6</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Doba trvání (účinnosti) Smlouvy a způsoby jejího ukončení</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3"/>
        </w:numPr>
        <w:spacing w:after="0" w:line="300" w:lineRule="atLeast"/>
        <w:jc w:val="both"/>
        <w:rPr>
          <w:rFonts w:ascii="Arial" w:hAnsi="Arial" w:cs="Arial"/>
          <w:sz w:val="22"/>
        </w:rPr>
      </w:pPr>
      <w:r w:rsidRPr="00DA1636">
        <w:rPr>
          <w:rFonts w:ascii="Arial" w:hAnsi="Arial" w:cs="Arial"/>
          <w:sz w:val="22"/>
        </w:rPr>
        <w:t xml:space="preserve">Tato Smlouva se uzavírá na dobu určitou počínaje dnem jejího podpisu oběma smluvními stranami a konče </w:t>
      </w:r>
      <w:r>
        <w:rPr>
          <w:rFonts w:ascii="Arial" w:hAnsi="Arial" w:cs="Arial"/>
          <w:sz w:val="22"/>
        </w:rPr>
        <w:t>poskytnutím Daňového poradenství společností Apogeo a úhradou Odměny a Účelně vynaložených nákladů Klientem</w:t>
      </w:r>
      <w:r w:rsidRPr="00DA1636">
        <w:rPr>
          <w:rFonts w:ascii="Arial" w:hAnsi="Arial" w:cs="Arial"/>
          <w:sz w:val="22"/>
        </w:rPr>
        <w:t>; existence práv a povinností, resp. pohledávek (zejm. Odměny a Účelně vynaložených nákladů) a závazků vzniklých za dobu účinnosti Smlouvy, nejsou jejím ukončením nijak dotčeny, není-li stanoveno nebo nevyplývá-li ze Smlouvy či z povahy práva a povinnosti jinak.</w:t>
      </w:r>
    </w:p>
    <w:p w:rsidR="00517B94" w:rsidRPr="00DA1636" w:rsidRDefault="00517B94" w:rsidP="00517B94">
      <w:pPr>
        <w:numPr>
          <w:ilvl w:val="0"/>
          <w:numId w:val="3"/>
        </w:numPr>
        <w:spacing w:after="0" w:line="300" w:lineRule="atLeast"/>
        <w:jc w:val="both"/>
        <w:rPr>
          <w:rFonts w:ascii="Arial" w:hAnsi="Arial" w:cs="Arial"/>
          <w:sz w:val="22"/>
        </w:rPr>
      </w:pPr>
      <w:r w:rsidRPr="00DA1636">
        <w:rPr>
          <w:rFonts w:ascii="Arial" w:hAnsi="Arial" w:cs="Arial"/>
          <w:sz w:val="22"/>
        </w:rPr>
        <w:t>Účinnost této Smlouvy může být ukončena písemnou dohodou obou smluvních stran.</w:t>
      </w:r>
    </w:p>
    <w:p w:rsidR="00517B94" w:rsidRPr="008964B8" w:rsidRDefault="00517B94" w:rsidP="00517B94">
      <w:pPr>
        <w:numPr>
          <w:ilvl w:val="0"/>
          <w:numId w:val="3"/>
        </w:numPr>
        <w:spacing w:after="0" w:line="300" w:lineRule="atLeast"/>
        <w:jc w:val="both"/>
        <w:rPr>
          <w:rFonts w:ascii="Arial" w:hAnsi="Arial" w:cs="Arial"/>
          <w:sz w:val="22"/>
        </w:rPr>
      </w:pPr>
      <w:r w:rsidRPr="008964B8">
        <w:rPr>
          <w:rFonts w:ascii="Arial" w:hAnsi="Arial" w:cs="Arial"/>
          <w:sz w:val="22"/>
        </w:rPr>
        <w:t xml:space="preserve">Kterákoli ze smluvních stran je oprávněna tuto Smlouvu kdykoli písemně vypovědět, a to i bez udání důvodů. Výpovědní lhůta činí </w:t>
      </w:r>
      <w:r>
        <w:rPr>
          <w:rFonts w:ascii="Arial" w:hAnsi="Arial" w:cs="Arial"/>
          <w:sz w:val="22"/>
        </w:rPr>
        <w:t xml:space="preserve">jeden měsíc </w:t>
      </w:r>
      <w:r w:rsidRPr="008964B8">
        <w:rPr>
          <w:rFonts w:ascii="Arial" w:hAnsi="Arial" w:cs="Arial"/>
          <w:sz w:val="22"/>
        </w:rPr>
        <w:t>a začne běžet prvním dnem bezprostředně následujícím po dni, v němž byla výpověď doručena druhé smluvní straně.</w:t>
      </w:r>
    </w:p>
    <w:p w:rsidR="00517B94" w:rsidRPr="00DA1636" w:rsidRDefault="00517B94" w:rsidP="00517B94">
      <w:pPr>
        <w:numPr>
          <w:ilvl w:val="0"/>
          <w:numId w:val="3"/>
        </w:numPr>
        <w:spacing w:after="0" w:line="300" w:lineRule="atLeast"/>
        <w:jc w:val="both"/>
        <w:rPr>
          <w:rFonts w:ascii="Arial" w:hAnsi="Arial" w:cs="Arial"/>
          <w:sz w:val="22"/>
        </w:rPr>
      </w:pPr>
      <w:r w:rsidRPr="00DA1636">
        <w:rPr>
          <w:rFonts w:ascii="Arial" w:hAnsi="Arial" w:cs="Arial"/>
          <w:sz w:val="22"/>
        </w:rPr>
        <w:t>Je-li některá ze smluvních stran oprávněna od této Smlouvy odstoupit, je takové odstoupení účinné okamžikem doručení písemného projevu vůle odstoupit druhé smluvní straně.</w:t>
      </w:r>
    </w:p>
    <w:p w:rsidR="00517B94" w:rsidRPr="00DA1636" w:rsidRDefault="00517B94" w:rsidP="00517B94">
      <w:pPr>
        <w:numPr>
          <w:ilvl w:val="0"/>
          <w:numId w:val="3"/>
        </w:numPr>
        <w:spacing w:after="0" w:line="300" w:lineRule="atLeast"/>
        <w:jc w:val="both"/>
        <w:rPr>
          <w:rFonts w:ascii="Arial" w:hAnsi="Arial" w:cs="Arial"/>
          <w:sz w:val="22"/>
        </w:rPr>
      </w:pPr>
      <w:r w:rsidRPr="00DA1636">
        <w:rPr>
          <w:rFonts w:ascii="Arial" w:hAnsi="Arial" w:cs="Arial"/>
          <w:sz w:val="22"/>
        </w:rPr>
        <w:t>Touto Smlouvou se řídí veškeré vzájemné závazkové právní vztahy smluvních stran založené na základě této Smlouvy, a to i tehdy, pokud by plnění Smlouvy některou smluvní stranou mělo být zcela či zčásti poskytnuto po ukončení účinnosti této Smlouvy.</w:t>
      </w:r>
    </w:p>
    <w:p w:rsidR="00517B94" w:rsidRPr="00DA1636" w:rsidRDefault="00517B94" w:rsidP="00517B94">
      <w:pPr>
        <w:spacing w:line="300" w:lineRule="atLeast"/>
        <w:rPr>
          <w:rFonts w:ascii="Arial" w:hAnsi="Arial" w:cs="Arial"/>
          <w:sz w:val="22"/>
        </w:rPr>
      </w:pPr>
    </w:p>
    <w:p w:rsidR="00517B94" w:rsidRPr="00DA1636" w:rsidRDefault="00517B94" w:rsidP="00517B94">
      <w:pPr>
        <w:pStyle w:val="sloseznamu"/>
        <w:spacing w:line="300" w:lineRule="exact"/>
        <w:jc w:val="center"/>
        <w:outlineLvl w:val="0"/>
        <w:rPr>
          <w:rFonts w:ascii="Arial" w:hAnsi="Arial" w:cs="Arial"/>
          <w:i w:val="0"/>
          <w:iCs/>
          <w:color w:val="auto"/>
          <w:sz w:val="22"/>
          <w:szCs w:val="22"/>
          <w:u w:val="none"/>
        </w:rPr>
      </w:pPr>
      <w:r w:rsidRPr="00DA1636">
        <w:rPr>
          <w:rFonts w:ascii="Arial" w:hAnsi="Arial" w:cs="Arial"/>
          <w:i w:val="0"/>
          <w:iCs/>
          <w:color w:val="auto"/>
          <w:sz w:val="22"/>
          <w:szCs w:val="22"/>
          <w:u w:val="none"/>
        </w:rPr>
        <w:t>Článek 7</w:t>
      </w:r>
    </w:p>
    <w:p w:rsidR="00517B94" w:rsidRPr="00DA1636" w:rsidRDefault="00517B94" w:rsidP="00517B94">
      <w:pPr>
        <w:pStyle w:val="sloseznamu"/>
        <w:spacing w:line="300" w:lineRule="exact"/>
        <w:jc w:val="center"/>
        <w:rPr>
          <w:rFonts w:ascii="Arial" w:hAnsi="Arial" w:cs="Arial"/>
          <w:i w:val="0"/>
          <w:iCs/>
          <w:color w:val="auto"/>
          <w:sz w:val="22"/>
          <w:szCs w:val="22"/>
        </w:rPr>
      </w:pPr>
      <w:r w:rsidRPr="00DA1636">
        <w:rPr>
          <w:rFonts w:ascii="Arial" w:hAnsi="Arial" w:cs="Arial"/>
          <w:i w:val="0"/>
          <w:iCs/>
          <w:color w:val="auto"/>
          <w:sz w:val="22"/>
          <w:szCs w:val="22"/>
        </w:rPr>
        <w:t>Závěrečná ustanovení</w:t>
      </w:r>
    </w:p>
    <w:p w:rsidR="00517B94" w:rsidRPr="00DA1636" w:rsidRDefault="00517B94" w:rsidP="00517B94">
      <w:pPr>
        <w:pStyle w:val="sloseznamu"/>
        <w:spacing w:line="300" w:lineRule="exact"/>
        <w:jc w:val="center"/>
        <w:rPr>
          <w:rFonts w:ascii="Arial" w:hAnsi="Arial" w:cs="Arial"/>
          <w:i w:val="0"/>
          <w:iCs/>
          <w:color w:val="auto"/>
          <w:sz w:val="22"/>
          <w:szCs w:val="22"/>
        </w:rPr>
      </w:pPr>
    </w:p>
    <w:p w:rsidR="00517B94" w:rsidRPr="00DA1636" w:rsidRDefault="00517B94" w:rsidP="00517B94">
      <w:pPr>
        <w:numPr>
          <w:ilvl w:val="0"/>
          <w:numId w:val="7"/>
        </w:numPr>
        <w:spacing w:after="0" w:line="300" w:lineRule="atLeast"/>
        <w:jc w:val="both"/>
        <w:rPr>
          <w:rFonts w:ascii="Arial" w:hAnsi="Arial" w:cs="Arial"/>
          <w:sz w:val="22"/>
        </w:rPr>
      </w:pPr>
      <w:r w:rsidRPr="00DA1636">
        <w:rPr>
          <w:rFonts w:ascii="Arial" w:hAnsi="Arial" w:cs="Arial"/>
          <w:sz w:val="22"/>
        </w:rPr>
        <w:t xml:space="preserve">Nevyplývá-li z ustanovení této Smlouvy něco jiného, řídí se práva a povinnosti z ní, jakož i z jejího případného porušení, příslušnými ustanoveními právního řádu České republiky, zejména ustanoveními zákona č. </w:t>
      </w:r>
      <w:r>
        <w:rPr>
          <w:rFonts w:ascii="Arial" w:hAnsi="Arial" w:cs="Arial"/>
          <w:sz w:val="22"/>
        </w:rPr>
        <w:t>89/2012</w:t>
      </w:r>
      <w:r w:rsidRPr="00DA1636">
        <w:rPr>
          <w:rFonts w:ascii="Arial" w:hAnsi="Arial" w:cs="Arial"/>
          <w:sz w:val="22"/>
        </w:rPr>
        <w:t xml:space="preserve"> Sb., ob</w:t>
      </w:r>
      <w:r>
        <w:rPr>
          <w:rFonts w:ascii="Arial" w:hAnsi="Arial" w:cs="Arial"/>
          <w:sz w:val="22"/>
        </w:rPr>
        <w:t>čanského</w:t>
      </w:r>
      <w:r w:rsidRPr="00DA1636">
        <w:rPr>
          <w:rFonts w:ascii="Arial" w:hAnsi="Arial" w:cs="Arial"/>
          <w:sz w:val="22"/>
        </w:rPr>
        <w:t xml:space="preserve"> zákoníku, , a zákona č. 523/1992 Sb., o daňovém poradenství a Komoře daňových poradců České republiky, ve znění pozdějších změn a doplňků.</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Všechny spory, které vzniknou z této Smlouvy nebo v souvislosti s n</w:t>
      </w:r>
      <w:r>
        <w:rPr>
          <w:rFonts w:ascii="Arial" w:hAnsi="Arial" w:cs="Arial"/>
          <w:szCs w:val="22"/>
          <w:lang w:val="cs-CZ"/>
        </w:rPr>
        <w:t>í</w:t>
      </w:r>
      <w:r w:rsidRPr="00DA1636">
        <w:rPr>
          <w:rFonts w:ascii="Arial" w:hAnsi="Arial" w:cs="Arial"/>
          <w:szCs w:val="22"/>
          <w:lang w:val="cs-CZ"/>
        </w:rPr>
        <w:t> a které se nepodaří vyřešit přednostně smírnou cestou, budou s vyloučením pravomoci obecných soudů rozhodovány s konečnou platností Rozhodčím soudem při Hospodářské komoře České republiky a Agrární komoře České republiky podle jeho řádu a pravidel třemi rozhodci ustanovenými podle tohoto řádu. Smluvní strany se zavazují splnit všechny povinnosti uložené jim v rozhodčím nálezu ve lhůtách v něm uvedených.</w:t>
      </w:r>
      <w:r>
        <w:rPr>
          <w:rFonts w:ascii="Arial" w:hAnsi="Arial" w:cs="Arial"/>
          <w:szCs w:val="22"/>
          <w:lang w:val="cs-CZ"/>
        </w:rPr>
        <w:t xml:space="preserve"> </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Pokud není v této Smlouvě nebo jinak výslovně sjednaná určitá forma a způsob komunikace smluvních stran, považují se za platné a účinné úkony smluvní strany učiněné vůči druhé smluvní straně osobně, prostřednictvím držitele poštovní licence, kurýrní, zásilkové či jiné obdobné služby, elektronické pošty, datové schránky, faxu či jinými obvyklými komunikačními prostředky.</w:t>
      </w:r>
      <w:r>
        <w:rPr>
          <w:rFonts w:ascii="Arial" w:hAnsi="Arial" w:cs="Arial"/>
          <w:szCs w:val="22"/>
          <w:lang w:val="cs-CZ"/>
        </w:rPr>
        <w:t xml:space="preserve"> </w:t>
      </w:r>
      <w:r w:rsidRPr="00DA1636">
        <w:rPr>
          <w:rFonts w:ascii="Arial" w:hAnsi="Arial" w:cs="Arial"/>
          <w:szCs w:val="22"/>
          <w:lang w:val="cs-CZ"/>
        </w:rPr>
        <w:t xml:space="preserve">Při doručování prostřednictvím osobního předání nastávají účinky doručení okamžikem písemného potvrzení adresáta o přijetí doručované písemnosti. Při doručování prostřednictvím </w:t>
      </w:r>
      <w:r>
        <w:rPr>
          <w:rFonts w:ascii="Arial" w:hAnsi="Arial" w:cs="Arial"/>
          <w:szCs w:val="22"/>
          <w:lang w:val="cs-CZ"/>
        </w:rPr>
        <w:t>držitele poštovní licence, kurýrní, zásilkové či jiné obdobné služby</w:t>
      </w:r>
      <w:r w:rsidRPr="00DA1636">
        <w:rPr>
          <w:rFonts w:ascii="Arial" w:hAnsi="Arial" w:cs="Arial"/>
          <w:szCs w:val="22"/>
          <w:lang w:val="cs-CZ"/>
        </w:rPr>
        <w:t xml:space="preserve"> nastávají účinky doručení okamžikem přijetí doručované písemnosti adresátem od poštovního doručovatele</w:t>
      </w:r>
      <w:r>
        <w:rPr>
          <w:rFonts w:ascii="Arial" w:hAnsi="Arial" w:cs="Arial"/>
          <w:szCs w:val="22"/>
          <w:lang w:val="cs-CZ"/>
        </w:rPr>
        <w:t xml:space="preserve">, resp. kurýra. </w:t>
      </w:r>
      <w:r w:rsidRPr="00DA1636">
        <w:rPr>
          <w:rFonts w:ascii="Arial" w:hAnsi="Arial" w:cs="Arial"/>
          <w:szCs w:val="22"/>
          <w:lang w:val="cs-CZ"/>
        </w:rPr>
        <w:t>Nebude</w:t>
      </w:r>
      <w:r w:rsidRPr="00DA1636">
        <w:rPr>
          <w:rFonts w:ascii="Arial" w:hAnsi="Arial" w:cs="Arial"/>
          <w:szCs w:val="22"/>
          <w:lang w:val="cs-CZ"/>
        </w:rPr>
        <w:noBreakHyphen/>
        <w:t xml:space="preserve">li adresát písemnosti doručované prostřednictvím </w:t>
      </w:r>
      <w:r>
        <w:rPr>
          <w:rFonts w:ascii="Arial" w:hAnsi="Arial" w:cs="Arial"/>
          <w:szCs w:val="22"/>
          <w:lang w:val="cs-CZ"/>
        </w:rPr>
        <w:t>držitele poštovní licence, kurýrní, zásilkové či jiné obdobné služby</w:t>
      </w:r>
      <w:r w:rsidRPr="00DA1636">
        <w:rPr>
          <w:rFonts w:ascii="Arial" w:hAnsi="Arial" w:cs="Arial"/>
          <w:szCs w:val="22"/>
          <w:lang w:val="cs-CZ"/>
        </w:rPr>
        <w:t xml:space="preserve"> při jejím doručování doručovatelem</w:t>
      </w:r>
      <w:r>
        <w:rPr>
          <w:rFonts w:ascii="Arial" w:hAnsi="Arial" w:cs="Arial"/>
          <w:szCs w:val="22"/>
          <w:lang w:val="cs-CZ"/>
        </w:rPr>
        <w:t>, resp. kurýrem</w:t>
      </w:r>
      <w:r w:rsidRPr="00DA1636">
        <w:rPr>
          <w:rFonts w:ascii="Arial" w:hAnsi="Arial" w:cs="Arial"/>
          <w:szCs w:val="22"/>
          <w:lang w:val="cs-CZ"/>
        </w:rPr>
        <w:t xml:space="preserve"> zastižen, účinky doručení nastávají okamžikem, kdy se </w:t>
      </w:r>
      <w:r>
        <w:rPr>
          <w:rFonts w:ascii="Arial" w:hAnsi="Arial" w:cs="Arial"/>
          <w:szCs w:val="22"/>
          <w:lang w:val="cs-CZ"/>
        </w:rPr>
        <w:t>do</w:t>
      </w:r>
      <w:r w:rsidRPr="00DA1636">
        <w:rPr>
          <w:rFonts w:ascii="Arial" w:hAnsi="Arial" w:cs="Arial"/>
          <w:szCs w:val="22"/>
          <w:lang w:val="cs-CZ"/>
        </w:rPr>
        <w:t>ručovatel</w:t>
      </w:r>
      <w:r>
        <w:rPr>
          <w:rFonts w:ascii="Arial" w:hAnsi="Arial" w:cs="Arial"/>
          <w:szCs w:val="22"/>
          <w:lang w:val="cs-CZ"/>
        </w:rPr>
        <w:t>, resp. kurýr</w:t>
      </w:r>
      <w:r w:rsidRPr="00DA1636">
        <w:rPr>
          <w:rFonts w:ascii="Arial" w:hAnsi="Arial" w:cs="Arial"/>
          <w:szCs w:val="22"/>
          <w:lang w:val="cs-CZ"/>
        </w:rPr>
        <w:t xml:space="preserve"> o doručení poprvé pokusil. Odepře</w:t>
      </w:r>
      <w:r w:rsidRPr="00DA1636">
        <w:rPr>
          <w:rFonts w:ascii="Arial" w:hAnsi="Arial" w:cs="Arial"/>
          <w:szCs w:val="22"/>
          <w:lang w:val="cs-CZ"/>
        </w:rPr>
        <w:noBreakHyphen/>
        <w:t xml:space="preserve">li adresát, popřípadě osoba za adresáta oprávněná k převzetí písemnosti, bezdůvodně od odesílatele nebo </w:t>
      </w:r>
      <w:r>
        <w:rPr>
          <w:rFonts w:ascii="Arial" w:hAnsi="Arial" w:cs="Arial"/>
          <w:szCs w:val="22"/>
          <w:lang w:val="cs-CZ"/>
        </w:rPr>
        <w:t>doručovatele, resp. kurýra</w:t>
      </w:r>
      <w:r w:rsidRPr="00DA1636">
        <w:rPr>
          <w:rFonts w:ascii="Arial" w:hAnsi="Arial" w:cs="Arial"/>
          <w:szCs w:val="22"/>
          <w:lang w:val="cs-CZ"/>
        </w:rPr>
        <w:t xml:space="preserve"> písemnost přijmout, nastávají účinky doručení </w:t>
      </w:r>
      <w:r>
        <w:rPr>
          <w:rFonts w:ascii="Arial" w:hAnsi="Arial" w:cs="Arial"/>
          <w:szCs w:val="22"/>
          <w:lang w:val="cs-CZ"/>
        </w:rPr>
        <w:t xml:space="preserve">písemnosti </w:t>
      </w:r>
      <w:r w:rsidRPr="00DA1636">
        <w:rPr>
          <w:rFonts w:ascii="Arial" w:hAnsi="Arial" w:cs="Arial"/>
          <w:szCs w:val="22"/>
          <w:lang w:val="cs-CZ"/>
        </w:rPr>
        <w:t xml:space="preserve">okamžikem odepření jejího přijetí. Nepodaří-li se písemnost adresátovi doručit proto, že se adresát v místě doručení nezdržuje, nastávají účinky doručení této písemnosti okamžikem vrácení nedoručené písemnosti jejímu odesílateli. </w:t>
      </w:r>
      <w:r>
        <w:rPr>
          <w:rFonts w:ascii="Arial" w:hAnsi="Arial" w:cs="Arial"/>
          <w:szCs w:val="22"/>
          <w:lang w:val="cs-CZ"/>
        </w:rPr>
        <w:t>Písemnosti</w:t>
      </w:r>
      <w:r w:rsidRPr="00DA1636">
        <w:rPr>
          <w:rFonts w:ascii="Arial" w:hAnsi="Arial" w:cs="Arial"/>
          <w:szCs w:val="22"/>
          <w:lang w:val="cs-CZ"/>
        </w:rPr>
        <w:t xml:space="preserve">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 není-li v konkrétních případech dohodnuto jinak.</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V případě, že se některá ustanovení této Smlouvy stanou nebo ukážou být nevykonatelnými, neplatnými nebo neúčinnými, zůstává platnost a účinnost ostatních ustanovení této Smlouvy zachována. Smluvní strany se pro takový případ zavazují bez zbytečného odkladu nahradit takto nevykonatelná, neplatná nebo neúčinná ustanovení ustanoveními jejich povaze nejbližšími s přihlédnutím k vůli smluvních stran dle předmětu plnění podle této Smlouvy.</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Klient podpisem této Smlouvy bere na vědomí a souhlasí s tím, aby společnost Apogeo a subjekty v rámci Skupiny APOGEO uváděli referenci Klienta v rámci svých obchodních a marketingových aktivit. Stejně tak v případě, že se některé z plnění, jež společnost Apogeo v souvislosti s touto Smlouvou poskytla Klientovi, stane veřejně známým, je společnost Apogeo oprávněna se k takovému plnění jako ke svému přihlásit.</w:t>
      </w:r>
    </w:p>
    <w:p w:rsidR="00517B94" w:rsidRPr="00053C41"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 xml:space="preserve">Klient podpisem této Smlouvy dále bere na vědomí a v souladu s ustanovením § 7 odst. 1 zákona č. 480/2004 Sb., o některých službách informační společnosti a o změně některých zákonů (zákon o některých službách informační společnosti), ve znění pozdějších změn a </w:t>
      </w:r>
      <w:r w:rsidRPr="00053C41">
        <w:rPr>
          <w:rFonts w:ascii="Arial" w:hAnsi="Arial" w:cs="Arial"/>
          <w:szCs w:val="22"/>
          <w:lang w:val="cs-CZ"/>
        </w:rPr>
        <w:t>doplňků, souhlasí s tím, aby mu byla společností Apogeo či subjekty Skupiny APOGEO, zasílána na jeho elektronickou adresu obchodní sdělení a jiné propagační a marketingové materiály.</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 xml:space="preserve">Tato Smlouva může být měněna pouze dohodou smluvních stran v písemné formě, </w:t>
      </w:r>
      <w:r>
        <w:rPr>
          <w:rFonts w:ascii="Arial" w:hAnsi="Arial" w:cs="Arial"/>
          <w:szCs w:val="22"/>
          <w:lang w:val="cs-CZ"/>
        </w:rPr>
        <w:t>to platí i pro vzdání se písemné formy,</w:t>
      </w:r>
      <w:r w:rsidRPr="00DA1636">
        <w:rPr>
          <w:rFonts w:ascii="Arial" w:hAnsi="Arial" w:cs="Arial"/>
          <w:szCs w:val="22"/>
          <w:lang w:val="cs-CZ"/>
        </w:rPr>
        <w:t xml:space="preserve"> přičemž změna této Smlouvy bude účinná k okamžiku stanovenému v takovéto dohodě. Nebude-li takovýto okamžik stanoven, pak změna této Smlouvy bude účinná ke dni uzavření takovéto dohody.</w:t>
      </w:r>
      <w:r>
        <w:rPr>
          <w:rFonts w:ascii="Arial" w:hAnsi="Arial" w:cs="Arial"/>
          <w:szCs w:val="22"/>
          <w:lang w:val="cs-CZ"/>
        </w:rPr>
        <w:t xml:space="preserve"> Přijetí návrhu kterékoliv smluvní strany druhou smluvní stranou s výhradou se vylučuje. Smluvní strany z důvodu právní jistoty prohlašují, že touto Smlouvou nezřizují žádná práva třetí straně odlišné od smluvních stran.</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Tato Smlouva je vyhotovena ve dvou stejnopisech, z nichž každá ze smluvních stran obdrží po jednom stejnopise.</w:t>
      </w:r>
    </w:p>
    <w:p w:rsidR="00517B94" w:rsidRPr="00DA1636" w:rsidRDefault="00517B94" w:rsidP="00517B94">
      <w:pPr>
        <w:pStyle w:val="Zkladntext"/>
        <w:numPr>
          <w:ilvl w:val="0"/>
          <w:numId w:val="7"/>
        </w:numPr>
        <w:spacing w:line="300" w:lineRule="exact"/>
        <w:rPr>
          <w:rFonts w:ascii="Arial" w:hAnsi="Arial" w:cs="Arial"/>
          <w:szCs w:val="22"/>
          <w:lang w:val="cs-CZ"/>
        </w:rPr>
      </w:pPr>
      <w:r w:rsidRPr="00DA1636">
        <w:rPr>
          <w:rFonts w:ascii="Arial" w:hAnsi="Arial" w:cs="Arial"/>
          <w:szCs w:val="22"/>
          <w:lang w:val="cs-CZ"/>
        </w:rPr>
        <w:t>Každá ze smluvních stran prohlašuje, že tuto Smlouvu uzavírá svobodně a vážně, že považuje obsah této Smlouvy za určitý a srozumitelný, a že jsou jí známy všechny skutečnosti, jež jsou pro uzavření této Smlouvy rozhodující, na důkaz čehož připojují své podpisy.</w:t>
      </w:r>
    </w:p>
    <w:p w:rsidR="00517B94" w:rsidRPr="00DA1636" w:rsidRDefault="00517B94" w:rsidP="00517B94">
      <w:pPr>
        <w:spacing w:line="300" w:lineRule="atLeast"/>
        <w:ind w:left="7200"/>
        <w:rPr>
          <w:rFonts w:ascii="Arial" w:hAnsi="Arial" w:cs="Arial"/>
          <w:sz w:val="22"/>
        </w:rPr>
      </w:pPr>
    </w:p>
    <w:tbl>
      <w:tblPr>
        <w:tblW w:w="0" w:type="auto"/>
        <w:tblLayout w:type="fixed"/>
        <w:tblCellMar>
          <w:left w:w="70" w:type="dxa"/>
          <w:right w:w="70" w:type="dxa"/>
        </w:tblCellMar>
        <w:tblLook w:val="00A0" w:firstRow="1" w:lastRow="0" w:firstColumn="1" w:lastColumn="0" w:noHBand="0" w:noVBand="0"/>
      </w:tblPr>
      <w:tblGrid>
        <w:gridCol w:w="4890"/>
        <w:gridCol w:w="5103"/>
      </w:tblGrid>
      <w:tr w:rsidR="00517B94" w:rsidRPr="00DA1636" w:rsidTr="00176314">
        <w:tc>
          <w:tcPr>
            <w:tcW w:w="4890" w:type="dxa"/>
          </w:tcPr>
          <w:p w:rsidR="00517B94" w:rsidRPr="00DA1636" w:rsidRDefault="00517B94" w:rsidP="00176314">
            <w:pPr>
              <w:keepNext/>
              <w:spacing w:line="300" w:lineRule="atLeast"/>
              <w:rPr>
                <w:rFonts w:ascii="Arial" w:hAnsi="Arial" w:cs="Arial"/>
              </w:rPr>
            </w:pPr>
            <w:r>
              <w:rPr>
                <w:rFonts w:ascii="Arial" w:hAnsi="Arial" w:cs="Arial"/>
                <w:sz w:val="22"/>
              </w:rPr>
              <w:tab/>
            </w:r>
            <w:r w:rsidRPr="007B7D84">
              <w:rPr>
                <w:rFonts w:ascii="Arial" w:hAnsi="Arial" w:cs="Arial"/>
                <w:sz w:val="22"/>
              </w:rPr>
              <w:t xml:space="preserve">V Praze dne </w:t>
            </w:r>
            <w:r w:rsidR="007B7D84">
              <w:rPr>
                <w:rFonts w:ascii="Arial" w:hAnsi="Arial" w:cs="Arial"/>
                <w:sz w:val="22"/>
              </w:rPr>
              <w:t>_______________</w:t>
            </w:r>
          </w:p>
          <w:p w:rsidR="00517B94" w:rsidRPr="00DA1636" w:rsidRDefault="00517B94" w:rsidP="00176314">
            <w:pPr>
              <w:spacing w:line="300" w:lineRule="atLeast"/>
              <w:rPr>
                <w:rFonts w:ascii="Arial" w:hAnsi="Arial" w:cs="Arial"/>
              </w:rPr>
            </w:pPr>
          </w:p>
          <w:p w:rsidR="00517B94" w:rsidRPr="00DA1636" w:rsidRDefault="00517B94" w:rsidP="00176314">
            <w:pPr>
              <w:keepNext/>
              <w:tabs>
                <w:tab w:val="left" w:pos="0"/>
                <w:tab w:val="left" w:pos="284"/>
                <w:tab w:val="left" w:pos="1701"/>
              </w:tabs>
              <w:spacing w:line="300" w:lineRule="atLeast"/>
              <w:jc w:val="both"/>
              <w:rPr>
                <w:rFonts w:ascii="Arial" w:hAnsi="Arial" w:cs="Arial"/>
              </w:rPr>
            </w:pPr>
          </w:p>
          <w:p w:rsidR="00517B94" w:rsidRPr="00DA1636" w:rsidRDefault="00517B94" w:rsidP="00176314">
            <w:pPr>
              <w:keepNext/>
              <w:tabs>
                <w:tab w:val="left" w:pos="0"/>
                <w:tab w:val="left" w:pos="284"/>
                <w:tab w:val="left" w:pos="1701"/>
              </w:tabs>
              <w:spacing w:line="300" w:lineRule="atLeast"/>
              <w:jc w:val="both"/>
              <w:rPr>
                <w:rFonts w:ascii="Arial" w:hAnsi="Arial" w:cs="Arial"/>
              </w:rPr>
            </w:pPr>
          </w:p>
        </w:tc>
        <w:tc>
          <w:tcPr>
            <w:tcW w:w="5103" w:type="dxa"/>
          </w:tcPr>
          <w:p w:rsidR="00517B94" w:rsidRPr="00DA1636" w:rsidRDefault="00517B94" w:rsidP="007B7D84">
            <w:pPr>
              <w:keepNext/>
              <w:tabs>
                <w:tab w:val="left" w:pos="0"/>
                <w:tab w:val="left" w:pos="284"/>
                <w:tab w:val="left" w:pos="1701"/>
              </w:tabs>
              <w:spacing w:line="300" w:lineRule="atLeast"/>
              <w:rPr>
                <w:rFonts w:ascii="Arial" w:hAnsi="Arial" w:cs="Arial"/>
              </w:rPr>
            </w:pPr>
            <w:r w:rsidRPr="00DA1636">
              <w:rPr>
                <w:rFonts w:ascii="Arial" w:hAnsi="Arial" w:cs="Arial"/>
                <w:sz w:val="22"/>
              </w:rPr>
              <w:tab/>
            </w:r>
            <w:r>
              <w:rPr>
                <w:rFonts w:ascii="Arial" w:hAnsi="Arial" w:cs="Arial"/>
                <w:sz w:val="22"/>
              </w:rPr>
              <w:t xml:space="preserve">        V </w:t>
            </w:r>
            <w:r w:rsidR="007B7D84">
              <w:rPr>
                <w:rFonts w:ascii="Arial" w:hAnsi="Arial" w:cs="Arial"/>
                <w:sz w:val="22"/>
              </w:rPr>
              <w:t>____________</w:t>
            </w:r>
            <w:r>
              <w:rPr>
                <w:rFonts w:ascii="Arial" w:hAnsi="Arial" w:cs="Arial"/>
                <w:sz w:val="22"/>
              </w:rPr>
              <w:t xml:space="preserve"> dne </w:t>
            </w:r>
            <w:r w:rsidR="007B7D84">
              <w:rPr>
                <w:rFonts w:ascii="Arial" w:hAnsi="Arial" w:cs="Arial"/>
                <w:sz w:val="22"/>
              </w:rPr>
              <w:t>____________</w:t>
            </w:r>
          </w:p>
        </w:tc>
      </w:tr>
      <w:tr w:rsidR="00517B94" w:rsidRPr="00DA1636" w:rsidTr="00176314">
        <w:tc>
          <w:tcPr>
            <w:tcW w:w="4890" w:type="dxa"/>
          </w:tcPr>
          <w:p w:rsidR="00517B94" w:rsidRPr="00DA1636" w:rsidRDefault="00517B94" w:rsidP="00176314">
            <w:pPr>
              <w:tabs>
                <w:tab w:val="left" w:pos="0"/>
                <w:tab w:val="left" w:pos="284"/>
                <w:tab w:val="left" w:pos="1701"/>
              </w:tabs>
              <w:spacing w:line="300" w:lineRule="atLeast"/>
              <w:jc w:val="center"/>
              <w:rPr>
                <w:rFonts w:ascii="Arial" w:hAnsi="Arial" w:cs="Arial"/>
              </w:rPr>
            </w:pPr>
            <w:r w:rsidRPr="00DA1636">
              <w:rPr>
                <w:rFonts w:ascii="Arial" w:hAnsi="Arial" w:cs="Arial"/>
                <w:sz w:val="22"/>
              </w:rPr>
              <w:t>___________________________________</w:t>
            </w:r>
          </w:p>
        </w:tc>
        <w:tc>
          <w:tcPr>
            <w:tcW w:w="5103" w:type="dxa"/>
          </w:tcPr>
          <w:p w:rsidR="00517B94" w:rsidRPr="00DA1636" w:rsidRDefault="00517B94" w:rsidP="00176314">
            <w:pPr>
              <w:tabs>
                <w:tab w:val="left" w:pos="0"/>
                <w:tab w:val="left" w:pos="284"/>
                <w:tab w:val="left" w:pos="1701"/>
              </w:tabs>
              <w:spacing w:line="300" w:lineRule="atLeast"/>
              <w:jc w:val="center"/>
              <w:rPr>
                <w:rFonts w:ascii="Arial" w:hAnsi="Arial" w:cs="Arial"/>
              </w:rPr>
            </w:pPr>
            <w:r w:rsidRPr="00DA1636">
              <w:rPr>
                <w:rFonts w:ascii="Arial" w:hAnsi="Arial" w:cs="Arial"/>
                <w:sz w:val="22"/>
              </w:rPr>
              <w:t>___________________________________</w:t>
            </w:r>
          </w:p>
        </w:tc>
      </w:tr>
      <w:tr w:rsidR="00517B94" w:rsidRPr="00DA1636" w:rsidTr="00176314">
        <w:trPr>
          <w:trHeight w:val="351"/>
        </w:trPr>
        <w:tc>
          <w:tcPr>
            <w:tcW w:w="4890" w:type="dxa"/>
          </w:tcPr>
          <w:p w:rsidR="00517B94" w:rsidRPr="00DA1636" w:rsidRDefault="00517B94" w:rsidP="00176314">
            <w:pPr>
              <w:keepNext/>
              <w:spacing w:line="300" w:lineRule="atLeast"/>
              <w:jc w:val="center"/>
              <w:rPr>
                <w:rFonts w:ascii="Arial" w:hAnsi="Arial" w:cs="Arial"/>
              </w:rPr>
            </w:pPr>
            <w:r w:rsidRPr="00DA1636">
              <w:rPr>
                <w:rFonts w:ascii="Arial" w:hAnsi="Arial" w:cs="Arial"/>
                <w:sz w:val="22"/>
              </w:rPr>
              <w:t xml:space="preserve">za </w:t>
            </w:r>
            <w:r w:rsidRPr="00EE3AD0">
              <w:rPr>
                <w:rFonts w:ascii="Arial" w:hAnsi="Arial" w:cs="Arial"/>
                <w:b/>
                <w:sz w:val="22"/>
              </w:rPr>
              <w:t>APOGEO, s.r.o.</w:t>
            </w:r>
          </w:p>
          <w:p w:rsidR="00517B94" w:rsidRDefault="00517B94" w:rsidP="00176314">
            <w:pPr>
              <w:keepNext/>
              <w:tabs>
                <w:tab w:val="left" w:pos="0"/>
                <w:tab w:val="left" w:pos="284"/>
                <w:tab w:val="left" w:pos="1701"/>
              </w:tabs>
              <w:spacing w:line="300" w:lineRule="atLeast"/>
              <w:jc w:val="center"/>
              <w:rPr>
                <w:rFonts w:ascii="Arial" w:hAnsi="Arial" w:cs="Arial"/>
              </w:rPr>
            </w:pPr>
            <w:r>
              <w:rPr>
                <w:rFonts w:ascii="Arial" w:hAnsi="Arial" w:cs="Arial"/>
                <w:sz w:val="22"/>
              </w:rPr>
              <w:t>Josef Jaroš</w:t>
            </w:r>
          </w:p>
          <w:p w:rsidR="00517B94" w:rsidRPr="00DA1636" w:rsidRDefault="00517B94" w:rsidP="00176314">
            <w:pPr>
              <w:keepNext/>
              <w:tabs>
                <w:tab w:val="left" w:pos="0"/>
                <w:tab w:val="left" w:pos="284"/>
                <w:tab w:val="left" w:pos="1701"/>
              </w:tabs>
              <w:spacing w:line="300" w:lineRule="atLeast"/>
              <w:jc w:val="center"/>
              <w:rPr>
                <w:rFonts w:ascii="Arial" w:hAnsi="Arial" w:cs="Arial"/>
              </w:rPr>
            </w:pPr>
            <w:r>
              <w:rPr>
                <w:rFonts w:ascii="Arial" w:hAnsi="Arial" w:cs="Arial"/>
                <w:sz w:val="22"/>
              </w:rPr>
              <w:t>jednatel</w:t>
            </w:r>
          </w:p>
        </w:tc>
        <w:tc>
          <w:tcPr>
            <w:tcW w:w="5103" w:type="dxa"/>
          </w:tcPr>
          <w:p w:rsidR="00517B94" w:rsidRPr="00EE3AD0" w:rsidRDefault="00517B94" w:rsidP="00176314">
            <w:pPr>
              <w:keepNext/>
              <w:spacing w:line="300" w:lineRule="atLeast"/>
              <w:jc w:val="center"/>
              <w:rPr>
                <w:rFonts w:ascii="Arial" w:hAnsi="Arial" w:cs="Arial"/>
              </w:rPr>
            </w:pPr>
            <w:r w:rsidRPr="007B7D84">
              <w:rPr>
                <w:rFonts w:ascii="Arial" w:hAnsi="Arial" w:cs="Arial"/>
                <w:sz w:val="22"/>
              </w:rPr>
              <w:t xml:space="preserve">za </w:t>
            </w:r>
            <w:r w:rsidR="005C5E81">
              <w:rPr>
                <w:rFonts w:ascii="Arial" w:hAnsi="Arial" w:cs="Arial"/>
                <w:b/>
                <w:sz w:val="22"/>
              </w:rPr>
              <w:t>Oblastní nemocnice Trutnov a.s.</w:t>
            </w:r>
          </w:p>
          <w:p w:rsidR="007B7D84" w:rsidRDefault="007B7D84" w:rsidP="00176314">
            <w:pPr>
              <w:keepNext/>
              <w:tabs>
                <w:tab w:val="left" w:pos="0"/>
                <w:tab w:val="left" w:pos="284"/>
                <w:tab w:val="left" w:pos="1701"/>
              </w:tabs>
              <w:spacing w:line="300" w:lineRule="atLeast"/>
              <w:jc w:val="center"/>
              <w:rPr>
                <w:rFonts w:ascii="Verdana" w:hAnsi="Verdana"/>
                <w:color w:val="333333"/>
                <w:szCs w:val="18"/>
                <w:shd w:val="clear" w:color="auto" w:fill="FFFFFF"/>
              </w:rPr>
            </w:pPr>
            <w:r w:rsidRPr="007B7D84">
              <w:rPr>
                <w:rFonts w:ascii="Arial" w:hAnsi="Arial" w:cs="Arial"/>
                <w:sz w:val="22"/>
              </w:rPr>
              <w:t xml:space="preserve">Ing. </w:t>
            </w:r>
            <w:r>
              <w:rPr>
                <w:rFonts w:ascii="Arial" w:hAnsi="Arial" w:cs="Arial"/>
                <w:sz w:val="22"/>
              </w:rPr>
              <w:t>Miroslav Procházka</w:t>
            </w:r>
            <w:r w:rsidRPr="007B7D84">
              <w:rPr>
                <w:rFonts w:ascii="Arial" w:hAnsi="Arial" w:cs="Arial"/>
                <w:sz w:val="22"/>
              </w:rPr>
              <w:t>, Ph.D.</w:t>
            </w:r>
          </w:p>
          <w:p w:rsidR="00517B94" w:rsidRPr="00EE3AD0" w:rsidRDefault="007B7D84" w:rsidP="00176314">
            <w:pPr>
              <w:keepNext/>
              <w:tabs>
                <w:tab w:val="left" w:pos="0"/>
                <w:tab w:val="left" w:pos="284"/>
                <w:tab w:val="left" w:pos="1701"/>
              </w:tabs>
              <w:spacing w:line="300" w:lineRule="atLeast"/>
              <w:jc w:val="center"/>
              <w:rPr>
                <w:rFonts w:ascii="Arial" w:hAnsi="Arial" w:cs="Arial"/>
              </w:rPr>
            </w:pPr>
            <w:r>
              <w:rPr>
                <w:rFonts w:ascii="Arial" w:hAnsi="Arial" w:cs="Arial"/>
                <w:sz w:val="22"/>
              </w:rPr>
              <w:t>předseda představenstva</w:t>
            </w:r>
          </w:p>
        </w:tc>
      </w:tr>
      <w:tr w:rsidR="00517B94" w:rsidRPr="00DA1636" w:rsidTr="00176314">
        <w:tc>
          <w:tcPr>
            <w:tcW w:w="4890" w:type="dxa"/>
          </w:tcPr>
          <w:p w:rsidR="00517B94" w:rsidRPr="00DA1636" w:rsidRDefault="00517B94" w:rsidP="00176314">
            <w:pPr>
              <w:keepNext/>
              <w:tabs>
                <w:tab w:val="left" w:pos="0"/>
                <w:tab w:val="left" w:pos="284"/>
                <w:tab w:val="left" w:pos="1701"/>
              </w:tabs>
              <w:spacing w:line="300" w:lineRule="atLeast"/>
              <w:jc w:val="center"/>
              <w:rPr>
                <w:rFonts w:ascii="Arial" w:hAnsi="Arial" w:cs="Arial"/>
              </w:rPr>
            </w:pPr>
          </w:p>
        </w:tc>
        <w:tc>
          <w:tcPr>
            <w:tcW w:w="5103" w:type="dxa"/>
          </w:tcPr>
          <w:p w:rsidR="00517B94" w:rsidRPr="00EE3AD0" w:rsidRDefault="00517B94" w:rsidP="00176314">
            <w:pPr>
              <w:keepNext/>
              <w:tabs>
                <w:tab w:val="left" w:pos="0"/>
                <w:tab w:val="left" w:pos="284"/>
                <w:tab w:val="left" w:pos="1701"/>
              </w:tabs>
              <w:spacing w:line="300" w:lineRule="atLeast"/>
              <w:jc w:val="center"/>
              <w:rPr>
                <w:rFonts w:ascii="Arial" w:hAnsi="Arial" w:cs="Arial"/>
              </w:rPr>
            </w:pPr>
          </w:p>
        </w:tc>
      </w:tr>
    </w:tbl>
    <w:p w:rsidR="00517B94" w:rsidRPr="00DA1636" w:rsidRDefault="00517B94" w:rsidP="00517B94">
      <w:pPr>
        <w:spacing w:line="300" w:lineRule="atLeast"/>
        <w:rPr>
          <w:rFonts w:ascii="Arial" w:hAnsi="Arial" w:cs="Arial"/>
          <w:sz w:val="22"/>
        </w:rPr>
      </w:pPr>
    </w:p>
    <w:p w:rsidR="00157C60" w:rsidRPr="00517B94" w:rsidRDefault="00157C60" w:rsidP="00517B94"/>
    <w:sectPr w:rsidR="00157C60" w:rsidRPr="00517B94" w:rsidSect="00157C60">
      <w:headerReference w:type="default" r:id="rId8"/>
      <w:footerReference w:type="default" r:id="rId9"/>
      <w:pgSz w:w="11906" w:h="16838"/>
      <w:pgMar w:top="1417" w:right="1417" w:bottom="1417" w:left="1417" w:header="158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36" w:rsidRDefault="00167E36" w:rsidP="00157C60">
      <w:pPr>
        <w:spacing w:after="0"/>
      </w:pPr>
      <w:r>
        <w:separator/>
      </w:r>
    </w:p>
  </w:endnote>
  <w:endnote w:type="continuationSeparator" w:id="0">
    <w:p w:rsidR="00167E36" w:rsidRDefault="00167E36" w:rsidP="00157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CB" w:rsidRDefault="00BC0C42">
    <w:pPr>
      <w:pStyle w:val="Zpat"/>
    </w:pPr>
    <w:r>
      <w:rPr>
        <w:noProof/>
        <w:lang w:eastAsia="cs-CZ"/>
      </w:rPr>
      <w:drawing>
        <wp:anchor distT="152400" distB="152400" distL="152400" distR="152400" simplePos="0" relativeHeight="251657216" behindDoc="1" locked="0" layoutInCell="1" allowOverlap="1">
          <wp:simplePos x="0" y="0"/>
          <wp:positionH relativeFrom="page">
            <wp:posOffset>314325</wp:posOffset>
          </wp:positionH>
          <wp:positionV relativeFrom="page">
            <wp:posOffset>9956800</wp:posOffset>
          </wp:positionV>
          <wp:extent cx="7556500" cy="577850"/>
          <wp:effectExtent l="19050" t="0" r="635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556500" cy="577850"/>
                  </a:xfrm>
                  <a:prstGeom prst="rect">
                    <a:avLst/>
                  </a:prstGeom>
                  <a:noFill/>
                  <a:ln w="12700">
                    <a:noFill/>
                    <a:miter lim="400000"/>
                    <a:headEnd/>
                    <a:tailEnd/>
                  </a:ln>
                </pic:spPr>
              </pic:pic>
            </a:graphicData>
          </a:graphic>
        </wp:anchor>
      </w:drawing>
    </w:r>
  </w:p>
  <w:p w:rsidR="00BE59CB" w:rsidRDefault="00BE59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36" w:rsidRDefault="00167E36" w:rsidP="00157C60">
      <w:pPr>
        <w:spacing w:after="0"/>
      </w:pPr>
      <w:r>
        <w:separator/>
      </w:r>
    </w:p>
  </w:footnote>
  <w:footnote w:type="continuationSeparator" w:id="0">
    <w:p w:rsidR="00167E36" w:rsidRDefault="00167E36" w:rsidP="00157C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CB" w:rsidRDefault="00BC0C42">
    <w:pPr>
      <w:pStyle w:val="Zhlav"/>
    </w:pPr>
    <w:r>
      <w:rPr>
        <w:noProof/>
        <w:lang w:eastAsia="cs-CZ"/>
      </w:rPr>
      <w:drawing>
        <wp:anchor distT="0" distB="0" distL="114300" distR="114300" simplePos="0" relativeHeight="251658240" behindDoc="1" locked="0" layoutInCell="1" allowOverlap="1">
          <wp:simplePos x="0" y="0"/>
          <wp:positionH relativeFrom="page">
            <wp:posOffset>700405</wp:posOffset>
          </wp:positionH>
          <wp:positionV relativeFrom="page">
            <wp:posOffset>603885</wp:posOffset>
          </wp:positionV>
          <wp:extent cx="2214880" cy="80200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214880" cy="802005"/>
                  </a:xfrm>
                  <a:prstGeom prst="rect">
                    <a:avLst/>
                  </a:prstGeom>
                  <a:noFill/>
                  <a:ln w="12700">
                    <a:noFill/>
                    <a:miter lim="800000"/>
                    <a:headEnd/>
                    <a:tailEnd/>
                  </a:ln>
                </pic:spPr>
              </pic:pic>
            </a:graphicData>
          </a:graphic>
        </wp:anchor>
      </w:drawing>
    </w:r>
  </w:p>
  <w:p w:rsidR="00BE59CB" w:rsidRDefault="00BE59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3FC6"/>
    <w:multiLevelType w:val="hybridMultilevel"/>
    <w:tmpl w:val="82186CC6"/>
    <w:lvl w:ilvl="0" w:tplc="2D928EA2">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
    <w:nsid w:val="3FAB4B4B"/>
    <w:multiLevelType w:val="hybridMultilevel"/>
    <w:tmpl w:val="1B3AEEA0"/>
    <w:lvl w:ilvl="0" w:tplc="0B7E5BC6">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
    <w:nsid w:val="45784194"/>
    <w:multiLevelType w:val="hybridMultilevel"/>
    <w:tmpl w:val="82186CC6"/>
    <w:lvl w:ilvl="0" w:tplc="2D928EA2">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
    <w:nsid w:val="462C5108"/>
    <w:multiLevelType w:val="hybridMultilevel"/>
    <w:tmpl w:val="82186CC6"/>
    <w:lvl w:ilvl="0" w:tplc="2D928EA2">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nsid w:val="5F9B7B3E"/>
    <w:multiLevelType w:val="hybridMultilevel"/>
    <w:tmpl w:val="82186CC6"/>
    <w:lvl w:ilvl="0" w:tplc="2D928EA2">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
    <w:nsid w:val="60AC7E33"/>
    <w:multiLevelType w:val="hybridMultilevel"/>
    <w:tmpl w:val="82186CC6"/>
    <w:lvl w:ilvl="0" w:tplc="2D928EA2">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6">
    <w:nsid w:val="64625165"/>
    <w:multiLevelType w:val="hybridMultilevel"/>
    <w:tmpl w:val="B3101AFC"/>
    <w:lvl w:ilvl="0" w:tplc="B6266E9C">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2D"/>
    <w:rsid w:val="000F10F7"/>
    <w:rsid w:val="00157C60"/>
    <w:rsid w:val="00167E36"/>
    <w:rsid w:val="00176841"/>
    <w:rsid w:val="001805D6"/>
    <w:rsid w:val="00271C78"/>
    <w:rsid w:val="00323BEF"/>
    <w:rsid w:val="00362F10"/>
    <w:rsid w:val="003745FC"/>
    <w:rsid w:val="004A34B8"/>
    <w:rsid w:val="00517B94"/>
    <w:rsid w:val="005776CF"/>
    <w:rsid w:val="00585344"/>
    <w:rsid w:val="005B2F1B"/>
    <w:rsid w:val="005C5E81"/>
    <w:rsid w:val="0062155A"/>
    <w:rsid w:val="00696B25"/>
    <w:rsid w:val="006D35F6"/>
    <w:rsid w:val="00706CE5"/>
    <w:rsid w:val="00783270"/>
    <w:rsid w:val="007A4815"/>
    <w:rsid w:val="007B7D84"/>
    <w:rsid w:val="007C7144"/>
    <w:rsid w:val="007D6F0D"/>
    <w:rsid w:val="007F0A24"/>
    <w:rsid w:val="008C433E"/>
    <w:rsid w:val="009811EE"/>
    <w:rsid w:val="009C2DB8"/>
    <w:rsid w:val="009C369F"/>
    <w:rsid w:val="00A540DE"/>
    <w:rsid w:val="00A71C8A"/>
    <w:rsid w:val="00B2019F"/>
    <w:rsid w:val="00BC0C42"/>
    <w:rsid w:val="00BE59CB"/>
    <w:rsid w:val="00C00CFE"/>
    <w:rsid w:val="00C136E4"/>
    <w:rsid w:val="00C34720"/>
    <w:rsid w:val="00C9608A"/>
    <w:rsid w:val="00CC11BA"/>
    <w:rsid w:val="00DE1F0B"/>
    <w:rsid w:val="00E15FAD"/>
    <w:rsid w:val="00E42752"/>
    <w:rsid w:val="00EB222D"/>
    <w:rsid w:val="00F66980"/>
    <w:rsid w:val="00FE1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144"/>
    <w:pPr>
      <w:spacing w:after="120"/>
    </w:pPr>
    <w:rPr>
      <w:rFonts w:ascii="Trebuchet MS" w:eastAsia="Times New Roman" w:hAnsi="Trebuchet MS"/>
      <w:sz w:val="1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7C60"/>
    <w:pPr>
      <w:tabs>
        <w:tab w:val="center" w:pos="4536"/>
        <w:tab w:val="right" w:pos="9072"/>
      </w:tabs>
      <w:spacing w:after="0"/>
    </w:pPr>
    <w:rPr>
      <w:rFonts w:ascii="Calibri" w:eastAsia="Calibri" w:hAnsi="Calibri"/>
      <w:sz w:val="22"/>
    </w:rPr>
  </w:style>
  <w:style w:type="character" w:customStyle="1" w:styleId="ZhlavChar">
    <w:name w:val="Záhlaví Char"/>
    <w:basedOn w:val="Standardnpsmoodstavce"/>
    <w:link w:val="Zhlav"/>
    <w:uiPriority w:val="99"/>
    <w:rsid w:val="00157C60"/>
  </w:style>
  <w:style w:type="paragraph" w:styleId="Zpat">
    <w:name w:val="footer"/>
    <w:basedOn w:val="Normln"/>
    <w:link w:val="ZpatChar"/>
    <w:uiPriority w:val="99"/>
    <w:unhideWhenUsed/>
    <w:rsid w:val="00157C60"/>
    <w:pPr>
      <w:tabs>
        <w:tab w:val="center" w:pos="4536"/>
        <w:tab w:val="right" w:pos="9072"/>
      </w:tabs>
      <w:spacing w:after="0"/>
    </w:pPr>
    <w:rPr>
      <w:rFonts w:ascii="Calibri" w:eastAsia="Calibri" w:hAnsi="Calibri"/>
      <w:sz w:val="22"/>
    </w:rPr>
  </w:style>
  <w:style w:type="character" w:customStyle="1" w:styleId="ZpatChar">
    <w:name w:val="Zápatí Char"/>
    <w:basedOn w:val="Standardnpsmoodstavce"/>
    <w:link w:val="Zpat"/>
    <w:uiPriority w:val="99"/>
    <w:rsid w:val="00157C60"/>
  </w:style>
  <w:style w:type="paragraph" w:styleId="Textbubliny">
    <w:name w:val="Balloon Text"/>
    <w:basedOn w:val="Normln"/>
    <w:link w:val="TextbublinyChar"/>
    <w:uiPriority w:val="99"/>
    <w:semiHidden/>
    <w:unhideWhenUsed/>
    <w:rsid w:val="00157C60"/>
    <w:pPr>
      <w:spacing w:after="0"/>
    </w:pPr>
    <w:rPr>
      <w:rFonts w:ascii="Tahoma" w:eastAsia="Calibri" w:hAnsi="Tahoma"/>
      <w:sz w:val="16"/>
      <w:szCs w:val="16"/>
    </w:rPr>
  </w:style>
  <w:style w:type="character" w:customStyle="1" w:styleId="TextbublinyChar">
    <w:name w:val="Text bubliny Char"/>
    <w:link w:val="Textbubliny"/>
    <w:uiPriority w:val="99"/>
    <w:semiHidden/>
    <w:rsid w:val="00157C60"/>
    <w:rPr>
      <w:rFonts w:ascii="Tahoma" w:hAnsi="Tahoma" w:cs="Tahoma"/>
      <w:sz w:val="16"/>
      <w:szCs w:val="16"/>
    </w:rPr>
  </w:style>
  <w:style w:type="character" w:styleId="Hypertextovodkaz">
    <w:name w:val="Hyperlink"/>
    <w:uiPriority w:val="99"/>
    <w:unhideWhenUsed/>
    <w:rsid w:val="00157C60"/>
    <w:rPr>
      <w:color w:val="0000FF"/>
      <w:u w:val="single"/>
    </w:rPr>
  </w:style>
  <w:style w:type="paragraph" w:styleId="Zkladntext">
    <w:name w:val="Body Text"/>
    <w:basedOn w:val="Normln"/>
    <w:link w:val="ZkladntextChar"/>
    <w:uiPriority w:val="99"/>
    <w:rsid w:val="0062155A"/>
    <w:pPr>
      <w:spacing w:after="0"/>
      <w:jc w:val="both"/>
    </w:pPr>
    <w:rPr>
      <w:rFonts w:ascii="Times New Roman" w:hAnsi="Times New Roman"/>
      <w:sz w:val="22"/>
      <w:szCs w:val="20"/>
      <w:lang w:val="en-GB"/>
    </w:rPr>
  </w:style>
  <w:style w:type="character" w:customStyle="1" w:styleId="ZkladntextChar">
    <w:name w:val="Základní text Char"/>
    <w:basedOn w:val="Standardnpsmoodstavce"/>
    <w:link w:val="Zkladntext"/>
    <w:uiPriority w:val="99"/>
    <w:rsid w:val="0062155A"/>
    <w:rPr>
      <w:rFonts w:ascii="Times New Roman" w:eastAsia="Times New Roman" w:hAnsi="Times New Roman"/>
      <w:sz w:val="22"/>
      <w:lang w:val="en-GB" w:eastAsia="en-US"/>
    </w:rPr>
  </w:style>
  <w:style w:type="paragraph" w:customStyle="1" w:styleId="sloseznamu">
    <w:name w:val="Číslo seznamu"/>
    <w:uiPriority w:val="99"/>
    <w:rsid w:val="0062155A"/>
    <w:pPr>
      <w:tabs>
        <w:tab w:val="left" w:pos="170"/>
        <w:tab w:val="left" w:pos="340"/>
      </w:tabs>
      <w:spacing w:line="268" w:lineRule="auto"/>
      <w:jc w:val="both"/>
    </w:pPr>
    <w:rPr>
      <w:rFonts w:ascii="Times New Roman" w:eastAsia="Times New Roman" w:hAnsi="Times New Roman"/>
      <w:b/>
      <w:i/>
      <w:color w:val="000000"/>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144"/>
    <w:pPr>
      <w:spacing w:after="120"/>
    </w:pPr>
    <w:rPr>
      <w:rFonts w:ascii="Trebuchet MS" w:eastAsia="Times New Roman" w:hAnsi="Trebuchet MS"/>
      <w:sz w:val="1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7C60"/>
    <w:pPr>
      <w:tabs>
        <w:tab w:val="center" w:pos="4536"/>
        <w:tab w:val="right" w:pos="9072"/>
      </w:tabs>
      <w:spacing w:after="0"/>
    </w:pPr>
    <w:rPr>
      <w:rFonts w:ascii="Calibri" w:eastAsia="Calibri" w:hAnsi="Calibri"/>
      <w:sz w:val="22"/>
    </w:rPr>
  </w:style>
  <w:style w:type="character" w:customStyle="1" w:styleId="ZhlavChar">
    <w:name w:val="Záhlaví Char"/>
    <w:basedOn w:val="Standardnpsmoodstavce"/>
    <w:link w:val="Zhlav"/>
    <w:uiPriority w:val="99"/>
    <w:rsid w:val="00157C60"/>
  </w:style>
  <w:style w:type="paragraph" w:styleId="Zpat">
    <w:name w:val="footer"/>
    <w:basedOn w:val="Normln"/>
    <w:link w:val="ZpatChar"/>
    <w:uiPriority w:val="99"/>
    <w:unhideWhenUsed/>
    <w:rsid w:val="00157C60"/>
    <w:pPr>
      <w:tabs>
        <w:tab w:val="center" w:pos="4536"/>
        <w:tab w:val="right" w:pos="9072"/>
      </w:tabs>
      <w:spacing w:after="0"/>
    </w:pPr>
    <w:rPr>
      <w:rFonts w:ascii="Calibri" w:eastAsia="Calibri" w:hAnsi="Calibri"/>
      <w:sz w:val="22"/>
    </w:rPr>
  </w:style>
  <w:style w:type="character" w:customStyle="1" w:styleId="ZpatChar">
    <w:name w:val="Zápatí Char"/>
    <w:basedOn w:val="Standardnpsmoodstavce"/>
    <w:link w:val="Zpat"/>
    <w:uiPriority w:val="99"/>
    <w:rsid w:val="00157C60"/>
  </w:style>
  <w:style w:type="paragraph" w:styleId="Textbubliny">
    <w:name w:val="Balloon Text"/>
    <w:basedOn w:val="Normln"/>
    <w:link w:val="TextbublinyChar"/>
    <w:uiPriority w:val="99"/>
    <w:semiHidden/>
    <w:unhideWhenUsed/>
    <w:rsid w:val="00157C60"/>
    <w:pPr>
      <w:spacing w:after="0"/>
    </w:pPr>
    <w:rPr>
      <w:rFonts w:ascii="Tahoma" w:eastAsia="Calibri" w:hAnsi="Tahoma"/>
      <w:sz w:val="16"/>
      <w:szCs w:val="16"/>
    </w:rPr>
  </w:style>
  <w:style w:type="character" w:customStyle="1" w:styleId="TextbublinyChar">
    <w:name w:val="Text bubliny Char"/>
    <w:link w:val="Textbubliny"/>
    <w:uiPriority w:val="99"/>
    <w:semiHidden/>
    <w:rsid w:val="00157C60"/>
    <w:rPr>
      <w:rFonts w:ascii="Tahoma" w:hAnsi="Tahoma" w:cs="Tahoma"/>
      <w:sz w:val="16"/>
      <w:szCs w:val="16"/>
    </w:rPr>
  </w:style>
  <w:style w:type="character" w:styleId="Hypertextovodkaz">
    <w:name w:val="Hyperlink"/>
    <w:uiPriority w:val="99"/>
    <w:unhideWhenUsed/>
    <w:rsid w:val="00157C60"/>
    <w:rPr>
      <w:color w:val="0000FF"/>
      <w:u w:val="single"/>
    </w:rPr>
  </w:style>
  <w:style w:type="paragraph" w:styleId="Zkladntext">
    <w:name w:val="Body Text"/>
    <w:basedOn w:val="Normln"/>
    <w:link w:val="ZkladntextChar"/>
    <w:uiPriority w:val="99"/>
    <w:rsid w:val="0062155A"/>
    <w:pPr>
      <w:spacing w:after="0"/>
      <w:jc w:val="both"/>
    </w:pPr>
    <w:rPr>
      <w:rFonts w:ascii="Times New Roman" w:hAnsi="Times New Roman"/>
      <w:sz w:val="22"/>
      <w:szCs w:val="20"/>
      <w:lang w:val="en-GB"/>
    </w:rPr>
  </w:style>
  <w:style w:type="character" w:customStyle="1" w:styleId="ZkladntextChar">
    <w:name w:val="Základní text Char"/>
    <w:basedOn w:val="Standardnpsmoodstavce"/>
    <w:link w:val="Zkladntext"/>
    <w:uiPriority w:val="99"/>
    <w:rsid w:val="0062155A"/>
    <w:rPr>
      <w:rFonts w:ascii="Times New Roman" w:eastAsia="Times New Roman" w:hAnsi="Times New Roman"/>
      <w:sz w:val="22"/>
      <w:lang w:val="en-GB" w:eastAsia="en-US"/>
    </w:rPr>
  </w:style>
  <w:style w:type="paragraph" w:customStyle="1" w:styleId="sloseznamu">
    <w:name w:val="Číslo seznamu"/>
    <w:uiPriority w:val="99"/>
    <w:rsid w:val="0062155A"/>
    <w:pPr>
      <w:tabs>
        <w:tab w:val="left" w:pos="170"/>
        <w:tab w:val="left" w:pos="340"/>
      </w:tabs>
      <w:spacing w:line="268" w:lineRule="auto"/>
      <w:jc w:val="both"/>
    </w:pPr>
    <w:rPr>
      <w:rFonts w:ascii="Times New Roman" w:eastAsia="Times New Roman" w:hAnsi="Times New Roman"/>
      <w:b/>
      <w:i/>
      <w:color w:val="00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72319">
      <w:bodyDiv w:val="1"/>
      <w:marLeft w:val="0"/>
      <w:marRight w:val="0"/>
      <w:marTop w:val="0"/>
      <w:marBottom w:val="0"/>
      <w:divBdr>
        <w:top w:val="none" w:sz="0" w:space="0" w:color="auto"/>
        <w:left w:val="none" w:sz="0" w:space="0" w:color="auto"/>
        <w:bottom w:val="none" w:sz="0" w:space="0" w:color="auto"/>
        <w:right w:val="none" w:sz="0" w:space="0" w:color="auto"/>
      </w:divBdr>
    </w:div>
    <w:div w:id="18884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3090</Words>
  <Characters>18235</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Michal</cp:lastModifiedBy>
  <cp:revision>2</cp:revision>
  <cp:lastPrinted>2014-09-24T16:05:00Z</cp:lastPrinted>
  <dcterms:created xsi:type="dcterms:W3CDTF">2019-01-11T14:03:00Z</dcterms:created>
  <dcterms:modified xsi:type="dcterms:W3CDTF">2019-01-11T14:03:00Z</dcterms:modified>
</cp:coreProperties>
</file>