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309" w:rsidRPr="00D83309" w:rsidRDefault="00D83309" w:rsidP="00D83309">
      <w:pPr>
        <w:jc w:val="right"/>
        <w:rPr>
          <w:sz w:val="24"/>
          <w:szCs w:val="24"/>
        </w:rPr>
      </w:pPr>
      <w:r w:rsidRPr="00D83309">
        <w:rPr>
          <w:rFonts w:ascii="Arial" w:hAnsi="Arial" w:cs="Arial"/>
          <w:sz w:val="22"/>
          <w:szCs w:val="24"/>
        </w:rPr>
        <w:t xml:space="preserve">Číslo smlouvy: </w:t>
      </w:r>
      <w:r w:rsidRPr="00D83309">
        <w:rPr>
          <w:rFonts w:ascii="Arial" w:hAnsi="Arial" w:cs="Arial"/>
          <w:b/>
          <w:sz w:val="22"/>
          <w:szCs w:val="24"/>
        </w:rPr>
        <w:t>PPK-42a/82/16</w:t>
      </w:r>
      <w:r w:rsidRPr="00D83309">
        <w:rPr>
          <w:rFonts w:ascii="Arial" w:hAnsi="Arial" w:cs="Arial"/>
          <w:sz w:val="22"/>
          <w:szCs w:val="24"/>
        </w:rPr>
        <w:t xml:space="preserve"> </w:t>
      </w:r>
    </w:p>
    <w:p w:rsidR="00D83309" w:rsidRPr="00D83309" w:rsidRDefault="00D83309" w:rsidP="00D83309">
      <w:pPr>
        <w:jc w:val="right"/>
        <w:rPr>
          <w:sz w:val="24"/>
          <w:szCs w:val="24"/>
        </w:rPr>
      </w:pPr>
      <w:r w:rsidRPr="00D83309">
        <w:rPr>
          <w:rFonts w:ascii="Arial" w:hAnsi="Arial" w:cs="Arial"/>
          <w:sz w:val="22"/>
          <w:szCs w:val="24"/>
        </w:rPr>
        <w:t xml:space="preserve">Dotační titul: A1 </w:t>
      </w:r>
    </w:p>
    <w:p w:rsidR="00D83309" w:rsidRPr="00D83309" w:rsidRDefault="00D83309" w:rsidP="008400B3">
      <w:pPr>
        <w:spacing w:before="100" w:beforeAutospacing="1" w:after="100" w:afterAutospacing="1"/>
        <w:jc w:val="center"/>
        <w:rPr>
          <w:sz w:val="24"/>
          <w:szCs w:val="24"/>
        </w:rPr>
      </w:pPr>
      <w:r w:rsidRPr="00D83309">
        <w:rPr>
          <w:rFonts w:ascii="Arial" w:hAnsi="Arial" w:cs="Arial"/>
          <w:b/>
          <w:bCs/>
          <w:sz w:val="22"/>
          <w:szCs w:val="24"/>
        </w:rPr>
        <w:t>SMLOUVA O DÍLO</w:t>
      </w:r>
    </w:p>
    <w:p w:rsidR="00D83309" w:rsidRPr="00D83309" w:rsidRDefault="00D83309" w:rsidP="00D83309">
      <w:pPr>
        <w:spacing w:before="100" w:beforeAutospacing="1" w:after="100" w:afterAutospacing="1"/>
        <w:jc w:val="center"/>
        <w:rPr>
          <w:sz w:val="24"/>
          <w:szCs w:val="24"/>
        </w:rPr>
      </w:pPr>
      <w:r w:rsidRPr="00D83309">
        <w:rPr>
          <w:rFonts w:ascii="Arial" w:hAnsi="Arial" w:cs="Arial"/>
          <w:b/>
          <w:bCs/>
          <w:sz w:val="22"/>
          <w:szCs w:val="24"/>
        </w:rPr>
        <w:t>UZAVŘENÁ DLE USTANOVENÍ § 2586 A NÁSL. ZÁK. Č. 89/2012 SB., OBČANSKÉHO ZÁKONÍKU, VE ZNĚNÍ POZDĚJŠÍCH PŘEDPISŮ</w:t>
      </w:r>
    </w:p>
    <w:p w:rsidR="00D83309" w:rsidRPr="00D83309" w:rsidRDefault="00D83309" w:rsidP="00D83309">
      <w:pPr>
        <w:spacing w:before="100" w:beforeAutospacing="1" w:after="100" w:afterAutospacing="1"/>
        <w:jc w:val="center"/>
        <w:rPr>
          <w:sz w:val="24"/>
          <w:szCs w:val="24"/>
        </w:rPr>
      </w:pPr>
      <w:r w:rsidRPr="00D83309">
        <w:rPr>
          <w:rFonts w:ascii="Arial" w:hAnsi="Arial" w:cs="Arial"/>
          <w:b/>
          <w:bCs/>
          <w:sz w:val="22"/>
          <w:szCs w:val="24"/>
        </w:rPr>
        <w:t>I. Smluvní strany</w:t>
      </w:r>
    </w:p>
    <w:p w:rsidR="00D83309" w:rsidRPr="00D83309" w:rsidRDefault="00D83309" w:rsidP="00D83309">
      <w:pPr>
        <w:spacing w:before="100" w:beforeAutospacing="1" w:after="100" w:afterAutospacing="1"/>
        <w:rPr>
          <w:sz w:val="24"/>
          <w:szCs w:val="24"/>
        </w:rPr>
      </w:pPr>
      <w:r w:rsidRPr="00D83309">
        <w:rPr>
          <w:rFonts w:ascii="Arial" w:hAnsi="Arial" w:cs="Arial"/>
          <w:sz w:val="22"/>
          <w:szCs w:val="24"/>
        </w:rPr>
        <w:t>1.1</w:t>
      </w:r>
      <w:r w:rsidRPr="00D83309">
        <w:rPr>
          <w:rFonts w:ascii="Arial" w:hAnsi="Arial" w:cs="Arial"/>
          <w:b/>
          <w:bCs/>
          <w:sz w:val="22"/>
          <w:szCs w:val="24"/>
        </w:rPr>
        <w:t xml:space="preserve"> Objednatel</w:t>
      </w:r>
    </w:p>
    <w:p w:rsidR="00D83309" w:rsidRPr="00D83309" w:rsidRDefault="00D83309" w:rsidP="00D83309">
      <w:pPr>
        <w:spacing w:before="100" w:beforeAutospacing="1" w:after="100" w:afterAutospacing="1"/>
        <w:rPr>
          <w:sz w:val="24"/>
          <w:szCs w:val="24"/>
        </w:rPr>
      </w:pPr>
      <w:r w:rsidRPr="00D83309">
        <w:rPr>
          <w:rFonts w:ascii="Arial" w:hAnsi="Arial" w:cs="Arial"/>
          <w:b/>
          <w:bCs/>
          <w:sz w:val="22"/>
          <w:szCs w:val="24"/>
        </w:rPr>
        <w:t>Česká republika - Agentura ochrany přírody a krajiny ČR</w:t>
      </w:r>
    </w:p>
    <w:p w:rsidR="00D83309" w:rsidRPr="00D83309" w:rsidRDefault="00D83309" w:rsidP="00D83309">
      <w:pPr>
        <w:rPr>
          <w:sz w:val="24"/>
          <w:szCs w:val="24"/>
        </w:rPr>
      </w:pPr>
      <w:r w:rsidRPr="00D83309">
        <w:rPr>
          <w:rFonts w:ascii="Arial" w:hAnsi="Arial" w:cs="Arial"/>
          <w:sz w:val="22"/>
          <w:szCs w:val="24"/>
        </w:rPr>
        <w:t xml:space="preserve">Sídlo: Kaplanova 1931/1, 148 00 Praha 11 - Chodov </w:t>
      </w:r>
    </w:p>
    <w:p w:rsidR="00D83309" w:rsidRPr="00D83309" w:rsidRDefault="00D83309" w:rsidP="00D83309">
      <w:pPr>
        <w:rPr>
          <w:sz w:val="24"/>
          <w:szCs w:val="24"/>
        </w:rPr>
      </w:pPr>
      <w:r w:rsidRPr="00D83309">
        <w:rPr>
          <w:rFonts w:ascii="Arial" w:hAnsi="Arial" w:cs="Arial"/>
          <w:sz w:val="22"/>
          <w:szCs w:val="24"/>
        </w:rPr>
        <w:t xml:space="preserve">Zastoupený: Mgr. František Jaskula </w:t>
      </w:r>
      <w:r w:rsidRPr="00D83309">
        <w:rPr>
          <w:rFonts w:ascii="Arial" w:hAnsi="Arial" w:cs="Arial"/>
          <w:sz w:val="22"/>
          <w:szCs w:val="24"/>
        </w:rPr>
        <w:br/>
        <w:t xml:space="preserve">ředitel RP SCHKO Beskydy </w:t>
      </w:r>
    </w:p>
    <w:p w:rsidR="00D83309" w:rsidRPr="00D83309" w:rsidRDefault="00D83309" w:rsidP="00D83309">
      <w:pPr>
        <w:rPr>
          <w:sz w:val="24"/>
          <w:szCs w:val="24"/>
        </w:rPr>
      </w:pPr>
      <w:r w:rsidRPr="00D83309">
        <w:rPr>
          <w:rFonts w:ascii="Arial" w:hAnsi="Arial" w:cs="Arial"/>
          <w:sz w:val="22"/>
          <w:szCs w:val="24"/>
        </w:rPr>
        <w:t>Bankovní spojení: ČNB Praha, Číslo účtu: 18228011/0710</w:t>
      </w:r>
    </w:p>
    <w:p w:rsidR="00D83309" w:rsidRPr="00D83309" w:rsidRDefault="00D83309" w:rsidP="00D83309">
      <w:pPr>
        <w:rPr>
          <w:sz w:val="24"/>
          <w:szCs w:val="24"/>
        </w:rPr>
      </w:pPr>
      <w:r w:rsidRPr="00D83309">
        <w:rPr>
          <w:rFonts w:ascii="Arial" w:hAnsi="Arial" w:cs="Arial"/>
          <w:sz w:val="22"/>
          <w:szCs w:val="24"/>
        </w:rPr>
        <w:t>IČO: 629 335 91</w:t>
      </w:r>
      <w:r>
        <w:rPr>
          <w:rFonts w:ascii="Arial" w:hAnsi="Arial" w:cs="Arial"/>
          <w:sz w:val="22"/>
          <w:szCs w:val="24"/>
        </w:rPr>
        <w:t xml:space="preserve"> </w:t>
      </w:r>
      <w:r w:rsidRPr="00D83309">
        <w:rPr>
          <w:rFonts w:ascii="Arial" w:hAnsi="Arial" w:cs="Arial"/>
          <w:sz w:val="22"/>
          <w:szCs w:val="24"/>
        </w:rPr>
        <w:t>DIČ: neplátce DPH</w:t>
      </w:r>
    </w:p>
    <w:p w:rsidR="00D83309" w:rsidRPr="00D83309" w:rsidRDefault="00D83309" w:rsidP="00D83309">
      <w:pPr>
        <w:rPr>
          <w:sz w:val="24"/>
          <w:szCs w:val="24"/>
        </w:rPr>
      </w:pPr>
      <w:r w:rsidRPr="00D83309">
        <w:rPr>
          <w:rFonts w:ascii="Arial" w:hAnsi="Arial" w:cs="Arial"/>
          <w:sz w:val="22"/>
          <w:szCs w:val="24"/>
        </w:rPr>
        <w:t>Telefon: 571 654 293</w:t>
      </w:r>
    </w:p>
    <w:p w:rsidR="00D83309" w:rsidRPr="00D83309" w:rsidRDefault="00D83309" w:rsidP="00D83309">
      <w:pPr>
        <w:jc w:val="both"/>
        <w:rPr>
          <w:sz w:val="24"/>
          <w:szCs w:val="24"/>
        </w:rPr>
      </w:pPr>
      <w:r w:rsidRPr="00D83309">
        <w:rPr>
          <w:rFonts w:ascii="Arial" w:hAnsi="Arial" w:cs="Arial"/>
          <w:sz w:val="22"/>
          <w:szCs w:val="24"/>
        </w:rPr>
        <w:t xml:space="preserve">V rozsahu této smlouvy osoba zmocněná k jednání se zhotovitelem, k věcným úkonům a k převzetí díla: </w:t>
      </w:r>
      <w:r>
        <w:rPr>
          <w:rFonts w:ascii="Arial" w:hAnsi="Arial" w:cs="Arial"/>
          <w:sz w:val="22"/>
          <w:szCs w:val="24"/>
        </w:rPr>
        <w:t>Mgr. Tomáš Myslikovjan</w:t>
      </w:r>
    </w:p>
    <w:p w:rsidR="00D83309" w:rsidRPr="00D83309" w:rsidRDefault="00D83309" w:rsidP="00D83309">
      <w:pPr>
        <w:spacing w:before="100" w:beforeAutospacing="1" w:after="100" w:afterAutospacing="1"/>
        <w:jc w:val="both"/>
        <w:rPr>
          <w:sz w:val="24"/>
          <w:szCs w:val="24"/>
        </w:rPr>
      </w:pPr>
      <w:r w:rsidRPr="00D83309">
        <w:rPr>
          <w:rFonts w:ascii="Arial" w:hAnsi="Arial" w:cs="Arial"/>
          <w:sz w:val="22"/>
          <w:szCs w:val="24"/>
        </w:rPr>
        <w:t xml:space="preserve">(dále jen </w:t>
      </w:r>
      <w:r w:rsidRPr="00D83309">
        <w:rPr>
          <w:rFonts w:ascii="Arial" w:hAnsi="Arial" w:cs="Arial"/>
          <w:sz w:val="22"/>
          <w:szCs w:val="22"/>
          <w:lang w:eastAsia="en-US"/>
        </w:rPr>
        <w:t>„</w:t>
      </w:r>
      <w:r w:rsidRPr="00D83309">
        <w:rPr>
          <w:rFonts w:ascii="Arial" w:hAnsi="Arial" w:cs="Arial"/>
          <w:sz w:val="22"/>
          <w:szCs w:val="24"/>
        </w:rPr>
        <w:t>objednatel”)</w:t>
      </w:r>
    </w:p>
    <w:p w:rsidR="00D83309" w:rsidRPr="00D83309" w:rsidRDefault="00D83309" w:rsidP="00D83309">
      <w:pPr>
        <w:spacing w:before="100" w:beforeAutospacing="1" w:after="100" w:afterAutospacing="1"/>
        <w:rPr>
          <w:sz w:val="24"/>
          <w:szCs w:val="24"/>
        </w:rPr>
      </w:pPr>
      <w:r w:rsidRPr="00D83309">
        <w:rPr>
          <w:rFonts w:ascii="Arial" w:hAnsi="Arial" w:cs="Arial"/>
          <w:sz w:val="22"/>
          <w:szCs w:val="24"/>
        </w:rPr>
        <w:t>a</w:t>
      </w:r>
    </w:p>
    <w:p w:rsidR="00D83309" w:rsidRPr="00D83309" w:rsidRDefault="00D83309" w:rsidP="00D83309">
      <w:pPr>
        <w:spacing w:before="100" w:beforeAutospacing="1" w:after="100" w:afterAutospacing="1"/>
        <w:rPr>
          <w:sz w:val="24"/>
          <w:szCs w:val="24"/>
        </w:rPr>
      </w:pPr>
      <w:r w:rsidRPr="00D83309">
        <w:rPr>
          <w:rFonts w:ascii="Arial" w:hAnsi="Arial" w:cs="Arial"/>
          <w:sz w:val="22"/>
          <w:szCs w:val="24"/>
        </w:rPr>
        <w:t>1.2</w:t>
      </w:r>
      <w:r w:rsidRPr="00D83309">
        <w:rPr>
          <w:rFonts w:ascii="Arial" w:hAnsi="Arial" w:cs="Arial"/>
          <w:b/>
          <w:bCs/>
          <w:sz w:val="22"/>
          <w:szCs w:val="24"/>
        </w:rPr>
        <w:t xml:space="preserve"> Zhotovitel</w:t>
      </w:r>
    </w:p>
    <w:p w:rsidR="008400B3" w:rsidRDefault="008400B3" w:rsidP="008400B3">
      <w:pPr>
        <w:pStyle w:val="Normlnweb"/>
        <w:spacing w:before="0" w:beforeAutospacing="0" w:after="0" w:afterAutospacing="0"/>
      </w:pPr>
      <w:r>
        <w:rPr>
          <w:rStyle w:val="Siln"/>
          <w:rFonts w:ascii="Arial" w:hAnsi="Arial" w:cs="Arial"/>
          <w:sz w:val="22"/>
        </w:rPr>
        <w:t xml:space="preserve">Miroslava Šamajová, Lesnictví - těžba a odvoz dřeva </w:t>
      </w:r>
    </w:p>
    <w:p w:rsidR="008400B3" w:rsidRDefault="008400B3" w:rsidP="008400B3">
      <w:pPr>
        <w:pStyle w:val="Normlnweb"/>
        <w:spacing w:before="0" w:beforeAutospacing="0" w:after="0" w:afterAutospacing="0"/>
      </w:pPr>
      <w:r>
        <w:rPr>
          <w:rFonts w:ascii="Arial" w:hAnsi="Arial" w:cs="Arial"/>
          <w:sz w:val="22"/>
        </w:rPr>
        <w:t>Sídlo: Nová Ves 29, 73911 Frýdlant nad Ostravicí</w:t>
      </w:r>
      <w:r>
        <w:rPr>
          <w:rFonts w:ascii="Arial" w:hAnsi="Arial" w:cs="Arial"/>
          <w:sz w:val="22"/>
        </w:rPr>
        <w:br/>
        <w:t>Zastoupený: Miroslava Šamajová</w:t>
      </w:r>
      <w:r>
        <w:rPr>
          <w:rFonts w:ascii="Arial" w:hAnsi="Arial" w:cs="Arial"/>
          <w:sz w:val="22"/>
        </w:rPr>
        <w:br/>
        <w:t xml:space="preserve">Bankovní spojení: ČS, Číslo účtu: 2916568359/0800 </w:t>
      </w:r>
      <w:r>
        <w:rPr>
          <w:rFonts w:ascii="Arial" w:hAnsi="Arial" w:cs="Arial"/>
          <w:sz w:val="22"/>
        </w:rPr>
        <w:br/>
        <w:t>IČO: 70597618</w:t>
      </w:r>
      <w:r>
        <w:rPr>
          <w:rFonts w:ascii="Arial" w:hAnsi="Arial" w:cs="Arial"/>
          <w:sz w:val="22"/>
        </w:rPr>
        <w:br/>
        <w:t>DIČ: CZ 6453286972</w:t>
      </w:r>
    </w:p>
    <w:p w:rsidR="00D83309" w:rsidRPr="00D83309" w:rsidRDefault="00D83309" w:rsidP="008400B3">
      <w:pPr>
        <w:rPr>
          <w:sz w:val="24"/>
          <w:szCs w:val="24"/>
        </w:rPr>
      </w:pPr>
      <w:r w:rsidRPr="00D83309">
        <w:rPr>
          <w:rFonts w:ascii="Arial" w:hAnsi="Arial" w:cs="Arial"/>
          <w:sz w:val="22"/>
          <w:szCs w:val="24"/>
        </w:rPr>
        <w:t xml:space="preserve">(dále jen </w:t>
      </w:r>
      <w:r w:rsidRPr="00D83309">
        <w:rPr>
          <w:rFonts w:ascii="Arial" w:hAnsi="Arial" w:cs="Arial"/>
          <w:sz w:val="22"/>
          <w:szCs w:val="22"/>
          <w:lang w:eastAsia="en-US"/>
        </w:rPr>
        <w:t>„</w:t>
      </w:r>
      <w:r w:rsidRPr="00D83309">
        <w:rPr>
          <w:rFonts w:ascii="Arial" w:hAnsi="Arial" w:cs="Arial"/>
          <w:sz w:val="22"/>
          <w:szCs w:val="24"/>
        </w:rPr>
        <w:t xml:space="preserve">zhotovitel”) </w:t>
      </w:r>
    </w:p>
    <w:p w:rsidR="00D83309" w:rsidRPr="00D83309" w:rsidRDefault="00D83309" w:rsidP="00D83309">
      <w:pPr>
        <w:spacing w:before="100" w:beforeAutospacing="1" w:after="100" w:afterAutospacing="1"/>
        <w:jc w:val="center"/>
        <w:rPr>
          <w:sz w:val="24"/>
          <w:szCs w:val="24"/>
        </w:rPr>
      </w:pPr>
      <w:r w:rsidRPr="00D83309">
        <w:rPr>
          <w:rFonts w:ascii="Arial" w:hAnsi="Arial" w:cs="Arial"/>
          <w:b/>
          <w:bCs/>
          <w:sz w:val="22"/>
          <w:szCs w:val="24"/>
        </w:rPr>
        <w:t>II. Předmět smlouvy</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2.1 </w:t>
      </w:r>
      <w:r w:rsidRPr="00D83309">
        <w:rPr>
          <w:rFonts w:ascii="Arial" w:hAnsi="Arial" w:cs="Arial"/>
          <w:sz w:val="22"/>
          <w:szCs w:val="22"/>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D83309" w:rsidRDefault="00D83309" w:rsidP="00D83309">
      <w:pPr>
        <w:keepLines/>
        <w:spacing w:before="120" w:after="120"/>
        <w:ind w:left="340" w:hanging="340"/>
        <w:jc w:val="both"/>
        <w:rPr>
          <w:rFonts w:ascii="Arial" w:hAnsi="Arial" w:cs="Arial"/>
          <w:sz w:val="22"/>
          <w:szCs w:val="24"/>
        </w:rPr>
      </w:pPr>
      <w:r w:rsidRPr="00D83309">
        <w:rPr>
          <w:rFonts w:ascii="Arial" w:hAnsi="Arial" w:cs="Arial"/>
          <w:sz w:val="22"/>
          <w:szCs w:val="24"/>
        </w:rPr>
        <w:t xml:space="preserve">2.2 Dílem se rozumí: </w:t>
      </w:r>
    </w:p>
    <w:p w:rsidR="00D83309" w:rsidRDefault="00D83309" w:rsidP="00D83309">
      <w:pPr>
        <w:pStyle w:val="Zkladntext"/>
        <w:ind w:firstLine="708"/>
        <w:rPr>
          <w:rFonts w:ascii="Arial" w:hAnsi="Arial"/>
          <w:b/>
          <w:u w:val="single"/>
        </w:rPr>
      </w:pPr>
    </w:p>
    <w:p w:rsidR="00D83309" w:rsidRPr="00FF536D" w:rsidRDefault="00D83309" w:rsidP="00D83309">
      <w:pPr>
        <w:pStyle w:val="Zkladntext"/>
        <w:numPr>
          <w:ilvl w:val="0"/>
          <w:numId w:val="7"/>
        </w:numPr>
        <w:pBdr>
          <w:top w:val="single" w:sz="4" w:space="1" w:color="auto"/>
          <w:left w:val="single" w:sz="4" w:space="4" w:color="auto"/>
          <w:bottom w:val="single" w:sz="4" w:space="1" w:color="auto"/>
          <w:right w:val="single" w:sz="4" w:space="4" w:color="auto"/>
        </w:pBdr>
        <w:ind w:left="426"/>
        <w:rPr>
          <w:rFonts w:ascii="Arial" w:hAnsi="Arial"/>
          <w:b/>
        </w:rPr>
      </w:pPr>
      <w:r w:rsidRPr="00FF536D">
        <w:rPr>
          <w:rFonts w:ascii="Arial" w:hAnsi="Arial"/>
          <w:b/>
        </w:rPr>
        <w:t xml:space="preserve">Výsadba </w:t>
      </w:r>
    </w:p>
    <w:p w:rsidR="00D83309" w:rsidRDefault="00D83309" w:rsidP="00D83309">
      <w:pPr>
        <w:pStyle w:val="Zkladntext"/>
        <w:ind w:left="426"/>
        <w:rPr>
          <w:rFonts w:ascii="Arial" w:hAnsi="Arial"/>
          <w:b/>
          <w:u w:val="single"/>
        </w:rPr>
      </w:pPr>
    </w:p>
    <w:p w:rsidR="00D83309" w:rsidRDefault="00D83309" w:rsidP="00D83309">
      <w:pPr>
        <w:pStyle w:val="Zkladntext"/>
        <w:numPr>
          <w:ilvl w:val="0"/>
          <w:numId w:val="8"/>
        </w:numPr>
        <w:ind w:left="709" w:hanging="283"/>
        <w:rPr>
          <w:rFonts w:ascii="Arial" w:hAnsi="Arial"/>
          <w:b/>
          <w:u w:val="single"/>
        </w:rPr>
      </w:pPr>
      <w:r>
        <w:rPr>
          <w:rFonts w:ascii="Arial" w:hAnsi="Arial"/>
          <w:b/>
          <w:u w:val="single"/>
        </w:rPr>
        <w:t xml:space="preserve">Přírodní rezervace (PR) Ropice </w:t>
      </w:r>
    </w:p>
    <w:p w:rsidR="00D05A7E" w:rsidRDefault="00D05A7E" w:rsidP="00D05A7E">
      <w:pPr>
        <w:pStyle w:val="Zkladntext"/>
        <w:tabs>
          <w:tab w:val="left" w:pos="567"/>
        </w:tabs>
        <w:ind w:left="426"/>
        <w:rPr>
          <w:rFonts w:ascii="Arial" w:hAnsi="Arial"/>
        </w:rPr>
      </w:pPr>
      <w:r>
        <w:rPr>
          <w:rFonts w:ascii="Arial" w:hAnsi="Arial"/>
        </w:rPr>
        <w:t xml:space="preserve">- </w:t>
      </w:r>
      <w:r w:rsidR="00D83309">
        <w:rPr>
          <w:rFonts w:ascii="Arial" w:hAnsi="Arial"/>
        </w:rPr>
        <w:t>výsadba 250 ks jedle a 50 ks javoru klenu do menší oplocenky ve východní části porostní skupiny 112 B 6 na plochu po nahodilé těžbě,</w:t>
      </w:r>
    </w:p>
    <w:p w:rsidR="00D05A7E" w:rsidRDefault="00D05A7E" w:rsidP="00D05A7E">
      <w:pPr>
        <w:pStyle w:val="Zkladntext"/>
        <w:tabs>
          <w:tab w:val="left" w:pos="567"/>
        </w:tabs>
        <w:ind w:left="426"/>
        <w:rPr>
          <w:rFonts w:ascii="Arial" w:hAnsi="Arial"/>
        </w:rPr>
      </w:pPr>
      <w:r>
        <w:rPr>
          <w:rFonts w:ascii="Arial" w:hAnsi="Arial"/>
        </w:rPr>
        <w:t xml:space="preserve">- </w:t>
      </w:r>
      <w:r w:rsidR="00D83309">
        <w:rPr>
          <w:rFonts w:ascii="Arial" w:hAnsi="Arial"/>
        </w:rPr>
        <w:t>v</w:t>
      </w:r>
      <w:r w:rsidR="00D83309" w:rsidRPr="008D3E08">
        <w:rPr>
          <w:rFonts w:ascii="Arial" w:hAnsi="Arial"/>
        </w:rPr>
        <w:t>ýsadba</w:t>
      </w:r>
      <w:r w:rsidR="00D83309">
        <w:rPr>
          <w:rFonts w:ascii="Arial" w:hAnsi="Arial"/>
        </w:rPr>
        <w:t xml:space="preserve"> 300 ks javoru klenu a 10 ks jilmu horského do větší oplocenky v západní části porostní skupiny 112 B 6 (plocha po kůrovcové a václavkové nahodilé těžbě),</w:t>
      </w:r>
    </w:p>
    <w:p w:rsidR="00D05A7E" w:rsidRDefault="00D05A7E" w:rsidP="00D05A7E">
      <w:pPr>
        <w:pStyle w:val="Zkladntext"/>
        <w:tabs>
          <w:tab w:val="left" w:pos="567"/>
        </w:tabs>
        <w:ind w:left="426"/>
        <w:rPr>
          <w:rFonts w:ascii="Arial" w:hAnsi="Arial"/>
        </w:rPr>
      </w:pPr>
      <w:r>
        <w:rPr>
          <w:rFonts w:ascii="Arial" w:hAnsi="Arial"/>
        </w:rPr>
        <w:t xml:space="preserve">- </w:t>
      </w:r>
      <w:r w:rsidR="00D83309">
        <w:rPr>
          <w:rFonts w:ascii="Arial" w:hAnsi="Arial"/>
        </w:rPr>
        <w:t>výsadba 400 ks jedle bělokoré do oplocenky po nahodilé kůrovcové těžbě v porostní skupině 112 B 13,</w:t>
      </w:r>
    </w:p>
    <w:p w:rsidR="00D05A7E" w:rsidRDefault="00D05A7E" w:rsidP="00D05A7E">
      <w:pPr>
        <w:pStyle w:val="Zkladntext"/>
        <w:tabs>
          <w:tab w:val="left" w:pos="567"/>
        </w:tabs>
        <w:ind w:left="426"/>
        <w:rPr>
          <w:rFonts w:ascii="Arial" w:hAnsi="Arial"/>
        </w:rPr>
      </w:pPr>
      <w:r>
        <w:rPr>
          <w:rFonts w:ascii="Arial" w:hAnsi="Arial"/>
        </w:rPr>
        <w:t xml:space="preserve">- </w:t>
      </w:r>
      <w:r w:rsidR="00D83309">
        <w:rPr>
          <w:rFonts w:ascii="Arial" w:hAnsi="Arial"/>
        </w:rPr>
        <w:t xml:space="preserve">podsadba </w:t>
      </w:r>
      <w:r w:rsidR="00FA4E04">
        <w:rPr>
          <w:rFonts w:ascii="Arial" w:hAnsi="Arial"/>
        </w:rPr>
        <w:t>3 750</w:t>
      </w:r>
      <w:r w:rsidR="00D83309">
        <w:rPr>
          <w:rFonts w:ascii="Arial" w:hAnsi="Arial"/>
        </w:rPr>
        <w:t xml:space="preserve"> ks jedle bělokoré v porostních skupinách 112 C 12</w:t>
      </w:r>
      <w:r w:rsidR="00A673E8">
        <w:rPr>
          <w:rFonts w:ascii="Arial" w:hAnsi="Arial"/>
        </w:rPr>
        <w:t>,</w:t>
      </w:r>
      <w:r w:rsidR="00D83309">
        <w:rPr>
          <w:rFonts w:ascii="Arial" w:hAnsi="Arial"/>
        </w:rPr>
        <w:t xml:space="preserve"> 112 D 13</w:t>
      </w:r>
      <w:r w:rsidR="00A673E8">
        <w:rPr>
          <w:rFonts w:ascii="Arial" w:hAnsi="Arial"/>
        </w:rPr>
        <w:t xml:space="preserve"> a 112 F 13</w:t>
      </w:r>
      <w:r w:rsidR="00D83309">
        <w:rPr>
          <w:rFonts w:ascii="Arial" w:hAnsi="Arial"/>
        </w:rPr>
        <w:t xml:space="preserve"> do světlin mimo souvislé přirozené zmlazení (lokalita před chatou Skaliny),</w:t>
      </w:r>
    </w:p>
    <w:p w:rsidR="00D05A7E" w:rsidRDefault="00D05A7E" w:rsidP="00D05A7E">
      <w:pPr>
        <w:pStyle w:val="Zkladntext"/>
        <w:tabs>
          <w:tab w:val="left" w:pos="567"/>
        </w:tabs>
        <w:ind w:left="426"/>
        <w:rPr>
          <w:rFonts w:ascii="Arial" w:hAnsi="Arial"/>
        </w:rPr>
      </w:pPr>
      <w:r>
        <w:rPr>
          <w:rFonts w:ascii="Arial" w:hAnsi="Arial"/>
        </w:rPr>
        <w:lastRenderedPageBreak/>
        <w:t xml:space="preserve">- </w:t>
      </w:r>
      <w:r w:rsidR="00D83309">
        <w:rPr>
          <w:rFonts w:ascii="Arial" w:hAnsi="Arial"/>
        </w:rPr>
        <w:t>výsadba 2 200 ks jedle bělokoré na plochu po kůrovcové nahodilé těžbě v porostní skupině 112 E 13,</w:t>
      </w:r>
    </w:p>
    <w:p w:rsidR="00D83309" w:rsidRDefault="00D05A7E" w:rsidP="00D05A7E">
      <w:pPr>
        <w:pStyle w:val="Zkladntext"/>
        <w:tabs>
          <w:tab w:val="left" w:pos="567"/>
        </w:tabs>
        <w:ind w:left="426"/>
        <w:rPr>
          <w:rFonts w:ascii="Arial" w:hAnsi="Arial"/>
        </w:rPr>
      </w:pPr>
      <w:r>
        <w:rPr>
          <w:rFonts w:ascii="Arial" w:hAnsi="Arial"/>
        </w:rPr>
        <w:t xml:space="preserve">- </w:t>
      </w:r>
      <w:r w:rsidR="00D83309">
        <w:rPr>
          <w:rFonts w:ascii="Arial" w:hAnsi="Arial"/>
        </w:rPr>
        <w:t xml:space="preserve">výsadba 900 ks jedle jako doplnění starších výsadeb do tří nově postavených oplocenek po kůrovcové nahodilé těžbě v porostních skupinách 217 C 11 a 217 B 13 + podsadba 1 200 ks jedle ve spodní části porostní skupiny 217 C 11 (mimo oplocení pod usychající smrkový porost). </w:t>
      </w:r>
    </w:p>
    <w:p w:rsidR="00D83309" w:rsidRDefault="00D83309" w:rsidP="00D83309">
      <w:pPr>
        <w:pStyle w:val="Zkladntext"/>
        <w:ind w:left="1026"/>
        <w:rPr>
          <w:rFonts w:ascii="Arial" w:hAnsi="Arial"/>
        </w:rPr>
      </w:pPr>
    </w:p>
    <w:p w:rsidR="00D83309" w:rsidRPr="002A156E" w:rsidRDefault="00D83309" w:rsidP="00D83309">
      <w:pPr>
        <w:pStyle w:val="Zkladntext"/>
        <w:ind w:firstLine="360"/>
        <w:rPr>
          <w:rFonts w:ascii="Arial" w:hAnsi="Arial" w:cs="Arial"/>
          <w:highlight w:val="yellow"/>
        </w:rPr>
      </w:pPr>
      <w:r w:rsidRPr="002A156E">
        <w:rPr>
          <w:rFonts w:ascii="Arial" w:hAnsi="Arial"/>
        </w:rPr>
        <w:t>K výsadbě bude použito autochtonního sadebního materiálu pěstovaného alternativním způsobem v lesní školce v Košařiskách na základě dlouhodobé dohody se Správou CHKO Beskydy. Vysazovány budou prostokořenné jedlové sazenice s výškou nadzemní části přesahující 20 cm a s tloušťkou kořenového krčku více jak 5 mm. Jedle se bude podsazovat v bioskupinách po 12 nebo 13 kusech v přibližném sponu 60 x 60 cm do světlin mimo přirozené zmlazení smrku a buku do jamek o velikosti 3</w:t>
      </w:r>
      <w:r w:rsidRPr="002A156E">
        <w:rPr>
          <w:rFonts w:ascii="Arial" w:hAnsi="Arial" w:cs="Arial"/>
        </w:rPr>
        <w:t>5 x 35 cm. Hloučky jedlí budou co nejvíce rozptýleny po ploše porostu v minimální vzdálenosti 5 metrů od sebe, vysazovat se bude mimo souvislé porosty borůvky. V případě javoru klenu a jilmu horského budou použity prostokořenné sazenice o minimální výšce nadzemní části 30 cm.</w:t>
      </w:r>
      <w:r w:rsidRPr="002A156E">
        <w:rPr>
          <w:rFonts w:ascii="Arial" w:hAnsi="Arial" w:cs="Arial"/>
          <w:highlight w:val="yellow"/>
        </w:rPr>
        <w:t xml:space="preserve"> </w:t>
      </w:r>
    </w:p>
    <w:p w:rsidR="00D83309" w:rsidRDefault="00D83309" w:rsidP="00D83309">
      <w:pPr>
        <w:pStyle w:val="Zkladntext"/>
        <w:ind w:left="720"/>
        <w:rPr>
          <w:rFonts w:ascii="Arial" w:hAnsi="Arial"/>
          <w:b/>
          <w:u w:val="single"/>
        </w:rPr>
      </w:pPr>
    </w:p>
    <w:p w:rsidR="00D83309" w:rsidRPr="00FF536D" w:rsidRDefault="00D83309" w:rsidP="00D83309">
      <w:pPr>
        <w:pStyle w:val="Zkladntext"/>
        <w:numPr>
          <w:ilvl w:val="0"/>
          <w:numId w:val="7"/>
        </w:numPr>
        <w:pBdr>
          <w:top w:val="single" w:sz="4" w:space="1" w:color="auto"/>
          <w:left w:val="single" w:sz="4" w:space="4" w:color="auto"/>
          <w:bottom w:val="single" w:sz="4" w:space="1" w:color="auto"/>
          <w:right w:val="single" w:sz="4" w:space="4" w:color="auto"/>
        </w:pBdr>
        <w:ind w:left="426"/>
        <w:rPr>
          <w:rFonts w:ascii="Arial" w:hAnsi="Arial"/>
        </w:rPr>
      </w:pPr>
      <w:r w:rsidRPr="00FF536D">
        <w:rPr>
          <w:rFonts w:ascii="Arial" w:hAnsi="Arial"/>
          <w:b/>
        </w:rPr>
        <w:t>Stavba</w:t>
      </w:r>
      <w:r w:rsidRPr="00580346">
        <w:rPr>
          <w:rFonts w:ascii="Arial" w:hAnsi="Arial"/>
        </w:rPr>
        <w:t xml:space="preserve"> </w:t>
      </w:r>
      <w:r w:rsidRPr="00FF536D">
        <w:rPr>
          <w:rFonts w:ascii="Arial" w:hAnsi="Arial"/>
          <w:b/>
        </w:rPr>
        <w:t xml:space="preserve">oplocení </w:t>
      </w:r>
      <w:r w:rsidRPr="00FF536D">
        <w:rPr>
          <w:rFonts w:ascii="Arial" w:hAnsi="Arial"/>
        </w:rPr>
        <w:t>ke skupinové ochraně výsadeb a přiroz</w:t>
      </w:r>
      <w:r>
        <w:rPr>
          <w:rFonts w:ascii="Arial" w:hAnsi="Arial"/>
        </w:rPr>
        <w:t>eného</w:t>
      </w:r>
      <w:r w:rsidRPr="00FF536D">
        <w:rPr>
          <w:rFonts w:ascii="Arial" w:hAnsi="Arial"/>
        </w:rPr>
        <w:t xml:space="preserve"> zmlazení dřevin</w:t>
      </w:r>
    </w:p>
    <w:p w:rsidR="00D83309" w:rsidRDefault="00D83309" w:rsidP="00D83309">
      <w:pPr>
        <w:pStyle w:val="Zkladntext"/>
        <w:ind w:firstLine="708"/>
        <w:rPr>
          <w:rFonts w:ascii="Arial" w:hAnsi="Arial"/>
          <w:szCs w:val="22"/>
        </w:rPr>
      </w:pPr>
    </w:p>
    <w:p w:rsidR="00D83309" w:rsidRPr="007F3AEF" w:rsidRDefault="00D83309" w:rsidP="00D83309">
      <w:pPr>
        <w:pStyle w:val="Zkladntext"/>
        <w:numPr>
          <w:ilvl w:val="0"/>
          <w:numId w:val="11"/>
        </w:numPr>
        <w:ind w:left="709" w:hanging="283"/>
        <w:rPr>
          <w:rFonts w:ascii="Arial" w:hAnsi="Arial"/>
          <w:szCs w:val="22"/>
        </w:rPr>
      </w:pPr>
      <w:r>
        <w:rPr>
          <w:rFonts w:ascii="Arial" w:hAnsi="Arial"/>
          <w:b/>
          <w:u w:val="single"/>
        </w:rPr>
        <w:t>PR Ropice</w:t>
      </w:r>
      <w:r>
        <w:rPr>
          <w:rFonts w:ascii="Arial" w:hAnsi="Arial"/>
          <w:b/>
        </w:rPr>
        <w:t xml:space="preserve"> </w:t>
      </w:r>
    </w:p>
    <w:p w:rsidR="00D05A7E" w:rsidRDefault="00D05A7E" w:rsidP="00D05A7E">
      <w:pPr>
        <w:pStyle w:val="Zkladntext"/>
        <w:tabs>
          <w:tab w:val="left" w:pos="567"/>
        </w:tabs>
        <w:ind w:left="426"/>
        <w:rPr>
          <w:rFonts w:ascii="Arial" w:hAnsi="Arial"/>
        </w:rPr>
      </w:pPr>
      <w:r>
        <w:rPr>
          <w:rFonts w:ascii="Arial" w:hAnsi="Arial"/>
        </w:rPr>
        <w:t xml:space="preserve">- </w:t>
      </w:r>
      <w:r w:rsidR="00D83309">
        <w:rPr>
          <w:rFonts w:ascii="Arial" w:hAnsi="Arial"/>
        </w:rPr>
        <w:t xml:space="preserve">stavba 3 malých oplocenek o celkovém obvodu 250 m v místech po nahodilých těžbách kůrovcem a václavkou napadených </w:t>
      </w:r>
      <w:proofErr w:type="gramStart"/>
      <w:r w:rsidR="00D83309">
        <w:rPr>
          <w:rFonts w:ascii="Arial" w:hAnsi="Arial"/>
        </w:rPr>
        <w:t>smrků  v porostních</w:t>
      </w:r>
      <w:proofErr w:type="gramEnd"/>
      <w:r w:rsidR="00D83309">
        <w:rPr>
          <w:rFonts w:ascii="Arial" w:hAnsi="Arial"/>
        </w:rPr>
        <w:t xml:space="preserve"> skupinách 112 B 6 (2x) a 112 B 13 (1x) v k. ú. Řeka,</w:t>
      </w:r>
    </w:p>
    <w:p w:rsidR="00D83309" w:rsidRPr="00506D15" w:rsidRDefault="00D05A7E" w:rsidP="00D05A7E">
      <w:pPr>
        <w:pStyle w:val="Zkladntext"/>
        <w:tabs>
          <w:tab w:val="left" w:pos="567"/>
        </w:tabs>
        <w:ind w:left="426"/>
        <w:rPr>
          <w:rFonts w:ascii="Arial" w:hAnsi="Arial"/>
          <w:szCs w:val="22"/>
        </w:rPr>
      </w:pPr>
      <w:r>
        <w:rPr>
          <w:rFonts w:ascii="Arial" w:hAnsi="Arial"/>
        </w:rPr>
        <w:t xml:space="preserve">- </w:t>
      </w:r>
      <w:r w:rsidR="00D83309" w:rsidRPr="00A63B2C">
        <w:rPr>
          <w:rFonts w:ascii="Arial" w:hAnsi="Arial"/>
        </w:rPr>
        <w:t>stavba 3 malých oplocenek o celkovém obvodu 350 m v</w:t>
      </w:r>
      <w:r w:rsidR="00D83309">
        <w:rPr>
          <w:rFonts w:ascii="Arial" w:hAnsi="Arial"/>
        </w:rPr>
        <w:t xml:space="preserve"> místech po nahodilých kůrovcových těžbách smrku v </w:t>
      </w:r>
      <w:r w:rsidR="00D83309" w:rsidRPr="00A63B2C">
        <w:rPr>
          <w:rFonts w:ascii="Arial" w:hAnsi="Arial"/>
        </w:rPr>
        <w:t xml:space="preserve">porostních skupinách </w:t>
      </w:r>
      <w:r w:rsidR="00D83309">
        <w:rPr>
          <w:rFonts w:ascii="Arial" w:hAnsi="Arial"/>
        </w:rPr>
        <w:t>217 C 11 a 217 B 13.</w:t>
      </w:r>
      <w:r w:rsidR="00D83309" w:rsidRPr="004E398A">
        <w:rPr>
          <w:rFonts w:ascii="Arial" w:hAnsi="Arial"/>
          <w:color w:val="FF0000"/>
          <w:szCs w:val="22"/>
        </w:rPr>
        <w:t xml:space="preserve">   </w:t>
      </w:r>
    </w:p>
    <w:p w:rsidR="00D83309" w:rsidRDefault="00D83309" w:rsidP="00D83309">
      <w:pPr>
        <w:pStyle w:val="Zkladntext"/>
        <w:ind w:firstLine="708"/>
        <w:rPr>
          <w:rFonts w:ascii="Arial" w:hAnsi="Arial"/>
        </w:rPr>
      </w:pPr>
    </w:p>
    <w:p w:rsidR="00D83309" w:rsidRPr="005E3A7A" w:rsidRDefault="00D83309" w:rsidP="00D83309">
      <w:pPr>
        <w:autoSpaceDE w:val="0"/>
        <w:autoSpaceDN w:val="0"/>
        <w:adjustRightInd w:val="0"/>
        <w:jc w:val="both"/>
        <w:rPr>
          <w:rFonts w:ascii="Arial" w:hAnsi="Arial" w:cs="Arial"/>
          <w:i/>
          <w:iCs/>
        </w:rPr>
      </w:pPr>
      <w:r w:rsidRPr="005E3A7A">
        <w:rPr>
          <w:rFonts w:ascii="Arial" w:hAnsi="Arial" w:cs="Arial"/>
          <w:i/>
          <w:iCs/>
          <w:u w:val="single"/>
        </w:rPr>
        <w:t>Popis oplocenek</w:t>
      </w:r>
      <w:r w:rsidRPr="005E3A7A">
        <w:rPr>
          <w:rFonts w:ascii="Arial" w:hAnsi="Arial" w:cs="Arial"/>
          <w:i/>
          <w:iCs/>
        </w:rPr>
        <w:t xml:space="preserve"> </w:t>
      </w:r>
      <w:r w:rsidRPr="005E3A7A">
        <w:rPr>
          <w:rFonts w:ascii="Arial" w:hAnsi="Arial" w:cs="Arial"/>
          <w:bCs/>
          <w:i/>
          <w:iCs/>
        </w:rPr>
        <w:t>(odpovídá schválenému standardu AOPK pro oplocenku 1</w:t>
      </w:r>
      <w:r>
        <w:rPr>
          <w:rFonts w:ascii="Arial" w:hAnsi="Arial" w:cs="Arial"/>
          <w:bCs/>
          <w:i/>
          <w:iCs/>
        </w:rPr>
        <w:t>6</w:t>
      </w:r>
      <w:r w:rsidRPr="005E3A7A">
        <w:rPr>
          <w:rFonts w:ascii="Arial" w:hAnsi="Arial" w:cs="Arial"/>
          <w:bCs/>
          <w:i/>
          <w:iCs/>
        </w:rPr>
        <w:t>0/3 - zlepšení struktury lesního porostu):</w:t>
      </w:r>
      <w:r w:rsidRPr="005E3A7A">
        <w:rPr>
          <w:rFonts w:ascii="Arial" w:hAnsi="Arial" w:cs="Arial"/>
          <w:i/>
          <w:iCs/>
        </w:rPr>
        <w:t xml:space="preserve"> </w:t>
      </w:r>
      <w:r w:rsidRPr="005E3A7A">
        <w:rPr>
          <w:rFonts w:ascii="Arial" w:hAnsi="Arial" w:cs="Arial"/>
          <w:bCs/>
          <w:i/>
          <w:iCs/>
        </w:rPr>
        <w:t>Uzlíkové lesnické p</w:t>
      </w:r>
      <w:r>
        <w:rPr>
          <w:rFonts w:ascii="Arial" w:hAnsi="Arial" w:cs="Arial"/>
          <w:i/>
          <w:iCs/>
        </w:rPr>
        <w:t>letivo vysoké nejméně 16</w:t>
      </w:r>
      <w:r w:rsidRPr="005E3A7A">
        <w:rPr>
          <w:rFonts w:ascii="Arial" w:hAnsi="Arial" w:cs="Arial"/>
          <w:i/>
          <w:iCs/>
        </w:rPr>
        <w:t xml:space="preserve">0 cm je upevněno na kůlech zapuštěných silnějším koncem do země do hloubky min. 50 cm. Kůly všech lomových bodů jsou zavětrovány proti směru tahu pletiva, jinak je každý třetí kůl zavětrován ve 2/3 výšky pod úhlem min. 45°. Kůly jsou vyrobeny z čerstvé smrkové tyčoviny o minimálním průměru 12 cm. Maximální vzdálenost kůlů, tedy délka polí je 3 m. </w:t>
      </w:r>
      <w:r>
        <w:rPr>
          <w:rFonts w:ascii="Arial" w:hAnsi="Arial" w:cs="Arial"/>
          <w:i/>
          <w:iCs/>
        </w:rPr>
        <w:t xml:space="preserve">Vstup do každé oplocenky bude řešen brankou. </w:t>
      </w:r>
      <w:r w:rsidRPr="005E3A7A">
        <w:rPr>
          <w:rFonts w:ascii="Arial" w:hAnsi="Arial" w:cs="Arial"/>
          <w:i/>
          <w:iCs/>
        </w:rPr>
        <w:t xml:space="preserve">   </w:t>
      </w:r>
    </w:p>
    <w:p w:rsidR="00D83309" w:rsidRPr="00C1682D" w:rsidRDefault="00D83309" w:rsidP="00D83309">
      <w:pPr>
        <w:pStyle w:val="Normlnweb"/>
        <w:spacing w:before="0" w:beforeAutospacing="0" w:after="0" w:afterAutospacing="0"/>
        <w:jc w:val="both"/>
        <w:rPr>
          <w:rFonts w:ascii="Arial" w:hAnsi="Arial" w:cs="Arial"/>
        </w:rPr>
      </w:pPr>
    </w:p>
    <w:p w:rsidR="00D83309" w:rsidRDefault="00D83309" w:rsidP="00D83309">
      <w:pPr>
        <w:pStyle w:val="Zkladntext"/>
        <w:ind w:firstLine="708"/>
        <w:rPr>
          <w:rFonts w:ascii="Arial" w:hAnsi="Arial"/>
        </w:rPr>
      </w:pPr>
      <w:r>
        <w:rPr>
          <w:rFonts w:ascii="Arial" w:hAnsi="Arial"/>
        </w:rPr>
        <w:t xml:space="preserve"> </w:t>
      </w:r>
      <w:r w:rsidRPr="00506D15">
        <w:rPr>
          <w:rFonts w:ascii="Arial" w:hAnsi="Arial"/>
        </w:rPr>
        <w:t xml:space="preserve">Opatření na zlepšení druhové skladby lesů a posílení jejich biodiverzity </w:t>
      </w:r>
      <w:r>
        <w:rPr>
          <w:rFonts w:ascii="Arial" w:hAnsi="Arial"/>
        </w:rPr>
        <w:t xml:space="preserve">jsou v souladu s platným plánem péče o PR Ropice a </w:t>
      </w:r>
      <w:r w:rsidRPr="00506D15">
        <w:rPr>
          <w:rFonts w:ascii="Arial" w:hAnsi="Arial"/>
        </w:rPr>
        <w:t>bud</w:t>
      </w:r>
      <w:r>
        <w:rPr>
          <w:rFonts w:ascii="Arial" w:hAnsi="Arial"/>
        </w:rPr>
        <w:t>ou realizována</w:t>
      </w:r>
      <w:r w:rsidRPr="00506D15">
        <w:rPr>
          <w:rFonts w:ascii="Arial" w:hAnsi="Arial"/>
        </w:rPr>
        <w:t xml:space="preserve"> na částech státních lesních pozemků v k. ú. Řeka a k. ú. Morávka ve správě Lesů ČR, s. p., Lesní správy Frýdek – Místek (revíry Komorní Lhotka a Pražmo).</w:t>
      </w:r>
    </w:p>
    <w:p w:rsidR="00D83309" w:rsidRPr="00506D15" w:rsidRDefault="00D83309" w:rsidP="00D83309">
      <w:pPr>
        <w:pStyle w:val="Zkladntext"/>
        <w:ind w:firstLine="708"/>
        <w:rPr>
          <w:rFonts w:ascii="Arial" w:hAnsi="Arial"/>
          <w:b/>
        </w:rPr>
      </w:pPr>
    </w:p>
    <w:p w:rsidR="00D83309" w:rsidRDefault="00D83309" w:rsidP="00D05A7E">
      <w:pPr>
        <w:pStyle w:val="Zkladntext"/>
        <w:rPr>
          <w:rFonts w:ascii="Arial" w:hAnsi="Arial"/>
          <w:szCs w:val="22"/>
        </w:rPr>
      </w:pPr>
      <w:r w:rsidRPr="00506D15">
        <w:rPr>
          <w:rFonts w:ascii="Arial" w:hAnsi="Arial"/>
          <w:szCs w:val="22"/>
        </w:rPr>
        <w:t>B</w:t>
      </w:r>
      <w:r w:rsidRPr="000C23B9">
        <w:rPr>
          <w:rFonts w:ascii="Arial" w:hAnsi="Arial"/>
          <w:szCs w:val="22"/>
        </w:rPr>
        <w:t>ližší lokalizace všech uvedených opatření je zachycena na přiložené lesnické mapě.</w:t>
      </w:r>
    </w:p>
    <w:p w:rsidR="00D83309" w:rsidRPr="00D83309" w:rsidRDefault="00D83309" w:rsidP="00D83309">
      <w:pPr>
        <w:spacing w:before="120" w:after="120"/>
        <w:ind w:left="340"/>
        <w:jc w:val="both"/>
        <w:rPr>
          <w:sz w:val="24"/>
          <w:szCs w:val="24"/>
        </w:rPr>
      </w:pPr>
      <w:r w:rsidRPr="00D83309">
        <w:rPr>
          <w:rFonts w:ascii="Arial" w:hAnsi="Arial" w:cs="Arial"/>
          <w:sz w:val="22"/>
          <w:szCs w:val="24"/>
        </w:rPr>
        <w:t xml:space="preserve"> (dále jen „dílo“)</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2.3 Při provádění díla je zhotovitel vázán pokyny objednatele.</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D83309" w:rsidRPr="00D83309" w:rsidRDefault="00D83309" w:rsidP="00D83309">
      <w:pPr>
        <w:spacing w:before="100" w:beforeAutospacing="1" w:after="100" w:afterAutospacing="1"/>
        <w:jc w:val="center"/>
        <w:rPr>
          <w:sz w:val="24"/>
          <w:szCs w:val="24"/>
        </w:rPr>
      </w:pPr>
      <w:r w:rsidRPr="00D83309">
        <w:rPr>
          <w:rFonts w:ascii="Arial" w:hAnsi="Arial" w:cs="Arial"/>
          <w:b/>
          <w:bCs/>
          <w:sz w:val="22"/>
          <w:szCs w:val="24"/>
        </w:rPr>
        <w:t>III. Cena díla a platební podmínky</w:t>
      </w:r>
    </w:p>
    <w:p w:rsidR="00D83309" w:rsidRPr="00D83309" w:rsidRDefault="00D83309" w:rsidP="00D83309">
      <w:pPr>
        <w:rPr>
          <w:sz w:val="24"/>
          <w:szCs w:val="24"/>
        </w:rPr>
      </w:pPr>
      <w:r w:rsidRPr="00D83309">
        <w:rPr>
          <w:rFonts w:ascii="Arial" w:hAnsi="Arial" w:cs="Arial"/>
          <w:sz w:val="22"/>
          <w:szCs w:val="24"/>
        </w:rPr>
        <w:t>3.1 Cena díla je stanovena v souladu s právními předpisy:</w:t>
      </w:r>
    </w:p>
    <w:p w:rsidR="00D83309" w:rsidRPr="00D83309" w:rsidRDefault="00D83309" w:rsidP="00D83309">
      <w:pPr>
        <w:spacing w:before="120" w:after="120"/>
        <w:ind w:left="340"/>
        <w:jc w:val="both"/>
        <w:rPr>
          <w:sz w:val="24"/>
          <w:szCs w:val="24"/>
        </w:rPr>
      </w:pPr>
      <w:r w:rsidRPr="00D83309">
        <w:rPr>
          <w:rFonts w:ascii="Arial" w:hAnsi="Arial" w:cs="Arial"/>
          <w:sz w:val="22"/>
          <w:szCs w:val="24"/>
        </w:rPr>
        <w:t xml:space="preserve">Cena bez DPH: </w:t>
      </w:r>
      <w:r>
        <w:rPr>
          <w:rFonts w:ascii="Arial" w:hAnsi="Arial" w:cs="Arial"/>
          <w:sz w:val="22"/>
          <w:szCs w:val="24"/>
        </w:rPr>
        <w:t xml:space="preserve"> 2</w:t>
      </w:r>
      <w:r w:rsidR="00FA4E04">
        <w:rPr>
          <w:rFonts w:ascii="Arial" w:hAnsi="Arial" w:cs="Arial"/>
          <w:sz w:val="22"/>
          <w:szCs w:val="24"/>
        </w:rPr>
        <w:t>35 500</w:t>
      </w:r>
      <w:r>
        <w:rPr>
          <w:rFonts w:ascii="Arial" w:hAnsi="Arial" w:cs="Arial"/>
          <w:sz w:val="22"/>
          <w:szCs w:val="24"/>
        </w:rPr>
        <w:t xml:space="preserve"> </w:t>
      </w:r>
      <w:r w:rsidRPr="00D83309">
        <w:rPr>
          <w:rFonts w:ascii="Arial" w:hAnsi="Arial" w:cs="Arial"/>
          <w:sz w:val="22"/>
          <w:szCs w:val="24"/>
        </w:rPr>
        <w:t>Kč</w:t>
      </w:r>
    </w:p>
    <w:p w:rsidR="00D83309" w:rsidRPr="00D83309" w:rsidRDefault="00D83309" w:rsidP="00D83309">
      <w:pPr>
        <w:spacing w:before="120" w:after="120"/>
        <w:ind w:left="340"/>
        <w:jc w:val="both"/>
        <w:rPr>
          <w:sz w:val="24"/>
          <w:szCs w:val="24"/>
        </w:rPr>
      </w:pPr>
      <w:r w:rsidRPr="00D83309">
        <w:rPr>
          <w:rFonts w:ascii="Arial" w:hAnsi="Arial" w:cs="Arial"/>
          <w:sz w:val="22"/>
          <w:szCs w:val="24"/>
        </w:rPr>
        <w:t xml:space="preserve">DPH 21%: </w:t>
      </w:r>
      <w:r>
        <w:rPr>
          <w:rFonts w:ascii="Arial" w:hAnsi="Arial" w:cs="Arial"/>
          <w:sz w:val="22"/>
          <w:szCs w:val="24"/>
        </w:rPr>
        <w:t>4</w:t>
      </w:r>
      <w:r w:rsidR="00FA4E04">
        <w:rPr>
          <w:rFonts w:ascii="Arial" w:hAnsi="Arial" w:cs="Arial"/>
          <w:sz w:val="22"/>
          <w:szCs w:val="24"/>
        </w:rPr>
        <w:t>9</w:t>
      </w:r>
      <w:r>
        <w:rPr>
          <w:rFonts w:ascii="Arial" w:hAnsi="Arial" w:cs="Arial"/>
          <w:sz w:val="22"/>
          <w:szCs w:val="24"/>
        </w:rPr>
        <w:t> </w:t>
      </w:r>
      <w:r w:rsidR="00FA4E04">
        <w:rPr>
          <w:rFonts w:ascii="Arial" w:hAnsi="Arial" w:cs="Arial"/>
          <w:sz w:val="22"/>
          <w:szCs w:val="24"/>
        </w:rPr>
        <w:t>455</w:t>
      </w:r>
      <w:r>
        <w:rPr>
          <w:rFonts w:ascii="Arial" w:hAnsi="Arial" w:cs="Arial"/>
          <w:sz w:val="22"/>
          <w:szCs w:val="24"/>
        </w:rPr>
        <w:t xml:space="preserve"> </w:t>
      </w:r>
      <w:r w:rsidRPr="00D83309">
        <w:rPr>
          <w:rFonts w:ascii="Arial" w:hAnsi="Arial" w:cs="Arial"/>
          <w:sz w:val="22"/>
          <w:szCs w:val="24"/>
        </w:rPr>
        <w:t>Kč</w:t>
      </w:r>
    </w:p>
    <w:p w:rsidR="00D83309" w:rsidRPr="00D83309" w:rsidRDefault="00D83309" w:rsidP="00D83309">
      <w:pPr>
        <w:spacing w:before="120" w:after="120"/>
        <w:ind w:left="340"/>
        <w:jc w:val="both"/>
        <w:rPr>
          <w:sz w:val="24"/>
          <w:szCs w:val="24"/>
        </w:rPr>
      </w:pPr>
      <w:r w:rsidRPr="00D83309">
        <w:rPr>
          <w:rFonts w:ascii="Arial" w:hAnsi="Arial" w:cs="Arial"/>
          <w:sz w:val="22"/>
          <w:szCs w:val="24"/>
        </w:rPr>
        <w:t>Cena včetně DPH:</w:t>
      </w:r>
      <w:r>
        <w:rPr>
          <w:rFonts w:ascii="Arial" w:hAnsi="Arial" w:cs="Arial"/>
          <w:sz w:val="22"/>
          <w:szCs w:val="24"/>
        </w:rPr>
        <w:t xml:space="preserve"> </w:t>
      </w:r>
      <w:r w:rsidRPr="00D83309">
        <w:rPr>
          <w:rFonts w:ascii="Arial" w:hAnsi="Arial" w:cs="Arial"/>
          <w:b/>
          <w:sz w:val="22"/>
          <w:szCs w:val="24"/>
        </w:rPr>
        <w:t>2</w:t>
      </w:r>
      <w:r w:rsidR="00FA4E04">
        <w:rPr>
          <w:rFonts w:ascii="Arial" w:hAnsi="Arial" w:cs="Arial"/>
          <w:b/>
          <w:sz w:val="22"/>
          <w:szCs w:val="24"/>
        </w:rPr>
        <w:t>84</w:t>
      </w:r>
      <w:r w:rsidRPr="00D83309">
        <w:rPr>
          <w:rFonts w:ascii="Arial" w:hAnsi="Arial" w:cs="Arial"/>
          <w:b/>
          <w:sz w:val="22"/>
          <w:szCs w:val="24"/>
        </w:rPr>
        <w:t xml:space="preserve"> </w:t>
      </w:r>
      <w:r w:rsidR="00FA4E04">
        <w:rPr>
          <w:rFonts w:ascii="Arial" w:hAnsi="Arial" w:cs="Arial"/>
          <w:b/>
          <w:sz w:val="22"/>
          <w:szCs w:val="24"/>
        </w:rPr>
        <w:t>955</w:t>
      </w:r>
      <w:r w:rsidRPr="00D83309">
        <w:rPr>
          <w:rFonts w:ascii="Arial" w:hAnsi="Arial" w:cs="Arial"/>
          <w:b/>
          <w:sz w:val="22"/>
          <w:szCs w:val="24"/>
        </w:rPr>
        <w:t>,- Kč</w:t>
      </w:r>
      <w:r w:rsidRPr="00D83309">
        <w:rPr>
          <w:rFonts w:ascii="Arial" w:hAnsi="Arial" w:cs="Arial"/>
          <w:sz w:val="22"/>
          <w:szCs w:val="24"/>
        </w:rPr>
        <w:t>, (slovy dvěstě</w:t>
      </w:r>
      <w:r w:rsidR="002D28F2">
        <w:rPr>
          <w:rFonts w:ascii="Arial" w:hAnsi="Arial" w:cs="Arial"/>
          <w:sz w:val="22"/>
          <w:szCs w:val="24"/>
        </w:rPr>
        <w:t>osmdesátčtyřitisícdevětsetpadesátpět</w:t>
      </w:r>
      <w:r w:rsidRPr="00D83309">
        <w:rPr>
          <w:rFonts w:ascii="Arial" w:hAnsi="Arial" w:cs="Arial"/>
          <w:sz w:val="22"/>
          <w:szCs w:val="24"/>
        </w:rPr>
        <w:t xml:space="preserve"> tisíc korun českých).</w:t>
      </w:r>
      <w:r>
        <w:rPr>
          <w:rFonts w:ascii="Arial" w:hAnsi="Arial" w:cs="Arial"/>
          <w:sz w:val="22"/>
          <w:szCs w:val="24"/>
        </w:rPr>
        <w:t xml:space="preserve"> </w:t>
      </w:r>
      <w:r w:rsidRPr="00D83309">
        <w:rPr>
          <w:rFonts w:ascii="Arial" w:hAnsi="Arial" w:cs="Arial"/>
          <w:sz w:val="22"/>
          <w:szCs w:val="24"/>
        </w:rPr>
        <w:t>Zhotovitel je plátce DPH.</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lastRenderedPageBreak/>
        <w:t>3.2 Dohodnutá cena je stanovena jako nejvýše přípustná. Ke změně může dojít pouze při změně zákonných sazeb DPH.</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3.3 Veškeré náklady vzniklé zhotoviteli v souvislosti s prováděním díla jsou zahrnuty v ceně díla. </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D83309">
        <w:rPr>
          <w:rFonts w:ascii="Arial" w:hAnsi="Arial" w:cs="Arial"/>
          <w:sz w:val="22"/>
          <w:szCs w:val="24"/>
        </w:rPr>
        <w:t>11.11. kalendářního</w:t>
      </w:r>
      <w:proofErr w:type="gramEnd"/>
      <w:r w:rsidRPr="00D83309">
        <w:rPr>
          <w:rFonts w:ascii="Arial" w:hAnsi="Arial" w:cs="Arial"/>
          <w:sz w:val="22"/>
          <w:szCs w:val="24"/>
        </w:rPr>
        <w:t xml:space="preserve"> roku) na základě předávacího protokolu na adresu: Regionální pracoviště SCHKO Beskydy, Nádražní 36, 756 61 Rožnov pod Radhoštěm.</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3.7 Smluvní strany se dohodly, že objednatel nebude poskytovat zálohové platby. </w:t>
      </w:r>
    </w:p>
    <w:p w:rsidR="00D83309" w:rsidRPr="00D83309" w:rsidRDefault="00D83309" w:rsidP="00D83309">
      <w:pPr>
        <w:spacing w:before="100" w:beforeAutospacing="1" w:after="100" w:afterAutospacing="1"/>
        <w:jc w:val="center"/>
        <w:rPr>
          <w:sz w:val="24"/>
          <w:szCs w:val="24"/>
        </w:rPr>
      </w:pPr>
      <w:r w:rsidRPr="00D83309">
        <w:rPr>
          <w:rFonts w:ascii="Arial" w:hAnsi="Arial" w:cs="Arial"/>
          <w:b/>
          <w:bCs/>
          <w:sz w:val="22"/>
          <w:szCs w:val="24"/>
        </w:rPr>
        <w:t>IV.</w:t>
      </w:r>
      <w:r w:rsidRPr="00D83309">
        <w:rPr>
          <w:rFonts w:ascii="Arial" w:hAnsi="Arial" w:cs="Arial"/>
          <w:sz w:val="22"/>
          <w:szCs w:val="24"/>
        </w:rPr>
        <w:t xml:space="preserve"> </w:t>
      </w:r>
      <w:r w:rsidRPr="00D83309">
        <w:rPr>
          <w:rFonts w:ascii="Arial" w:hAnsi="Arial" w:cs="Arial"/>
          <w:b/>
          <w:bCs/>
          <w:sz w:val="22"/>
          <w:szCs w:val="24"/>
        </w:rPr>
        <w:t>Doba a místo plnění</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4.1 Zhotovitel se zavazuje provést dílo a předat jej objednateli nejpozději </w:t>
      </w:r>
      <w:proofErr w:type="gramStart"/>
      <w:r w:rsidRPr="00D83309">
        <w:rPr>
          <w:rFonts w:ascii="Arial" w:hAnsi="Arial" w:cs="Arial"/>
          <w:sz w:val="22"/>
          <w:szCs w:val="24"/>
        </w:rPr>
        <w:t>do</w:t>
      </w:r>
      <w:proofErr w:type="gramEnd"/>
      <w:r w:rsidRPr="00D83309">
        <w:rPr>
          <w:rFonts w:ascii="Arial" w:hAnsi="Arial" w:cs="Arial"/>
          <w:sz w:val="22"/>
          <w:szCs w:val="24"/>
        </w:rPr>
        <w:t xml:space="preserve">: </w:t>
      </w:r>
      <w:proofErr w:type="gramStart"/>
      <w:r w:rsidRPr="00D83309">
        <w:rPr>
          <w:rFonts w:ascii="Arial" w:hAnsi="Arial" w:cs="Arial"/>
          <w:sz w:val="22"/>
          <w:szCs w:val="24"/>
        </w:rPr>
        <w:t>10.11.2016</w:t>
      </w:r>
      <w:proofErr w:type="gramEnd"/>
      <w:r w:rsidRPr="00D83309">
        <w:rPr>
          <w:rFonts w:ascii="Arial" w:hAnsi="Arial" w:cs="Arial"/>
          <w:sz w:val="22"/>
          <w:szCs w:val="24"/>
        </w:rPr>
        <w:t>.</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4.2 Pokud zhotovitel dokončí dílo před dohodnutým termínem, zavazuje se objednatel, že převezme dílo i v dřívějším nabídnutém termínu, pokud bude bez vad a nedodělků.</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4.3 Místem plnění je </w:t>
      </w:r>
      <w:proofErr w:type="gramStart"/>
      <w:r w:rsidRPr="00D83309">
        <w:rPr>
          <w:rFonts w:ascii="Arial" w:hAnsi="Arial" w:cs="Arial"/>
          <w:sz w:val="22"/>
          <w:szCs w:val="24"/>
        </w:rPr>
        <w:t>p.č.</w:t>
      </w:r>
      <w:proofErr w:type="gramEnd"/>
      <w:r w:rsidRPr="00D83309">
        <w:rPr>
          <w:rFonts w:ascii="Arial" w:hAnsi="Arial" w:cs="Arial"/>
          <w:sz w:val="22"/>
          <w:szCs w:val="24"/>
        </w:rPr>
        <w:t xml:space="preserve">779/267 a 1563/31 v k.ú. Morávka a </w:t>
      </w:r>
      <w:proofErr w:type="gramStart"/>
      <w:r w:rsidRPr="00D83309">
        <w:rPr>
          <w:rFonts w:ascii="Arial" w:hAnsi="Arial" w:cs="Arial"/>
          <w:sz w:val="22"/>
          <w:szCs w:val="24"/>
        </w:rPr>
        <w:t>p.č.</w:t>
      </w:r>
      <w:proofErr w:type="gramEnd"/>
      <w:r w:rsidRPr="00D83309">
        <w:rPr>
          <w:rFonts w:ascii="Arial" w:hAnsi="Arial" w:cs="Arial"/>
          <w:sz w:val="22"/>
          <w:szCs w:val="24"/>
        </w:rPr>
        <w:t xml:space="preserve"> 1039</w:t>
      </w:r>
      <w:r w:rsidR="00FA4E04">
        <w:rPr>
          <w:rFonts w:ascii="Arial" w:hAnsi="Arial" w:cs="Arial"/>
          <w:sz w:val="22"/>
          <w:szCs w:val="24"/>
        </w:rPr>
        <w:t>,</w:t>
      </w:r>
      <w:r w:rsidRPr="00D83309">
        <w:rPr>
          <w:rFonts w:ascii="Arial" w:hAnsi="Arial" w:cs="Arial"/>
          <w:sz w:val="22"/>
          <w:szCs w:val="24"/>
        </w:rPr>
        <w:t xml:space="preserve"> 1041/1</w:t>
      </w:r>
      <w:r w:rsidR="00FA4E04">
        <w:rPr>
          <w:rFonts w:ascii="Arial" w:hAnsi="Arial" w:cs="Arial"/>
          <w:sz w:val="22"/>
          <w:szCs w:val="24"/>
        </w:rPr>
        <w:t>, 1046/2, 1046/4, 1046/8 a 1046/14</w:t>
      </w:r>
      <w:r w:rsidRPr="00D83309">
        <w:rPr>
          <w:rFonts w:ascii="Arial" w:hAnsi="Arial" w:cs="Arial"/>
          <w:sz w:val="22"/>
          <w:szCs w:val="24"/>
        </w:rPr>
        <w:t xml:space="preserve"> v k.ú. Řeka.</w:t>
      </w:r>
    </w:p>
    <w:p w:rsidR="00D83309" w:rsidRPr="00D83309" w:rsidRDefault="00D83309" w:rsidP="00D83309">
      <w:pPr>
        <w:spacing w:before="100" w:beforeAutospacing="1" w:after="100" w:afterAutospacing="1"/>
        <w:jc w:val="center"/>
        <w:rPr>
          <w:sz w:val="24"/>
          <w:szCs w:val="24"/>
        </w:rPr>
      </w:pPr>
      <w:r w:rsidRPr="00D83309">
        <w:rPr>
          <w:rFonts w:ascii="Arial" w:hAnsi="Arial" w:cs="Arial"/>
          <w:b/>
          <w:bCs/>
          <w:sz w:val="22"/>
          <w:szCs w:val="24"/>
        </w:rPr>
        <w:t>V. Další ujednání</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5.1 Zhotovitel je povinen provést dílo v kvalitě, formě a obsahu, které vyžaduje tato smlouva a která je obvyklá pro díla obdobného typu. Zhotovitel je povinen po celou dobu provádění díla dbát pokynů objednatele.</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83309" w:rsidRPr="00D83309" w:rsidRDefault="00D83309" w:rsidP="00D83309">
      <w:pPr>
        <w:spacing w:before="100" w:beforeAutospacing="1" w:after="100" w:afterAutospacing="1"/>
        <w:jc w:val="center"/>
        <w:rPr>
          <w:sz w:val="24"/>
          <w:szCs w:val="24"/>
        </w:rPr>
      </w:pPr>
      <w:r w:rsidRPr="00D83309">
        <w:rPr>
          <w:rFonts w:ascii="Arial" w:hAnsi="Arial" w:cs="Arial"/>
          <w:b/>
          <w:bCs/>
          <w:sz w:val="22"/>
          <w:szCs w:val="24"/>
        </w:rPr>
        <w:t>VI. Předání a převzetí díla</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6.1 O předání díla vyhotoví smluvní strany předávací protokol podepsaný oběma smluvními stranami. Objednatel není povinen převzít dílo vykazující byť drobné vady či nedodělky.</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83309" w:rsidRPr="00D83309" w:rsidRDefault="00D83309" w:rsidP="00D83309">
      <w:pPr>
        <w:keepLines/>
        <w:spacing w:before="120" w:after="120"/>
        <w:ind w:left="340" w:hanging="340"/>
        <w:jc w:val="center"/>
        <w:rPr>
          <w:sz w:val="24"/>
          <w:szCs w:val="24"/>
        </w:rPr>
      </w:pPr>
      <w:r w:rsidRPr="00D83309">
        <w:rPr>
          <w:rFonts w:ascii="Arial" w:hAnsi="Arial" w:cs="Arial"/>
          <w:b/>
          <w:bCs/>
          <w:sz w:val="22"/>
          <w:szCs w:val="24"/>
        </w:rPr>
        <w:t>VII. Odpovědnost za vady</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7.1 Zhotovitel odpovídá za vady, jež má dílo v době jeho předání objednateli, byť se vady projeví až později.</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7.3 Objednatel je oprávněn požadovat odstranění vady opravou, poskytnutím náhradního plnění nebo slevu ze sjednané ceny. Výběr způsobu nápravy náleží objednateli. </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7.4 </w:t>
      </w:r>
      <w:r w:rsidR="00E44200">
        <w:rPr>
          <w:rFonts w:ascii="Arial" w:hAnsi="Arial" w:cs="Arial"/>
          <w:sz w:val="22"/>
        </w:rPr>
        <w:t>Zhotovitel poskytuje objednateli smluvní záruku za jakost díla v délce 6 měsíců ode dne konečného předání a převzetí díla,</w:t>
      </w:r>
      <w:r w:rsidR="00E44200" w:rsidRPr="004C1B38">
        <w:rPr>
          <w:rFonts w:ascii="Arial" w:hAnsi="Arial" w:cs="Arial"/>
          <w:sz w:val="22"/>
        </w:rPr>
        <w:t xml:space="preserve"> </w:t>
      </w:r>
      <w:r w:rsidR="00E44200">
        <w:rPr>
          <w:rFonts w:ascii="Arial" w:hAnsi="Arial" w:cs="Arial"/>
          <w:sz w:val="22"/>
        </w:rPr>
        <w:t>a to pokud budou ztráty vyšší jak 5 % z celkového počtu vysazených sazenic.</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7.5 Záruční doba počíná běžet dnem předání kompletního a bezvadného díla, popř. dnem odstranění poslední vady a nedodělku uvedeného v předávacím protokolu.</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7.7 Objednatel je oprávněn požadovat odstranění vady, na kterou se vztahuje záruka, opravou, poskytnutím náhradního plnění nebo slevu ze sjednané ceny. Výběr způsobu nápravy náleží objednateli.</w:t>
      </w:r>
    </w:p>
    <w:p w:rsidR="00D83309" w:rsidRPr="00D83309" w:rsidRDefault="00D83309" w:rsidP="00D83309">
      <w:pPr>
        <w:keepLines/>
        <w:spacing w:before="120" w:after="120"/>
        <w:ind w:left="340" w:hanging="340"/>
        <w:jc w:val="center"/>
        <w:rPr>
          <w:sz w:val="24"/>
          <w:szCs w:val="24"/>
        </w:rPr>
      </w:pPr>
      <w:r w:rsidRPr="00D83309">
        <w:rPr>
          <w:rFonts w:ascii="Arial" w:hAnsi="Arial" w:cs="Arial"/>
          <w:b/>
          <w:bCs/>
          <w:sz w:val="22"/>
          <w:szCs w:val="24"/>
        </w:rPr>
        <w:t>VIII. Sankce</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8.3 Ustanoveními o smluvní pokutě není dotčen nárok oprávněné smluvní strany požadovat náhradu škody v plném rozsahu.</w:t>
      </w:r>
    </w:p>
    <w:p w:rsidR="00D83309" w:rsidRPr="00D83309" w:rsidRDefault="00D83309" w:rsidP="00D83309">
      <w:pPr>
        <w:keepLines/>
        <w:spacing w:before="120" w:after="120"/>
        <w:ind w:left="340" w:hanging="340"/>
        <w:jc w:val="center"/>
        <w:rPr>
          <w:sz w:val="24"/>
          <w:szCs w:val="24"/>
        </w:rPr>
      </w:pPr>
      <w:r w:rsidRPr="00D83309">
        <w:rPr>
          <w:rFonts w:ascii="Arial" w:hAnsi="Arial" w:cs="Arial"/>
          <w:b/>
          <w:bCs/>
          <w:sz w:val="22"/>
          <w:szCs w:val="24"/>
        </w:rPr>
        <w:t>IX. Závěrečná ustanovení</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9.1 Tato smlouva může být měněna a doplňována pouze písemnými a očíslovanými dodatky podepsanými oprávněnými zástupci smluvních stran, není-li v této smlouvě uvedeno jinak. </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9.2 Ve věcech touto smlouvou neupravených se řídí práva a povinnosti smluvních stran příslušnými ustanoveními zákona č. 89/2012 Sb., občanského zákoníku. </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9.4 Tato smlouva je vyhotovena v třech stejnopisech, z nichž každý má platnost originálu. Dva stejnopisy obdrží objednatel, jeden stejnopis obdrží zhotovitel. </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 xml:space="preserve">9.5 </w:t>
      </w:r>
      <w:r w:rsidRPr="00D83309">
        <w:rPr>
          <w:rFonts w:ascii="Arial" w:hAnsi="Arial" w:cs="Arial"/>
          <w:bCs/>
          <w:sz w:val="22"/>
          <w:szCs w:val="22"/>
        </w:rPr>
        <w:t>Smlouva nabývá platnosti a účinnosti dnem jejího podpisu oprávněným zástupcem poslední smluvní strany.</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lastRenderedPageBreak/>
        <w:t>9.6 Obě smluvní strany prohlašují, že se seznámily s celým textem smlouvy včetně jejich příloh a s celým obsahem smlouvy souhlasí. Současně prohlašují, že tato smlouva nebyla sjednána v tísni ani za jinak nápadně nevýhodných podmínek.</w:t>
      </w:r>
    </w:p>
    <w:p w:rsidR="00D83309" w:rsidRPr="00D83309" w:rsidRDefault="00D83309" w:rsidP="00D83309">
      <w:pPr>
        <w:keepLines/>
        <w:spacing w:before="120" w:after="120"/>
        <w:ind w:left="340" w:hanging="340"/>
        <w:jc w:val="both"/>
        <w:rPr>
          <w:sz w:val="24"/>
          <w:szCs w:val="24"/>
        </w:rPr>
      </w:pPr>
      <w:r w:rsidRPr="00D83309">
        <w:rPr>
          <w:rFonts w:ascii="Arial" w:hAnsi="Arial" w:cs="Arial"/>
          <w:sz w:val="22"/>
          <w:szCs w:val="24"/>
        </w:rPr>
        <w:t>9.7 Nedílnou součástí smlouvy jsou tyto přílohy:</w:t>
      </w:r>
    </w:p>
    <w:p w:rsidR="00D83309" w:rsidRPr="00D83309" w:rsidRDefault="00D83309" w:rsidP="00D83309">
      <w:pPr>
        <w:keepLines/>
        <w:spacing w:before="120" w:after="120"/>
        <w:ind w:left="340"/>
        <w:jc w:val="both"/>
        <w:rPr>
          <w:sz w:val="24"/>
          <w:szCs w:val="24"/>
        </w:rPr>
      </w:pPr>
      <w:r w:rsidRPr="00D83309">
        <w:rPr>
          <w:rFonts w:ascii="Arial" w:hAnsi="Arial" w:cs="Arial"/>
          <w:sz w:val="22"/>
          <w:szCs w:val="24"/>
        </w:rPr>
        <w:t>Příloha č. 1 – položkový rozpočet</w:t>
      </w:r>
    </w:p>
    <w:p w:rsidR="00D83309" w:rsidRPr="00D83309" w:rsidRDefault="00D83309" w:rsidP="00D83309">
      <w:pPr>
        <w:keepLines/>
        <w:spacing w:before="120" w:after="120"/>
        <w:ind w:left="340"/>
        <w:jc w:val="both"/>
        <w:rPr>
          <w:sz w:val="24"/>
          <w:szCs w:val="24"/>
        </w:rPr>
      </w:pPr>
      <w:r w:rsidRPr="00D83309">
        <w:rPr>
          <w:rFonts w:ascii="Arial" w:hAnsi="Arial" w:cs="Arial"/>
          <w:sz w:val="22"/>
          <w:szCs w:val="24"/>
        </w:rPr>
        <w:t>Příloha č. 2 – mapový zákres</w:t>
      </w:r>
    </w:p>
    <w:p w:rsidR="00D83309" w:rsidRPr="00D83309" w:rsidRDefault="00D83309" w:rsidP="00D83309">
      <w:pPr>
        <w:keepLines/>
        <w:spacing w:before="120" w:after="120"/>
        <w:ind w:left="340"/>
        <w:jc w:val="both"/>
        <w:rPr>
          <w:sz w:val="24"/>
          <w:szCs w:val="24"/>
        </w:rPr>
      </w:pPr>
      <w:r w:rsidRPr="00D83309">
        <w:rPr>
          <w:rFonts w:ascii="Arial" w:hAnsi="Arial" w:cs="Arial"/>
          <w:sz w:val="22"/>
          <w:szCs w:val="24"/>
        </w:rPr>
        <w:t>Příloha č. 3 – doklad o právní subjektivitě zhotovitele (aktuální kopie výpisu z živnostenského rejstříku, kopie registračního listu, kopie výpisu z obchodního rejstříku)</w:t>
      </w:r>
    </w:p>
    <w:p w:rsidR="00D83309" w:rsidRPr="00D83309" w:rsidRDefault="00D83309" w:rsidP="00D83309">
      <w:pPr>
        <w:jc w:val="both"/>
        <w:rPr>
          <w:sz w:val="24"/>
          <w:szCs w:val="24"/>
        </w:rPr>
      </w:pPr>
      <w:r w:rsidRPr="00D83309">
        <w:rPr>
          <w:sz w:val="24"/>
          <w:szCs w:val="24"/>
        </w:rPr>
        <w:t> </w:t>
      </w:r>
    </w:p>
    <w:p w:rsidR="00D83309" w:rsidRPr="00D83309" w:rsidRDefault="00D83309" w:rsidP="00D83309">
      <w:pPr>
        <w:spacing w:before="100" w:beforeAutospacing="1" w:after="100" w:afterAutospacing="1"/>
        <w:rPr>
          <w:sz w:val="24"/>
          <w:szCs w:val="24"/>
        </w:rPr>
      </w:pPr>
      <w:r w:rsidRPr="00D83309">
        <w:rPr>
          <w:sz w:val="24"/>
          <w:szCs w:val="24"/>
        </w:rPr>
        <w:t> </w:t>
      </w:r>
    </w:p>
    <w:tbl>
      <w:tblPr>
        <w:tblW w:w="0" w:type="auto"/>
        <w:jc w:val="center"/>
        <w:tblInd w:w="-160" w:type="dxa"/>
        <w:tblCellMar>
          <w:left w:w="0" w:type="dxa"/>
          <w:right w:w="0" w:type="dxa"/>
        </w:tblCellMar>
        <w:tblLook w:val="04A0"/>
      </w:tblPr>
      <w:tblGrid>
        <w:gridCol w:w="884"/>
        <w:gridCol w:w="879"/>
        <w:gridCol w:w="421"/>
        <w:gridCol w:w="60"/>
        <w:gridCol w:w="1779"/>
        <w:gridCol w:w="274"/>
        <w:gridCol w:w="982"/>
        <w:gridCol w:w="1813"/>
        <w:gridCol w:w="420"/>
        <w:gridCol w:w="60"/>
        <w:gridCol w:w="441"/>
        <w:gridCol w:w="1517"/>
        <w:gridCol w:w="208"/>
        <w:gridCol w:w="60"/>
      </w:tblGrid>
      <w:tr w:rsidR="008400B3" w:rsidRPr="00D83309" w:rsidTr="008400B3">
        <w:trPr>
          <w:gridAfter w:val="2"/>
          <w:wAfter w:w="268" w:type="dxa"/>
          <w:trHeight w:val="915"/>
          <w:jc w:val="center"/>
        </w:trPr>
        <w:tc>
          <w:tcPr>
            <w:tcW w:w="1763" w:type="dxa"/>
            <w:gridSpan w:val="2"/>
            <w:tcBorders>
              <w:top w:val="nil"/>
              <w:left w:val="nil"/>
              <w:bottom w:val="nil"/>
              <w:right w:val="nil"/>
            </w:tcBorders>
            <w:shd w:val="clear" w:color="auto" w:fill="auto"/>
            <w:vAlign w:val="center"/>
            <w:hideMark/>
          </w:tcPr>
          <w:p w:rsidR="008400B3" w:rsidRDefault="008400B3">
            <w:pPr>
              <w:pStyle w:val="Normlnweb"/>
              <w:spacing w:before="0" w:beforeAutospacing="0" w:after="0" w:afterAutospacing="0"/>
              <w:jc w:val="center"/>
            </w:pPr>
            <w:r>
              <w:rPr>
                <w:rFonts w:ascii="Arial" w:hAnsi="Arial" w:cs="Arial"/>
                <w:sz w:val="22"/>
              </w:rPr>
              <w:t xml:space="preserve">V Rožnově </w:t>
            </w:r>
            <w:proofErr w:type="gramStart"/>
            <w:r>
              <w:rPr>
                <w:rFonts w:ascii="Arial" w:hAnsi="Arial" w:cs="Arial"/>
                <w:sz w:val="22"/>
              </w:rPr>
              <w:t>p.R.</w:t>
            </w:r>
            <w:proofErr w:type="gramEnd"/>
          </w:p>
        </w:tc>
        <w:tc>
          <w:tcPr>
            <w:tcW w:w="421" w:type="dxa"/>
            <w:tcBorders>
              <w:top w:val="nil"/>
              <w:left w:val="nil"/>
              <w:bottom w:val="nil"/>
              <w:right w:val="nil"/>
            </w:tcBorders>
            <w:shd w:val="clear" w:color="auto" w:fill="auto"/>
            <w:vAlign w:val="center"/>
            <w:hideMark/>
          </w:tcPr>
          <w:p w:rsidR="008400B3" w:rsidRDefault="008400B3">
            <w:pPr>
              <w:rPr>
                <w:sz w:val="24"/>
                <w:szCs w:val="24"/>
              </w:rPr>
            </w:pPr>
            <w:r>
              <w:t> </w:t>
            </w:r>
          </w:p>
        </w:tc>
        <w:tc>
          <w:tcPr>
            <w:tcW w:w="2113" w:type="dxa"/>
            <w:gridSpan w:val="3"/>
            <w:tcBorders>
              <w:top w:val="nil"/>
              <w:left w:val="nil"/>
              <w:bottom w:val="nil"/>
              <w:right w:val="nil"/>
            </w:tcBorders>
            <w:shd w:val="clear" w:color="auto" w:fill="auto"/>
            <w:vAlign w:val="center"/>
            <w:hideMark/>
          </w:tcPr>
          <w:p w:rsidR="008400B3" w:rsidRDefault="008400B3">
            <w:pPr>
              <w:pStyle w:val="Normlnweb"/>
              <w:spacing w:before="0" w:beforeAutospacing="0" w:after="0" w:afterAutospacing="0"/>
            </w:pPr>
            <w:r>
              <w:rPr>
                <w:rFonts w:ascii="Arial" w:hAnsi="Arial" w:cs="Arial"/>
                <w:sz w:val="22"/>
              </w:rPr>
              <w:t xml:space="preserve">dne </w:t>
            </w:r>
            <w:proofErr w:type="gramStart"/>
            <w:r>
              <w:rPr>
                <w:rFonts w:ascii="Arial" w:hAnsi="Arial" w:cs="Arial"/>
                <w:sz w:val="22"/>
              </w:rPr>
              <w:t>12.9.2016</w:t>
            </w:r>
            <w:proofErr w:type="gramEnd"/>
          </w:p>
        </w:tc>
        <w:tc>
          <w:tcPr>
            <w:tcW w:w="982" w:type="dxa"/>
            <w:tcBorders>
              <w:top w:val="nil"/>
              <w:left w:val="nil"/>
              <w:bottom w:val="nil"/>
              <w:right w:val="nil"/>
            </w:tcBorders>
            <w:shd w:val="clear" w:color="auto" w:fill="auto"/>
            <w:vAlign w:val="center"/>
            <w:hideMark/>
          </w:tcPr>
          <w:p w:rsidR="008400B3" w:rsidRDefault="008400B3">
            <w:pPr>
              <w:rPr>
                <w:sz w:val="24"/>
                <w:szCs w:val="24"/>
              </w:rPr>
            </w:pPr>
            <w:r>
              <w:t> </w:t>
            </w:r>
          </w:p>
        </w:tc>
        <w:tc>
          <w:tcPr>
            <w:tcW w:w="1813" w:type="dxa"/>
            <w:tcBorders>
              <w:top w:val="nil"/>
              <w:left w:val="nil"/>
              <w:bottom w:val="nil"/>
              <w:right w:val="nil"/>
            </w:tcBorders>
            <w:shd w:val="clear" w:color="auto" w:fill="auto"/>
            <w:tcMar>
              <w:top w:w="0" w:type="dxa"/>
              <w:left w:w="15" w:type="dxa"/>
              <w:bottom w:w="0" w:type="dxa"/>
              <w:right w:w="15" w:type="dxa"/>
            </w:tcMar>
            <w:vAlign w:val="center"/>
            <w:hideMark/>
          </w:tcPr>
          <w:p w:rsidR="008400B3" w:rsidRDefault="008400B3">
            <w:pPr>
              <w:pStyle w:val="Normlnweb"/>
              <w:spacing w:before="0" w:beforeAutospacing="0" w:after="0" w:afterAutospacing="0"/>
              <w:jc w:val="center"/>
            </w:pPr>
            <w:r>
              <w:rPr>
                <w:rFonts w:ascii="Arial" w:hAnsi="Arial" w:cs="Arial"/>
                <w:sz w:val="22"/>
              </w:rPr>
              <w:t xml:space="preserve">V Frýdlantě </w:t>
            </w:r>
            <w:proofErr w:type="gramStart"/>
            <w:r>
              <w:rPr>
                <w:rFonts w:ascii="Arial" w:hAnsi="Arial" w:cs="Arial"/>
                <w:sz w:val="22"/>
              </w:rPr>
              <w:t>n.O.</w:t>
            </w:r>
            <w:proofErr w:type="gramEnd"/>
          </w:p>
        </w:tc>
        <w:tc>
          <w:tcPr>
            <w:tcW w:w="420" w:type="dxa"/>
            <w:tcBorders>
              <w:top w:val="nil"/>
              <w:left w:val="nil"/>
              <w:bottom w:val="nil"/>
              <w:right w:val="nil"/>
            </w:tcBorders>
            <w:shd w:val="clear" w:color="auto" w:fill="auto"/>
            <w:vAlign w:val="center"/>
            <w:hideMark/>
          </w:tcPr>
          <w:p w:rsidR="008400B3" w:rsidRDefault="008400B3">
            <w:pPr>
              <w:rPr>
                <w:sz w:val="24"/>
                <w:szCs w:val="24"/>
              </w:rPr>
            </w:pPr>
            <w:r>
              <w:t> </w:t>
            </w:r>
          </w:p>
        </w:tc>
        <w:tc>
          <w:tcPr>
            <w:tcW w:w="2018" w:type="dxa"/>
            <w:gridSpan w:val="3"/>
            <w:tcBorders>
              <w:top w:val="nil"/>
              <w:left w:val="nil"/>
              <w:bottom w:val="nil"/>
              <w:right w:val="nil"/>
            </w:tcBorders>
            <w:shd w:val="clear" w:color="auto" w:fill="auto"/>
            <w:vAlign w:val="center"/>
            <w:hideMark/>
          </w:tcPr>
          <w:p w:rsidR="008400B3" w:rsidRDefault="008400B3">
            <w:pPr>
              <w:pStyle w:val="Normlnweb"/>
              <w:spacing w:before="0" w:beforeAutospacing="0" w:after="0" w:afterAutospacing="0"/>
            </w:pPr>
            <w:r>
              <w:rPr>
                <w:rFonts w:ascii="Arial" w:hAnsi="Arial" w:cs="Arial"/>
                <w:sz w:val="22"/>
              </w:rPr>
              <w:t xml:space="preserve">dne </w:t>
            </w:r>
            <w:proofErr w:type="gramStart"/>
            <w:r>
              <w:rPr>
                <w:rFonts w:ascii="Arial" w:hAnsi="Arial" w:cs="Arial"/>
                <w:sz w:val="22"/>
              </w:rPr>
              <w:t>12.9.2016</w:t>
            </w:r>
            <w:proofErr w:type="gramEnd"/>
          </w:p>
        </w:tc>
      </w:tr>
      <w:tr w:rsidR="00D83309" w:rsidRPr="00D83309" w:rsidTr="008400B3">
        <w:trPr>
          <w:gridAfter w:val="2"/>
          <w:wAfter w:w="268" w:type="dxa"/>
          <w:trHeight w:val="186"/>
          <w:jc w:val="center"/>
        </w:trPr>
        <w:tc>
          <w:tcPr>
            <w:tcW w:w="4023" w:type="dxa"/>
            <w:gridSpan w:val="5"/>
            <w:tcBorders>
              <w:top w:val="nil"/>
              <w:left w:val="nil"/>
              <w:bottom w:val="nil"/>
              <w:right w:val="nil"/>
            </w:tcBorders>
            <w:shd w:val="clear" w:color="auto" w:fill="auto"/>
            <w:vAlign w:val="center"/>
            <w:hideMark/>
          </w:tcPr>
          <w:p w:rsidR="00D83309" w:rsidRPr="00D83309" w:rsidRDefault="00D83309" w:rsidP="00D83309">
            <w:pPr>
              <w:spacing w:line="186" w:lineRule="atLeast"/>
              <w:rPr>
                <w:sz w:val="24"/>
                <w:szCs w:val="24"/>
              </w:rPr>
            </w:pPr>
            <w:r w:rsidRPr="00D83309">
              <w:rPr>
                <w:sz w:val="24"/>
                <w:szCs w:val="24"/>
              </w:rPr>
              <w:t> </w:t>
            </w:r>
          </w:p>
        </w:tc>
        <w:tc>
          <w:tcPr>
            <w:tcW w:w="125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83309" w:rsidRPr="00D83309" w:rsidRDefault="00D83309" w:rsidP="00D83309">
            <w:pPr>
              <w:spacing w:line="186" w:lineRule="atLeast"/>
              <w:rPr>
                <w:sz w:val="24"/>
                <w:szCs w:val="24"/>
              </w:rPr>
            </w:pPr>
            <w:r w:rsidRPr="00D83309">
              <w:rPr>
                <w:sz w:val="24"/>
                <w:szCs w:val="24"/>
              </w:rPr>
              <w:t> </w:t>
            </w:r>
          </w:p>
        </w:tc>
        <w:tc>
          <w:tcPr>
            <w:tcW w:w="425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83309" w:rsidRPr="00D83309" w:rsidRDefault="00D83309" w:rsidP="00D83309">
            <w:pPr>
              <w:spacing w:line="186" w:lineRule="atLeast"/>
              <w:rPr>
                <w:sz w:val="24"/>
                <w:szCs w:val="24"/>
              </w:rPr>
            </w:pPr>
            <w:r w:rsidRPr="00D83309">
              <w:rPr>
                <w:sz w:val="24"/>
                <w:szCs w:val="24"/>
              </w:rPr>
              <w:t> </w:t>
            </w:r>
          </w:p>
        </w:tc>
      </w:tr>
      <w:tr w:rsidR="00D83309" w:rsidRPr="00D83309" w:rsidTr="008400B3">
        <w:trPr>
          <w:gridAfter w:val="2"/>
          <w:wAfter w:w="268" w:type="dxa"/>
          <w:jc w:val="center"/>
        </w:trPr>
        <w:tc>
          <w:tcPr>
            <w:tcW w:w="4023" w:type="dxa"/>
            <w:gridSpan w:val="5"/>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rFonts w:ascii="Arial" w:hAnsi="Arial" w:cs="Arial"/>
                <w:sz w:val="22"/>
                <w:szCs w:val="24"/>
              </w:rPr>
              <w:t>Objednatel</w:t>
            </w:r>
          </w:p>
        </w:tc>
        <w:tc>
          <w:tcPr>
            <w:tcW w:w="125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83309" w:rsidRPr="00D83309" w:rsidRDefault="00D83309" w:rsidP="00D83309">
            <w:pPr>
              <w:rPr>
                <w:sz w:val="24"/>
                <w:szCs w:val="24"/>
              </w:rPr>
            </w:pPr>
            <w:r w:rsidRPr="00D83309">
              <w:rPr>
                <w:sz w:val="24"/>
                <w:szCs w:val="24"/>
              </w:rPr>
              <w:t> </w:t>
            </w:r>
          </w:p>
        </w:tc>
        <w:tc>
          <w:tcPr>
            <w:tcW w:w="425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83309" w:rsidRPr="00D83309" w:rsidRDefault="00D83309" w:rsidP="00D83309">
            <w:pPr>
              <w:rPr>
                <w:sz w:val="24"/>
                <w:szCs w:val="24"/>
              </w:rPr>
            </w:pPr>
            <w:r w:rsidRPr="00D83309">
              <w:rPr>
                <w:rFonts w:ascii="Arial" w:hAnsi="Arial" w:cs="Arial"/>
                <w:sz w:val="22"/>
                <w:szCs w:val="24"/>
              </w:rPr>
              <w:t>Zhotovitel</w:t>
            </w:r>
          </w:p>
        </w:tc>
      </w:tr>
      <w:tr w:rsidR="00D83309" w:rsidRPr="00D83309" w:rsidTr="008400B3">
        <w:trPr>
          <w:gridAfter w:val="2"/>
          <w:wAfter w:w="268" w:type="dxa"/>
          <w:trHeight w:val="388"/>
          <w:jc w:val="center"/>
        </w:trPr>
        <w:tc>
          <w:tcPr>
            <w:tcW w:w="884"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300" w:type="dxa"/>
            <w:gridSpan w:val="2"/>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60"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779"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256" w:type="dxa"/>
            <w:gridSpan w:val="2"/>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813"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420"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50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83309" w:rsidRPr="00D83309" w:rsidRDefault="00D83309" w:rsidP="00D83309">
            <w:pPr>
              <w:rPr>
                <w:sz w:val="24"/>
                <w:szCs w:val="24"/>
              </w:rPr>
            </w:pPr>
            <w:r w:rsidRPr="00D83309">
              <w:rPr>
                <w:sz w:val="24"/>
                <w:szCs w:val="24"/>
              </w:rPr>
              <w:t> </w:t>
            </w:r>
          </w:p>
        </w:tc>
        <w:tc>
          <w:tcPr>
            <w:tcW w:w="1517" w:type="dxa"/>
            <w:tcBorders>
              <w:top w:val="nil"/>
              <w:left w:val="nil"/>
              <w:bottom w:val="nil"/>
              <w:right w:val="nil"/>
            </w:tcBorders>
            <w:shd w:val="clear" w:color="auto" w:fill="auto"/>
            <w:tcMar>
              <w:top w:w="0" w:type="dxa"/>
              <w:left w:w="15" w:type="dxa"/>
              <w:bottom w:w="0" w:type="dxa"/>
              <w:right w:w="15" w:type="dxa"/>
            </w:tcMar>
            <w:vAlign w:val="center"/>
            <w:hideMark/>
          </w:tcPr>
          <w:p w:rsidR="00D83309" w:rsidRPr="00D83309" w:rsidRDefault="00D83309" w:rsidP="00D83309">
            <w:pPr>
              <w:rPr>
                <w:sz w:val="24"/>
                <w:szCs w:val="24"/>
              </w:rPr>
            </w:pPr>
            <w:r w:rsidRPr="00D83309">
              <w:rPr>
                <w:sz w:val="24"/>
                <w:szCs w:val="24"/>
              </w:rPr>
              <w:t> </w:t>
            </w:r>
          </w:p>
        </w:tc>
      </w:tr>
      <w:tr w:rsidR="00D83309" w:rsidRPr="00D83309" w:rsidTr="008400B3">
        <w:trPr>
          <w:gridAfter w:val="2"/>
          <w:wAfter w:w="268" w:type="dxa"/>
          <w:trHeight w:val="1268"/>
          <w:jc w:val="center"/>
        </w:trPr>
        <w:tc>
          <w:tcPr>
            <w:tcW w:w="884"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300" w:type="dxa"/>
            <w:gridSpan w:val="2"/>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60"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779"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256" w:type="dxa"/>
            <w:gridSpan w:val="2"/>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813"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420"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50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83309" w:rsidRPr="00D83309" w:rsidRDefault="00D83309" w:rsidP="00D83309">
            <w:pPr>
              <w:rPr>
                <w:sz w:val="24"/>
                <w:szCs w:val="24"/>
              </w:rPr>
            </w:pPr>
            <w:r w:rsidRPr="00D83309">
              <w:rPr>
                <w:sz w:val="24"/>
                <w:szCs w:val="24"/>
              </w:rPr>
              <w:t> </w:t>
            </w:r>
          </w:p>
        </w:tc>
        <w:tc>
          <w:tcPr>
            <w:tcW w:w="1517" w:type="dxa"/>
            <w:tcBorders>
              <w:top w:val="nil"/>
              <w:left w:val="nil"/>
              <w:bottom w:val="nil"/>
              <w:right w:val="nil"/>
            </w:tcBorders>
            <w:shd w:val="clear" w:color="auto" w:fill="auto"/>
            <w:tcMar>
              <w:top w:w="0" w:type="dxa"/>
              <w:left w:w="15" w:type="dxa"/>
              <w:bottom w:w="0" w:type="dxa"/>
              <w:right w:w="15" w:type="dxa"/>
            </w:tcMar>
            <w:vAlign w:val="center"/>
            <w:hideMark/>
          </w:tcPr>
          <w:p w:rsidR="00D83309" w:rsidRPr="00D83309" w:rsidRDefault="00D83309" w:rsidP="00D83309">
            <w:pPr>
              <w:rPr>
                <w:sz w:val="24"/>
                <w:szCs w:val="24"/>
              </w:rPr>
            </w:pPr>
            <w:r w:rsidRPr="00D83309">
              <w:rPr>
                <w:sz w:val="24"/>
                <w:szCs w:val="24"/>
              </w:rPr>
              <w:t> </w:t>
            </w:r>
          </w:p>
        </w:tc>
      </w:tr>
      <w:tr w:rsidR="00D83309" w:rsidRPr="00D83309" w:rsidTr="008400B3">
        <w:trPr>
          <w:gridAfter w:val="2"/>
          <w:wAfter w:w="268" w:type="dxa"/>
          <w:jc w:val="center"/>
        </w:trPr>
        <w:tc>
          <w:tcPr>
            <w:tcW w:w="4023" w:type="dxa"/>
            <w:gridSpan w:val="5"/>
            <w:tcBorders>
              <w:top w:val="nil"/>
              <w:left w:val="nil"/>
              <w:bottom w:val="nil"/>
              <w:right w:val="nil"/>
            </w:tcBorders>
            <w:shd w:val="clear" w:color="auto" w:fill="auto"/>
            <w:vAlign w:val="center"/>
            <w:hideMark/>
          </w:tcPr>
          <w:p w:rsidR="00D83309" w:rsidRPr="00D83309" w:rsidRDefault="00D83309" w:rsidP="00D83309">
            <w:pPr>
              <w:jc w:val="center"/>
              <w:rPr>
                <w:sz w:val="24"/>
                <w:szCs w:val="24"/>
              </w:rPr>
            </w:pPr>
            <w:r w:rsidRPr="00D83309">
              <w:rPr>
                <w:rFonts w:ascii="Arial" w:hAnsi="Arial" w:cs="Arial"/>
                <w:b/>
                <w:bCs/>
                <w:sz w:val="22"/>
                <w:szCs w:val="24"/>
              </w:rPr>
              <w:t xml:space="preserve">Mgr. František Jaskula </w:t>
            </w:r>
            <w:r w:rsidRPr="00D83309">
              <w:rPr>
                <w:rFonts w:ascii="Arial" w:hAnsi="Arial" w:cs="Arial"/>
                <w:b/>
                <w:bCs/>
                <w:sz w:val="22"/>
                <w:szCs w:val="24"/>
              </w:rPr>
              <w:br/>
              <w:t>ředitel RP SCHKO Beskydy</w:t>
            </w:r>
          </w:p>
        </w:tc>
        <w:tc>
          <w:tcPr>
            <w:tcW w:w="125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83309" w:rsidRPr="00D83309" w:rsidRDefault="00D83309" w:rsidP="00D83309">
            <w:pPr>
              <w:rPr>
                <w:sz w:val="24"/>
                <w:szCs w:val="24"/>
              </w:rPr>
            </w:pPr>
            <w:r w:rsidRPr="00D83309">
              <w:rPr>
                <w:sz w:val="24"/>
                <w:szCs w:val="24"/>
              </w:rPr>
              <w:t> </w:t>
            </w:r>
          </w:p>
        </w:tc>
        <w:tc>
          <w:tcPr>
            <w:tcW w:w="425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83309" w:rsidRPr="00D83309" w:rsidRDefault="008400B3" w:rsidP="00D83309">
            <w:pPr>
              <w:jc w:val="center"/>
              <w:rPr>
                <w:sz w:val="24"/>
                <w:szCs w:val="24"/>
              </w:rPr>
            </w:pPr>
            <w:r>
              <w:rPr>
                <w:rStyle w:val="Siln"/>
                <w:rFonts w:ascii="Arial" w:hAnsi="Arial" w:cs="Arial"/>
                <w:sz w:val="22"/>
              </w:rPr>
              <w:t>Miroslava Šamajová, Lesnictví - těžba a odvoz dřeva</w:t>
            </w:r>
          </w:p>
        </w:tc>
      </w:tr>
      <w:tr w:rsidR="00D83309" w:rsidRPr="00D83309" w:rsidTr="008400B3">
        <w:trPr>
          <w:jc w:val="center"/>
        </w:trPr>
        <w:tc>
          <w:tcPr>
            <w:tcW w:w="884"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879"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421"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60"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779"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256" w:type="dxa"/>
            <w:gridSpan w:val="2"/>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1813"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420"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60"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2166" w:type="dxa"/>
            <w:gridSpan w:val="3"/>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c>
          <w:tcPr>
            <w:tcW w:w="60" w:type="dxa"/>
            <w:tcBorders>
              <w:top w:val="nil"/>
              <w:left w:val="nil"/>
              <w:bottom w:val="nil"/>
              <w:right w:val="nil"/>
            </w:tcBorders>
            <w:shd w:val="clear" w:color="auto" w:fill="auto"/>
            <w:vAlign w:val="center"/>
            <w:hideMark/>
          </w:tcPr>
          <w:p w:rsidR="00D83309" w:rsidRPr="00D83309" w:rsidRDefault="00D83309" w:rsidP="00D83309">
            <w:pPr>
              <w:rPr>
                <w:sz w:val="24"/>
                <w:szCs w:val="24"/>
              </w:rPr>
            </w:pPr>
            <w:r w:rsidRPr="00D83309">
              <w:rPr>
                <w:sz w:val="24"/>
                <w:szCs w:val="24"/>
              </w:rPr>
              <w:t> </w:t>
            </w:r>
          </w:p>
        </w:tc>
      </w:tr>
    </w:tbl>
    <w:p w:rsidR="00D83309" w:rsidRPr="00D83309" w:rsidRDefault="00D83309" w:rsidP="00D83309">
      <w:pPr>
        <w:spacing w:before="100" w:beforeAutospacing="1" w:after="240"/>
        <w:rPr>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D83309" w:rsidRPr="00D83309" w:rsidTr="00D83309">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83309" w:rsidRPr="00D83309" w:rsidRDefault="00D83309" w:rsidP="00D83309">
            <w:pPr>
              <w:spacing w:before="120" w:after="100" w:afterAutospacing="1" w:line="240" w:lineRule="atLeast"/>
              <w:rPr>
                <w:sz w:val="24"/>
                <w:szCs w:val="24"/>
              </w:rPr>
            </w:pPr>
            <w:r w:rsidRPr="00D83309">
              <w:rPr>
                <w:rFonts w:ascii="Arial" w:hAnsi="Arial" w:cs="Arial"/>
                <w:sz w:val="22"/>
                <w:szCs w:val="22"/>
              </w:rPr>
              <w:t>Předběžná kontrola před vznikem závazku dle zák. č. 320/01 Sb.</w:t>
            </w:r>
          </w:p>
        </w:tc>
      </w:tr>
      <w:tr w:rsidR="00D83309" w:rsidRPr="00D83309" w:rsidTr="00D83309">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D83309" w:rsidRPr="00D83309" w:rsidRDefault="00D83309" w:rsidP="00D83309">
            <w:pPr>
              <w:spacing w:before="120" w:after="100" w:afterAutospacing="1" w:line="240" w:lineRule="atLeast"/>
              <w:rPr>
                <w:sz w:val="24"/>
                <w:szCs w:val="24"/>
              </w:rPr>
            </w:pPr>
            <w:r w:rsidRPr="00D83309">
              <w:rPr>
                <w:rFonts w:ascii="Arial" w:hAnsi="Arial" w:cs="Arial"/>
                <w:sz w:val="18"/>
                <w:szCs w:val="18"/>
              </w:rPr>
              <w:t xml:space="preserve">Příkazce operace: (datum, jméno, podpis) </w:t>
            </w:r>
          </w:p>
        </w:tc>
      </w:tr>
      <w:tr w:rsidR="00D83309" w:rsidRPr="00D83309" w:rsidTr="00D83309">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D83309" w:rsidRPr="00D83309" w:rsidRDefault="00D83309" w:rsidP="00D83309">
            <w:pPr>
              <w:spacing w:before="120" w:line="240" w:lineRule="atLeast"/>
              <w:ind w:right="2901"/>
              <w:rPr>
                <w:sz w:val="24"/>
                <w:szCs w:val="24"/>
              </w:rPr>
            </w:pPr>
            <w:r w:rsidRPr="00D83309">
              <w:rPr>
                <w:rFonts w:ascii="Arial" w:hAnsi="Arial" w:cs="Arial"/>
                <w:sz w:val="18"/>
                <w:szCs w:val="18"/>
              </w:rPr>
              <w:t>Správce rozpočtu: (datum, jméno, podpis)</w:t>
            </w:r>
          </w:p>
        </w:tc>
      </w:tr>
      <w:tr w:rsidR="00D83309" w:rsidRPr="00D83309" w:rsidTr="00D8330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D83309" w:rsidRPr="00D83309" w:rsidRDefault="00D83309" w:rsidP="00D83309">
            <w:pPr>
              <w:spacing w:before="120" w:after="100" w:afterAutospacing="1"/>
              <w:jc w:val="center"/>
              <w:rPr>
                <w:sz w:val="24"/>
                <w:szCs w:val="24"/>
              </w:rPr>
            </w:pPr>
            <w:r w:rsidRPr="00D83309">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83309" w:rsidRPr="00D83309" w:rsidRDefault="00D83309" w:rsidP="00D83309">
            <w:pPr>
              <w:spacing w:before="120" w:after="100" w:afterAutospacing="1"/>
              <w:jc w:val="center"/>
              <w:rPr>
                <w:sz w:val="24"/>
                <w:szCs w:val="24"/>
              </w:rPr>
            </w:pPr>
            <w:r w:rsidRPr="00D83309">
              <w:rPr>
                <w:rFonts w:ascii="Arial" w:hAnsi="Arial" w:cs="Arial"/>
                <w:color w:val="000000"/>
                <w:sz w:val="18"/>
                <w:szCs w:val="18"/>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83309" w:rsidRPr="00D83309" w:rsidRDefault="00D83309" w:rsidP="00D83309">
            <w:pPr>
              <w:spacing w:before="120" w:after="100" w:afterAutospacing="1"/>
              <w:jc w:val="center"/>
              <w:rPr>
                <w:sz w:val="24"/>
                <w:szCs w:val="24"/>
              </w:rPr>
            </w:pPr>
            <w:r w:rsidRPr="00D83309">
              <w:rPr>
                <w:rFonts w:ascii="Arial" w:hAnsi="Arial" w:cs="Arial"/>
                <w:color w:val="000000"/>
                <w:sz w:val="18"/>
                <w:szCs w:val="18"/>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D83309" w:rsidRPr="00D83309" w:rsidRDefault="00D83309" w:rsidP="00D83309">
            <w:pPr>
              <w:spacing w:before="120" w:after="100" w:afterAutospacing="1"/>
              <w:jc w:val="center"/>
              <w:rPr>
                <w:sz w:val="24"/>
                <w:szCs w:val="24"/>
              </w:rPr>
            </w:pPr>
            <w:r w:rsidRPr="00D83309">
              <w:rPr>
                <w:rFonts w:ascii="Arial" w:hAnsi="Arial" w:cs="Arial"/>
                <w:color w:val="000000"/>
                <w:sz w:val="18"/>
                <w:szCs w:val="18"/>
              </w:rPr>
              <w:t>Kč</w:t>
            </w:r>
          </w:p>
        </w:tc>
      </w:tr>
      <w:tr w:rsidR="00D83309" w:rsidRPr="00D83309" w:rsidTr="00D8330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D83309" w:rsidRPr="00D83309" w:rsidRDefault="00D83309" w:rsidP="00D83309">
            <w:pPr>
              <w:spacing w:before="100" w:beforeAutospacing="1" w:after="100" w:afterAutospacing="1"/>
              <w:jc w:val="center"/>
              <w:rPr>
                <w:sz w:val="24"/>
                <w:szCs w:val="24"/>
              </w:rPr>
            </w:pPr>
            <w:r w:rsidRPr="00D83309">
              <w:rPr>
                <w:rFonts w:ascii="Arial" w:hAnsi="Arial" w:cs="Arial"/>
                <w:color w:val="000000"/>
                <w:sz w:val="18"/>
                <w:szCs w:val="18"/>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83309" w:rsidRPr="00D83309" w:rsidRDefault="00D83309" w:rsidP="00D83309">
            <w:pPr>
              <w:spacing w:before="100" w:beforeAutospacing="1" w:after="100" w:afterAutospacing="1"/>
              <w:jc w:val="center"/>
              <w:rPr>
                <w:sz w:val="24"/>
                <w:szCs w:val="24"/>
              </w:rPr>
            </w:pPr>
            <w:r w:rsidRPr="00D83309">
              <w:rPr>
                <w:rFonts w:ascii="Arial" w:hAnsi="Arial" w:cs="Arial"/>
                <w:color w:val="000000"/>
                <w:sz w:val="18"/>
                <w:szCs w:val="18"/>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83309" w:rsidRPr="00D83309" w:rsidRDefault="00D83309" w:rsidP="00D83309">
            <w:pPr>
              <w:rPr>
                <w:sz w:val="24"/>
                <w:szCs w:val="24"/>
              </w:rPr>
            </w:pPr>
            <w:r w:rsidRPr="00D83309">
              <w:rPr>
                <w:sz w:val="24"/>
                <w:szCs w:val="24"/>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D83309" w:rsidRPr="00D83309" w:rsidRDefault="00D83309" w:rsidP="00D83309">
            <w:pPr>
              <w:rPr>
                <w:sz w:val="24"/>
                <w:szCs w:val="24"/>
              </w:rPr>
            </w:pPr>
            <w:r w:rsidRPr="00D83309">
              <w:rPr>
                <w:sz w:val="24"/>
                <w:szCs w:val="24"/>
              </w:rPr>
              <w:t> </w:t>
            </w:r>
          </w:p>
        </w:tc>
      </w:tr>
      <w:tr w:rsidR="00D83309" w:rsidRPr="00D83309" w:rsidTr="00D83309">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D83309" w:rsidRPr="00D83309" w:rsidRDefault="00D83309" w:rsidP="00D83309">
            <w:pPr>
              <w:rPr>
                <w:sz w:val="24"/>
                <w:szCs w:val="24"/>
              </w:rPr>
            </w:pPr>
            <w:r w:rsidRPr="00D83309">
              <w:rPr>
                <w:sz w:val="24"/>
                <w:szCs w:val="24"/>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D83309" w:rsidRPr="00D83309" w:rsidRDefault="00D83309" w:rsidP="00D83309">
            <w:pPr>
              <w:rPr>
                <w:sz w:val="24"/>
                <w:szCs w:val="24"/>
              </w:rPr>
            </w:pPr>
            <w:r w:rsidRPr="00D83309">
              <w:rPr>
                <w:sz w:val="24"/>
                <w:szCs w:val="24"/>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D83309" w:rsidRPr="00D83309" w:rsidRDefault="00D83309" w:rsidP="00D83309">
            <w:pPr>
              <w:rPr>
                <w:sz w:val="24"/>
                <w:szCs w:val="24"/>
              </w:rPr>
            </w:pPr>
            <w:r w:rsidRPr="00D83309">
              <w:rPr>
                <w:sz w:val="24"/>
                <w:szCs w:val="24"/>
              </w:rPr>
              <w:t> </w:t>
            </w:r>
          </w:p>
        </w:tc>
        <w:tc>
          <w:tcPr>
            <w:tcW w:w="0" w:type="auto"/>
            <w:vAlign w:val="center"/>
            <w:hideMark/>
          </w:tcPr>
          <w:p w:rsidR="00D83309" w:rsidRPr="00D83309" w:rsidRDefault="00D83309" w:rsidP="00D83309"/>
        </w:tc>
      </w:tr>
    </w:tbl>
    <w:p w:rsidR="00D83309" w:rsidRDefault="00D83309" w:rsidP="009F74D7">
      <w:pPr>
        <w:jc w:val="right"/>
        <w:rPr>
          <w:rFonts w:ascii="Arial" w:hAnsi="Arial" w:cs="Arial"/>
          <w:sz w:val="22"/>
          <w:szCs w:val="24"/>
        </w:rPr>
      </w:pPr>
    </w:p>
    <w:p w:rsidR="00D83309" w:rsidRDefault="00D83309" w:rsidP="009F74D7">
      <w:pPr>
        <w:jc w:val="right"/>
        <w:rPr>
          <w:rFonts w:ascii="Arial" w:hAnsi="Arial" w:cs="Arial"/>
          <w:sz w:val="22"/>
          <w:szCs w:val="24"/>
        </w:rPr>
      </w:pPr>
    </w:p>
    <w:sectPr w:rsidR="00D83309" w:rsidSect="00D8330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808"/>
    <w:multiLevelType w:val="hybridMultilevel"/>
    <w:tmpl w:val="07AE17BE"/>
    <w:lvl w:ilvl="0" w:tplc="9FD09E3A">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nsid w:val="06051971"/>
    <w:multiLevelType w:val="hybridMultilevel"/>
    <w:tmpl w:val="1DE40B2E"/>
    <w:lvl w:ilvl="0" w:tplc="8A6A792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66547D"/>
    <w:multiLevelType w:val="hybridMultilevel"/>
    <w:tmpl w:val="5B74DC56"/>
    <w:lvl w:ilvl="0" w:tplc="754AF2BA">
      <w:numFmt w:val="bullet"/>
      <w:lvlText w:val="–"/>
      <w:lvlJc w:val="left"/>
      <w:pPr>
        <w:tabs>
          <w:tab w:val="num" w:pos="1026"/>
        </w:tabs>
        <w:ind w:left="1026" w:hanging="360"/>
      </w:pPr>
      <w:rPr>
        <w:rFonts w:ascii="Arial" w:eastAsia="Times New Roman" w:hAnsi="Arial" w:cs="Arial" w:hint="default"/>
      </w:rPr>
    </w:lvl>
    <w:lvl w:ilvl="1" w:tplc="04050003" w:tentative="1">
      <w:start w:val="1"/>
      <w:numFmt w:val="bullet"/>
      <w:lvlText w:val="o"/>
      <w:lvlJc w:val="left"/>
      <w:pPr>
        <w:tabs>
          <w:tab w:val="num" w:pos="1746"/>
        </w:tabs>
        <w:ind w:left="1746" w:hanging="360"/>
      </w:pPr>
      <w:rPr>
        <w:rFonts w:ascii="Courier New" w:hAnsi="Courier New" w:cs="Courier New" w:hint="default"/>
      </w:rPr>
    </w:lvl>
    <w:lvl w:ilvl="2" w:tplc="04050005" w:tentative="1">
      <w:start w:val="1"/>
      <w:numFmt w:val="bullet"/>
      <w:lvlText w:val=""/>
      <w:lvlJc w:val="left"/>
      <w:pPr>
        <w:tabs>
          <w:tab w:val="num" w:pos="2466"/>
        </w:tabs>
        <w:ind w:left="2466" w:hanging="360"/>
      </w:pPr>
      <w:rPr>
        <w:rFonts w:ascii="Wingdings" w:hAnsi="Wingdings" w:hint="default"/>
      </w:rPr>
    </w:lvl>
    <w:lvl w:ilvl="3" w:tplc="04050001" w:tentative="1">
      <w:start w:val="1"/>
      <w:numFmt w:val="bullet"/>
      <w:lvlText w:val=""/>
      <w:lvlJc w:val="left"/>
      <w:pPr>
        <w:tabs>
          <w:tab w:val="num" w:pos="3186"/>
        </w:tabs>
        <w:ind w:left="3186" w:hanging="360"/>
      </w:pPr>
      <w:rPr>
        <w:rFonts w:ascii="Symbol" w:hAnsi="Symbol" w:hint="default"/>
      </w:rPr>
    </w:lvl>
    <w:lvl w:ilvl="4" w:tplc="04050003" w:tentative="1">
      <w:start w:val="1"/>
      <w:numFmt w:val="bullet"/>
      <w:lvlText w:val="o"/>
      <w:lvlJc w:val="left"/>
      <w:pPr>
        <w:tabs>
          <w:tab w:val="num" w:pos="3906"/>
        </w:tabs>
        <w:ind w:left="3906" w:hanging="360"/>
      </w:pPr>
      <w:rPr>
        <w:rFonts w:ascii="Courier New" w:hAnsi="Courier New" w:cs="Courier New" w:hint="default"/>
      </w:rPr>
    </w:lvl>
    <w:lvl w:ilvl="5" w:tplc="04050005" w:tentative="1">
      <w:start w:val="1"/>
      <w:numFmt w:val="bullet"/>
      <w:lvlText w:val=""/>
      <w:lvlJc w:val="left"/>
      <w:pPr>
        <w:tabs>
          <w:tab w:val="num" w:pos="4626"/>
        </w:tabs>
        <w:ind w:left="4626" w:hanging="360"/>
      </w:pPr>
      <w:rPr>
        <w:rFonts w:ascii="Wingdings" w:hAnsi="Wingdings" w:hint="default"/>
      </w:rPr>
    </w:lvl>
    <w:lvl w:ilvl="6" w:tplc="04050001" w:tentative="1">
      <w:start w:val="1"/>
      <w:numFmt w:val="bullet"/>
      <w:lvlText w:val=""/>
      <w:lvlJc w:val="left"/>
      <w:pPr>
        <w:tabs>
          <w:tab w:val="num" w:pos="5346"/>
        </w:tabs>
        <w:ind w:left="5346" w:hanging="360"/>
      </w:pPr>
      <w:rPr>
        <w:rFonts w:ascii="Symbol" w:hAnsi="Symbol" w:hint="default"/>
      </w:rPr>
    </w:lvl>
    <w:lvl w:ilvl="7" w:tplc="04050003" w:tentative="1">
      <w:start w:val="1"/>
      <w:numFmt w:val="bullet"/>
      <w:lvlText w:val="o"/>
      <w:lvlJc w:val="left"/>
      <w:pPr>
        <w:tabs>
          <w:tab w:val="num" w:pos="6066"/>
        </w:tabs>
        <w:ind w:left="6066" w:hanging="360"/>
      </w:pPr>
      <w:rPr>
        <w:rFonts w:ascii="Courier New" w:hAnsi="Courier New" w:cs="Courier New" w:hint="default"/>
      </w:rPr>
    </w:lvl>
    <w:lvl w:ilvl="8" w:tplc="04050005" w:tentative="1">
      <w:start w:val="1"/>
      <w:numFmt w:val="bullet"/>
      <w:lvlText w:val=""/>
      <w:lvlJc w:val="left"/>
      <w:pPr>
        <w:tabs>
          <w:tab w:val="num" w:pos="6786"/>
        </w:tabs>
        <w:ind w:left="6786" w:hanging="360"/>
      </w:pPr>
      <w:rPr>
        <w:rFonts w:ascii="Wingdings" w:hAnsi="Wingdings" w:hint="default"/>
      </w:rPr>
    </w:lvl>
  </w:abstractNum>
  <w:abstractNum w:abstractNumId="3">
    <w:nsid w:val="22FD06AA"/>
    <w:multiLevelType w:val="hybridMultilevel"/>
    <w:tmpl w:val="ACC478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4B15359"/>
    <w:multiLevelType w:val="hybridMultilevel"/>
    <w:tmpl w:val="98F8FFC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nsid w:val="26716ECE"/>
    <w:multiLevelType w:val="hybridMultilevel"/>
    <w:tmpl w:val="30B0573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nsid w:val="2DC05512"/>
    <w:multiLevelType w:val="hybridMultilevel"/>
    <w:tmpl w:val="AD38AF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B6470D"/>
    <w:multiLevelType w:val="hybridMultilevel"/>
    <w:tmpl w:val="FC6A31A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3E684C54"/>
    <w:multiLevelType w:val="multilevel"/>
    <w:tmpl w:val="C52A5B40"/>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FA53EA0"/>
    <w:multiLevelType w:val="hybridMultilevel"/>
    <w:tmpl w:val="9F2E3CD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1"/>
  </w:num>
  <w:num w:numId="6">
    <w:abstractNumId w:val="9"/>
  </w:num>
  <w:num w:numId="7">
    <w:abstractNumId w:val="6"/>
  </w:num>
  <w:num w:numId="8">
    <w:abstractNumId w:val="5"/>
  </w:num>
  <w:num w:numId="9">
    <w:abstractNumId w:val="0"/>
  </w:num>
  <w:num w:numId="10">
    <w:abstractNumId w:val="3"/>
  </w:num>
  <w:num w:numId="11">
    <w:abstractNumId w:val="7"/>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cs-CZ" w:vendorID="7" w:dllVersion="514" w:checkStyle="1"/>
  <w:proofState w:grammar="clean"/>
  <w:defaultTabStop w:val="708"/>
  <w:hyphenationZone w:val="425"/>
  <w:characterSpacingControl w:val="doNotCompress"/>
  <w:compat/>
  <w:rsids>
    <w:rsidRoot w:val="009F74D7"/>
    <w:rsid w:val="00002A1D"/>
    <w:rsid w:val="000709AC"/>
    <w:rsid w:val="000D1E49"/>
    <w:rsid w:val="0010387E"/>
    <w:rsid w:val="00132A41"/>
    <w:rsid w:val="0014300B"/>
    <w:rsid w:val="00192F1C"/>
    <w:rsid w:val="001C36F8"/>
    <w:rsid w:val="002A156E"/>
    <w:rsid w:val="002D28F2"/>
    <w:rsid w:val="00327547"/>
    <w:rsid w:val="003B17D8"/>
    <w:rsid w:val="003B4BB0"/>
    <w:rsid w:val="003D4484"/>
    <w:rsid w:val="003F03C5"/>
    <w:rsid w:val="00410E63"/>
    <w:rsid w:val="0044152C"/>
    <w:rsid w:val="004A1FEF"/>
    <w:rsid w:val="004E2EAB"/>
    <w:rsid w:val="004E398A"/>
    <w:rsid w:val="0050237B"/>
    <w:rsid w:val="00506D15"/>
    <w:rsid w:val="00580346"/>
    <w:rsid w:val="0058608C"/>
    <w:rsid w:val="00593DCC"/>
    <w:rsid w:val="005B5315"/>
    <w:rsid w:val="006052DD"/>
    <w:rsid w:val="00744900"/>
    <w:rsid w:val="007D0661"/>
    <w:rsid w:val="007D7376"/>
    <w:rsid w:val="007E7CEB"/>
    <w:rsid w:val="007F3AEF"/>
    <w:rsid w:val="008400B3"/>
    <w:rsid w:val="0085625B"/>
    <w:rsid w:val="00887271"/>
    <w:rsid w:val="008D3E08"/>
    <w:rsid w:val="0090426F"/>
    <w:rsid w:val="00914660"/>
    <w:rsid w:val="0092721A"/>
    <w:rsid w:val="009406BF"/>
    <w:rsid w:val="00994DA1"/>
    <w:rsid w:val="009A77E7"/>
    <w:rsid w:val="009F74D7"/>
    <w:rsid w:val="00A376E9"/>
    <w:rsid w:val="00A40637"/>
    <w:rsid w:val="00A51DD9"/>
    <w:rsid w:val="00A63B2C"/>
    <w:rsid w:val="00A673E8"/>
    <w:rsid w:val="00AE29F9"/>
    <w:rsid w:val="00B0002C"/>
    <w:rsid w:val="00B7736C"/>
    <w:rsid w:val="00BA5AC9"/>
    <w:rsid w:val="00BC5F9B"/>
    <w:rsid w:val="00BD655C"/>
    <w:rsid w:val="00C30F22"/>
    <w:rsid w:val="00C41FA7"/>
    <w:rsid w:val="00C5608C"/>
    <w:rsid w:val="00D01729"/>
    <w:rsid w:val="00D05A7E"/>
    <w:rsid w:val="00D62C30"/>
    <w:rsid w:val="00D6343E"/>
    <w:rsid w:val="00D811EC"/>
    <w:rsid w:val="00D83309"/>
    <w:rsid w:val="00D90E69"/>
    <w:rsid w:val="00DC20CF"/>
    <w:rsid w:val="00DF0AF9"/>
    <w:rsid w:val="00E44200"/>
    <w:rsid w:val="00E97524"/>
    <w:rsid w:val="00FA4E04"/>
    <w:rsid w:val="00FE21BB"/>
    <w:rsid w:val="00FF536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aliases w:val="AOPK"/>
    <w:qFormat/>
    <w:rsid w:val="006052DD"/>
  </w:style>
  <w:style w:type="paragraph" w:styleId="Nadpis1">
    <w:name w:val="heading 1"/>
    <w:basedOn w:val="Pokraovnseznamu"/>
    <w:next w:val="Normln"/>
    <w:link w:val="Nadpis1Char"/>
    <w:qFormat/>
    <w:rsid w:val="006052DD"/>
    <w:pPr>
      <w:numPr>
        <w:numId w:val="4"/>
      </w:numPr>
      <w:spacing w:after="0"/>
      <w:contextualSpacing w:val="0"/>
      <w:jc w:val="both"/>
      <w:outlineLvl w:val="0"/>
    </w:pPr>
    <w:rPr>
      <w:b/>
      <w:sz w:val="32"/>
    </w:rPr>
  </w:style>
  <w:style w:type="paragraph" w:styleId="Nadpis2">
    <w:name w:val="heading 2"/>
    <w:basedOn w:val="Nadpis1"/>
    <w:next w:val="Nadpis3"/>
    <w:link w:val="Nadpis2Char"/>
    <w:qFormat/>
    <w:rsid w:val="006052DD"/>
    <w:pPr>
      <w:numPr>
        <w:ilvl w:val="1"/>
      </w:numPr>
      <w:outlineLvl w:val="1"/>
    </w:pPr>
    <w:rPr>
      <w:sz w:val="28"/>
      <w:szCs w:val="28"/>
    </w:rPr>
  </w:style>
  <w:style w:type="paragraph" w:styleId="Nadpis3">
    <w:name w:val="heading 3"/>
    <w:basedOn w:val="Nadpis2"/>
    <w:next w:val="Normln"/>
    <w:link w:val="Nadpis3Char"/>
    <w:qFormat/>
    <w:rsid w:val="006052DD"/>
    <w:pPr>
      <w:numPr>
        <w:ilvl w:val="2"/>
      </w:numPr>
      <w:tabs>
        <w:tab w:val="left" w:pos="426"/>
      </w:tabs>
      <w:outlineLvl w:val="2"/>
    </w:pPr>
    <w:rPr>
      <w:sz w:val="24"/>
      <w:szCs w:val="24"/>
    </w:rPr>
  </w:style>
  <w:style w:type="paragraph" w:styleId="Nadpis4">
    <w:name w:val="heading 4"/>
    <w:basedOn w:val="Normln"/>
    <w:next w:val="Normln"/>
    <w:link w:val="Nadpis4Char"/>
    <w:qFormat/>
    <w:rsid w:val="006052DD"/>
    <w:pPr>
      <w:keepNext/>
      <w:jc w:val="center"/>
      <w:outlineLvl w:val="3"/>
    </w:pPr>
    <w:rPr>
      <w:b/>
      <w:sz w:val="32"/>
    </w:rPr>
  </w:style>
  <w:style w:type="paragraph" w:styleId="Nadpis5">
    <w:name w:val="heading 5"/>
    <w:basedOn w:val="Normln"/>
    <w:next w:val="Normln"/>
    <w:link w:val="Nadpis5Char"/>
    <w:qFormat/>
    <w:rsid w:val="006052DD"/>
    <w:pPr>
      <w:keepNext/>
      <w:outlineLvl w:val="4"/>
    </w:pPr>
    <w:rPr>
      <w:sz w:val="24"/>
    </w:rPr>
  </w:style>
  <w:style w:type="paragraph" w:styleId="Nadpis6">
    <w:name w:val="heading 6"/>
    <w:basedOn w:val="Normln"/>
    <w:next w:val="Normln"/>
    <w:link w:val="Nadpis6Char"/>
    <w:qFormat/>
    <w:rsid w:val="006052DD"/>
    <w:pPr>
      <w:keepNext/>
      <w:outlineLvl w:val="5"/>
    </w:pPr>
    <w:rPr>
      <w:i/>
      <w:color w:val="FF0000"/>
      <w:sz w:val="28"/>
    </w:rPr>
  </w:style>
  <w:style w:type="paragraph" w:styleId="Nadpis7">
    <w:name w:val="heading 7"/>
    <w:basedOn w:val="Normln"/>
    <w:next w:val="Normln"/>
    <w:link w:val="Nadpis7Char"/>
    <w:qFormat/>
    <w:rsid w:val="006052DD"/>
    <w:pPr>
      <w:keepNext/>
      <w:jc w:val="center"/>
      <w:outlineLvl w:val="6"/>
    </w:pPr>
    <w:rPr>
      <w:sz w:val="24"/>
    </w:rPr>
  </w:style>
  <w:style w:type="paragraph" w:styleId="Nadpis8">
    <w:name w:val="heading 8"/>
    <w:basedOn w:val="Normln"/>
    <w:next w:val="Normln"/>
    <w:link w:val="Nadpis8Char"/>
    <w:qFormat/>
    <w:rsid w:val="006052DD"/>
    <w:pPr>
      <w:widowControl w:val="0"/>
      <w:spacing w:before="240" w:after="60"/>
      <w:outlineLvl w:val="7"/>
    </w:pPr>
    <w:rPr>
      <w:rFonts w:ascii="Arial" w:hAnsi="Arial"/>
      <w:i/>
    </w:rPr>
  </w:style>
  <w:style w:type="paragraph" w:styleId="Nadpis9">
    <w:name w:val="heading 9"/>
    <w:basedOn w:val="Normln"/>
    <w:next w:val="Normln"/>
    <w:link w:val="Nadpis9Char"/>
    <w:qFormat/>
    <w:rsid w:val="006052DD"/>
    <w:pPr>
      <w:keepNext/>
      <w:spacing w:line="360" w:lineRule="auto"/>
      <w:ind w:firstLine="708"/>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2C30"/>
    <w:rPr>
      <w:b/>
      <w:sz w:val="32"/>
    </w:rPr>
  </w:style>
  <w:style w:type="character" w:customStyle="1" w:styleId="Nadpis7Char">
    <w:name w:val="Nadpis 7 Char"/>
    <w:basedOn w:val="Standardnpsmoodstavce"/>
    <w:link w:val="Nadpis7"/>
    <w:rsid w:val="00D62C30"/>
    <w:rPr>
      <w:sz w:val="24"/>
    </w:rPr>
  </w:style>
  <w:style w:type="paragraph" w:styleId="Pokraovnseznamu">
    <w:name w:val="List Continue"/>
    <w:basedOn w:val="Normln"/>
    <w:uiPriority w:val="99"/>
    <w:semiHidden/>
    <w:unhideWhenUsed/>
    <w:rsid w:val="006052DD"/>
    <w:pPr>
      <w:spacing w:after="120"/>
      <w:ind w:left="283"/>
      <w:contextualSpacing/>
    </w:pPr>
  </w:style>
  <w:style w:type="character" w:customStyle="1" w:styleId="Nadpis2Char">
    <w:name w:val="Nadpis 2 Char"/>
    <w:basedOn w:val="Standardnpsmoodstavce"/>
    <w:link w:val="Nadpis2"/>
    <w:rsid w:val="006052DD"/>
    <w:rPr>
      <w:b/>
      <w:sz w:val="28"/>
      <w:szCs w:val="28"/>
    </w:rPr>
  </w:style>
  <w:style w:type="character" w:customStyle="1" w:styleId="Nadpis3Char">
    <w:name w:val="Nadpis 3 Char"/>
    <w:basedOn w:val="Standardnpsmoodstavce"/>
    <w:link w:val="Nadpis3"/>
    <w:rsid w:val="006052DD"/>
    <w:rPr>
      <w:rFonts w:eastAsia="Times New Roman" w:cs="Times New Roman"/>
      <w:b/>
      <w:sz w:val="24"/>
      <w:szCs w:val="24"/>
    </w:rPr>
  </w:style>
  <w:style w:type="character" w:customStyle="1" w:styleId="Nadpis4Char">
    <w:name w:val="Nadpis 4 Char"/>
    <w:basedOn w:val="Standardnpsmoodstavce"/>
    <w:link w:val="Nadpis4"/>
    <w:rsid w:val="006052DD"/>
    <w:rPr>
      <w:b/>
      <w:sz w:val="32"/>
    </w:rPr>
  </w:style>
  <w:style w:type="character" w:customStyle="1" w:styleId="Nadpis5Char">
    <w:name w:val="Nadpis 5 Char"/>
    <w:basedOn w:val="Standardnpsmoodstavce"/>
    <w:link w:val="Nadpis5"/>
    <w:rsid w:val="006052DD"/>
    <w:rPr>
      <w:sz w:val="24"/>
    </w:rPr>
  </w:style>
  <w:style w:type="character" w:customStyle="1" w:styleId="Nadpis6Char">
    <w:name w:val="Nadpis 6 Char"/>
    <w:basedOn w:val="Standardnpsmoodstavce"/>
    <w:link w:val="Nadpis6"/>
    <w:rsid w:val="006052DD"/>
    <w:rPr>
      <w:i/>
      <w:color w:val="FF0000"/>
      <w:sz w:val="28"/>
    </w:rPr>
  </w:style>
  <w:style w:type="character" w:customStyle="1" w:styleId="Nadpis8Char">
    <w:name w:val="Nadpis 8 Char"/>
    <w:basedOn w:val="Standardnpsmoodstavce"/>
    <w:link w:val="Nadpis8"/>
    <w:rsid w:val="006052DD"/>
    <w:rPr>
      <w:rFonts w:ascii="Arial" w:hAnsi="Arial"/>
      <w:i/>
    </w:rPr>
  </w:style>
  <w:style w:type="character" w:customStyle="1" w:styleId="Nadpis9Char">
    <w:name w:val="Nadpis 9 Char"/>
    <w:basedOn w:val="Standardnpsmoodstavce"/>
    <w:link w:val="Nadpis9"/>
    <w:rsid w:val="006052DD"/>
    <w:rPr>
      <w:sz w:val="24"/>
    </w:rPr>
  </w:style>
  <w:style w:type="paragraph" w:styleId="Obsah1">
    <w:name w:val="toc 1"/>
    <w:basedOn w:val="Normln"/>
    <w:next w:val="Normln"/>
    <w:autoRedefine/>
    <w:uiPriority w:val="39"/>
    <w:qFormat/>
    <w:rsid w:val="006052DD"/>
    <w:pPr>
      <w:tabs>
        <w:tab w:val="left" w:pos="400"/>
        <w:tab w:val="right" w:leader="dot" w:pos="9061"/>
      </w:tabs>
      <w:spacing w:after="100"/>
    </w:pPr>
    <w:rPr>
      <w:noProof/>
      <w:sz w:val="24"/>
    </w:rPr>
  </w:style>
  <w:style w:type="paragraph" w:styleId="Obsah2">
    <w:name w:val="toc 2"/>
    <w:basedOn w:val="Normln"/>
    <w:autoRedefine/>
    <w:uiPriority w:val="39"/>
    <w:qFormat/>
    <w:rsid w:val="006052DD"/>
    <w:pPr>
      <w:widowControl w:val="0"/>
      <w:suppressLineNumbers/>
      <w:tabs>
        <w:tab w:val="left" w:pos="850"/>
        <w:tab w:val="right" w:leader="dot" w:pos="9638"/>
      </w:tabs>
      <w:suppressAutoHyphens/>
      <w:spacing w:line="360" w:lineRule="auto"/>
      <w:ind w:left="283"/>
      <w:jc w:val="both"/>
    </w:pPr>
    <w:rPr>
      <w:sz w:val="24"/>
    </w:rPr>
  </w:style>
  <w:style w:type="paragraph" w:styleId="Obsah3">
    <w:name w:val="toc 3"/>
    <w:basedOn w:val="Normln"/>
    <w:next w:val="Normln"/>
    <w:autoRedefine/>
    <w:uiPriority w:val="39"/>
    <w:qFormat/>
    <w:rsid w:val="006052DD"/>
    <w:pPr>
      <w:spacing w:after="100"/>
      <w:ind w:left="400"/>
    </w:pPr>
  </w:style>
  <w:style w:type="paragraph" w:styleId="Nzev">
    <w:name w:val="Title"/>
    <w:basedOn w:val="Normln"/>
    <w:link w:val="NzevChar"/>
    <w:qFormat/>
    <w:rsid w:val="006052DD"/>
    <w:pPr>
      <w:jc w:val="center"/>
    </w:pPr>
    <w:rPr>
      <w:sz w:val="24"/>
    </w:rPr>
  </w:style>
  <w:style w:type="character" w:customStyle="1" w:styleId="NzevChar">
    <w:name w:val="Název Char"/>
    <w:link w:val="Nzev"/>
    <w:rsid w:val="006052DD"/>
    <w:rPr>
      <w:sz w:val="24"/>
      <w:lang w:val="cs-CZ" w:eastAsia="cs-CZ" w:bidi="ar-SA"/>
    </w:rPr>
  </w:style>
  <w:style w:type="paragraph" w:styleId="Podtitul">
    <w:name w:val="Subtitle"/>
    <w:basedOn w:val="Normln"/>
    <w:link w:val="PodtitulChar"/>
    <w:qFormat/>
    <w:rsid w:val="006052DD"/>
    <w:pPr>
      <w:widowControl w:val="0"/>
      <w:spacing w:after="60"/>
      <w:jc w:val="center"/>
    </w:pPr>
    <w:rPr>
      <w:rFonts w:ascii="Arial" w:hAnsi="Arial"/>
      <w:i/>
      <w:sz w:val="24"/>
    </w:rPr>
  </w:style>
  <w:style w:type="character" w:customStyle="1" w:styleId="PodtitulChar">
    <w:name w:val="Podtitul Char"/>
    <w:basedOn w:val="Standardnpsmoodstavce"/>
    <w:link w:val="Podtitul"/>
    <w:rsid w:val="006052DD"/>
    <w:rPr>
      <w:rFonts w:ascii="Arial" w:hAnsi="Arial"/>
      <w:i/>
      <w:sz w:val="24"/>
    </w:rPr>
  </w:style>
  <w:style w:type="character" w:styleId="Zvraznn">
    <w:name w:val="Emphasis"/>
    <w:qFormat/>
    <w:rsid w:val="006052DD"/>
    <w:rPr>
      <w:i/>
      <w:iCs/>
    </w:rPr>
  </w:style>
  <w:style w:type="paragraph" w:styleId="Odstavecseseznamem">
    <w:name w:val="List Paragraph"/>
    <w:basedOn w:val="Normln"/>
    <w:uiPriority w:val="34"/>
    <w:qFormat/>
    <w:rsid w:val="006052DD"/>
    <w:pPr>
      <w:ind w:left="720"/>
      <w:contextualSpacing/>
    </w:pPr>
  </w:style>
  <w:style w:type="paragraph" w:styleId="Nadpisobsahu">
    <w:name w:val="TOC Heading"/>
    <w:basedOn w:val="Nadpis1"/>
    <w:next w:val="Normln"/>
    <w:uiPriority w:val="39"/>
    <w:qFormat/>
    <w:rsid w:val="006052DD"/>
    <w:pPr>
      <w:keepLines/>
      <w:numPr>
        <w:numId w:val="0"/>
      </w:numPr>
      <w:spacing w:before="480" w:line="276" w:lineRule="auto"/>
      <w:outlineLvl w:val="9"/>
    </w:pPr>
    <w:rPr>
      <w:rFonts w:ascii="Cambria" w:hAnsi="Cambria"/>
      <w:bCs/>
      <w:color w:val="365F91"/>
      <w:szCs w:val="28"/>
      <w:lang w:eastAsia="en-US"/>
    </w:rPr>
  </w:style>
  <w:style w:type="paragraph" w:styleId="Normlnweb">
    <w:name w:val="Normal (Web)"/>
    <w:basedOn w:val="Normln"/>
    <w:uiPriority w:val="99"/>
    <w:unhideWhenUsed/>
    <w:rsid w:val="009F74D7"/>
    <w:pPr>
      <w:spacing w:before="100" w:beforeAutospacing="1" w:after="100" w:afterAutospacing="1"/>
    </w:pPr>
    <w:rPr>
      <w:sz w:val="24"/>
      <w:szCs w:val="24"/>
    </w:rPr>
  </w:style>
  <w:style w:type="character" w:styleId="Siln">
    <w:name w:val="Strong"/>
    <w:basedOn w:val="Standardnpsmoodstavce"/>
    <w:uiPriority w:val="22"/>
    <w:qFormat/>
    <w:rsid w:val="009F74D7"/>
    <w:rPr>
      <w:b/>
      <w:bCs/>
    </w:rPr>
  </w:style>
  <w:style w:type="character" w:customStyle="1" w:styleId="cblack14b">
    <w:name w:val="cblack14b"/>
    <w:basedOn w:val="Standardnpsmoodstavce"/>
    <w:rsid w:val="009F74D7"/>
  </w:style>
  <w:style w:type="paragraph" w:styleId="Zkladntext">
    <w:name w:val="Body Text"/>
    <w:basedOn w:val="Normln"/>
    <w:link w:val="ZkladntextChar"/>
    <w:rsid w:val="00B7736C"/>
    <w:pPr>
      <w:jc w:val="both"/>
    </w:pPr>
    <w:rPr>
      <w:sz w:val="22"/>
    </w:rPr>
  </w:style>
  <w:style w:type="character" w:customStyle="1" w:styleId="ZkladntextChar">
    <w:name w:val="Základní text Char"/>
    <w:basedOn w:val="Standardnpsmoodstavce"/>
    <w:link w:val="Zkladntext"/>
    <w:rsid w:val="00B7736C"/>
    <w:rPr>
      <w:sz w:val="22"/>
    </w:rPr>
  </w:style>
</w:styles>
</file>

<file path=word/webSettings.xml><?xml version="1.0" encoding="utf-8"?>
<w:webSettings xmlns:r="http://schemas.openxmlformats.org/officeDocument/2006/relationships" xmlns:w="http://schemas.openxmlformats.org/wordprocessingml/2006/main">
  <w:divs>
    <w:div w:id="201603204">
      <w:bodyDiv w:val="1"/>
      <w:marLeft w:val="0"/>
      <w:marRight w:val="0"/>
      <w:marTop w:val="0"/>
      <w:marBottom w:val="0"/>
      <w:divBdr>
        <w:top w:val="none" w:sz="0" w:space="0" w:color="auto"/>
        <w:left w:val="none" w:sz="0" w:space="0" w:color="auto"/>
        <w:bottom w:val="none" w:sz="0" w:space="0" w:color="auto"/>
        <w:right w:val="none" w:sz="0" w:space="0" w:color="auto"/>
      </w:divBdr>
    </w:div>
    <w:div w:id="1788741952">
      <w:bodyDiv w:val="1"/>
      <w:marLeft w:val="0"/>
      <w:marRight w:val="0"/>
      <w:marTop w:val="0"/>
      <w:marBottom w:val="0"/>
      <w:divBdr>
        <w:top w:val="none" w:sz="0" w:space="0" w:color="auto"/>
        <w:left w:val="none" w:sz="0" w:space="0" w:color="auto"/>
        <w:bottom w:val="none" w:sz="0" w:space="0" w:color="auto"/>
        <w:right w:val="none" w:sz="0" w:space="0" w:color="auto"/>
      </w:divBdr>
      <w:divsChild>
        <w:div w:id="7888647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217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1841</Words>
  <Characters>10868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Číslo smlouvy: PPK-XX/846/15</vt:lpstr>
    </vt:vector>
  </TitlesOfParts>
  <Company>Microsoft</Company>
  <LinksUpToDate>false</LinksUpToDate>
  <CharactersWithSpaces>12684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PPK-XX/846/15</dc:title>
  <dc:creator>jaroslav.muller</dc:creator>
  <cp:lastModifiedBy>jaroslav.muller</cp:lastModifiedBy>
  <cp:revision>6</cp:revision>
  <cp:lastPrinted>2015-11-02T12:56:00Z</cp:lastPrinted>
  <dcterms:created xsi:type="dcterms:W3CDTF">2016-09-01T11:12:00Z</dcterms:created>
  <dcterms:modified xsi:type="dcterms:W3CDTF">2016-09-12T09:04:00Z</dcterms:modified>
</cp:coreProperties>
</file>