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7F" w:rsidRDefault="00DD727F" w:rsidP="00243D6A">
      <w:pPr>
        <w:jc w:val="center"/>
        <w:rPr>
          <w:rFonts w:asciiTheme="minorHAnsi" w:hAnsiTheme="minorHAnsi" w:cstheme="minorHAnsi"/>
          <w:b/>
          <w:sz w:val="24"/>
          <w:szCs w:val="24"/>
        </w:rPr>
      </w:pP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F223DE"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6D1588">
        <w:rPr>
          <w:rFonts w:asciiTheme="minorHAnsi" w:hAnsiTheme="minorHAnsi" w:cstheme="minorHAnsi"/>
          <w:b/>
          <w:sz w:val="24"/>
          <w:szCs w:val="24"/>
        </w:rPr>
        <w:t>9916/18</w:t>
      </w:r>
    </w:p>
    <w:p w:rsidR="00243D6A" w:rsidRDefault="00243D6A" w:rsidP="00243D6A">
      <w:pPr>
        <w:pBdr>
          <w:bottom w:val="single" w:sz="6" w:space="1" w:color="000000"/>
        </w:pBdr>
        <w:jc w:val="center"/>
        <w:rPr>
          <w:rFonts w:asciiTheme="minorHAnsi" w:hAnsiTheme="minorHAnsi" w:cstheme="minorHAnsi"/>
          <w:b/>
          <w:sz w:val="10"/>
          <w:szCs w:val="10"/>
        </w:rPr>
      </w:pPr>
    </w:p>
    <w:p w:rsidR="00243D6A" w:rsidRDefault="00243D6A" w:rsidP="00243D6A">
      <w:pPr>
        <w:jc w:val="center"/>
        <w:rPr>
          <w:rFonts w:asciiTheme="minorHAnsi" w:hAnsiTheme="minorHAnsi" w:cstheme="minorHAnsi"/>
          <w:sz w:val="16"/>
          <w:szCs w:val="16"/>
        </w:rPr>
      </w:pPr>
    </w:p>
    <w:p w:rsidR="004703DA" w:rsidRDefault="004703DA" w:rsidP="004703DA">
      <w:pPr>
        <w:jc w:val="center"/>
        <w:rPr>
          <w:rFonts w:asciiTheme="minorHAnsi" w:hAnsiTheme="minorHAnsi" w:cstheme="minorHAnsi"/>
          <w:sz w:val="16"/>
          <w:szCs w:val="16"/>
        </w:rPr>
      </w:pPr>
      <w:r>
        <w:rPr>
          <w:rFonts w:asciiTheme="minorHAnsi" w:hAnsiTheme="minorHAnsi" w:cstheme="minorHAnsi"/>
          <w:sz w:val="16"/>
          <w:szCs w:val="16"/>
        </w:rPr>
        <w:t xml:space="preserve">uzavřená ve smyslu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xml:space="preserve">. § 159 a násl. zákona č. 500/2004 Sb., správní řád, ve znění pozdějších předpisů </w:t>
      </w:r>
    </w:p>
    <w:p w:rsidR="004703DA" w:rsidRDefault="004703DA" w:rsidP="004703DA">
      <w:pPr>
        <w:jc w:val="center"/>
        <w:rPr>
          <w:rFonts w:asciiTheme="minorHAnsi" w:hAnsiTheme="minorHAnsi" w:cstheme="minorHAnsi"/>
        </w:rPr>
      </w:pPr>
      <w:r>
        <w:rPr>
          <w:rFonts w:asciiTheme="minorHAnsi" w:hAnsiTheme="minorHAnsi" w:cstheme="minorHAnsi"/>
          <w:sz w:val="16"/>
          <w:szCs w:val="16"/>
        </w:rPr>
        <w:t xml:space="preserve">a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 10a odst. 5 zákona č. 250/2000 Sb., o rozpočtových pravidlech územních rozpočtů, ve znění pozdějších předpisů</w:t>
      </w:r>
    </w:p>
    <w:p w:rsidR="004703DA" w:rsidRDefault="004703DA" w:rsidP="004703DA">
      <w:pPr>
        <w:jc w:val="center"/>
        <w:rPr>
          <w:rFonts w:asciiTheme="minorHAnsi" w:hAnsiTheme="minorHAnsi" w:cstheme="minorHAnsi"/>
          <w:b/>
          <w:bCs/>
          <w:sz w:val="22"/>
          <w:szCs w:val="22"/>
        </w:rPr>
      </w:pPr>
    </w:p>
    <w:p w:rsidR="004703DA" w:rsidRPr="00D64C29" w:rsidRDefault="004703DA" w:rsidP="004703DA">
      <w:pPr>
        <w:autoSpaceDE w:val="0"/>
        <w:adjustRightInd w:val="0"/>
        <w:jc w:val="center"/>
        <w:rPr>
          <w:rFonts w:asciiTheme="minorHAnsi" w:hAnsiTheme="minorHAnsi" w:cstheme="minorHAnsi"/>
          <w:b/>
        </w:rPr>
      </w:pPr>
      <w:r w:rsidRPr="00D64C29">
        <w:rPr>
          <w:rFonts w:asciiTheme="minorHAnsi" w:hAnsiTheme="minorHAnsi" w:cstheme="minorHAnsi"/>
          <w:b/>
        </w:rPr>
        <w:t>I.</w:t>
      </w:r>
    </w:p>
    <w:p w:rsidR="004703DA" w:rsidRDefault="004703DA" w:rsidP="004703DA">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4703DA" w:rsidRPr="00B6531C" w:rsidRDefault="004703DA" w:rsidP="004703DA"/>
    <w:p w:rsidR="00F10532" w:rsidRDefault="00F10532" w:rsidP="00F10532">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w:t>
      </w:r>
      <w:proofErr w:type="gramStart"/>
      <w:r>
        <w:rPr>
          <w:rFonts w:asciiTheme="minorHAnsi" w:hAnsiTheme="minorHAnsi" w:cstheme="minorHAnsi"/>
          <w:sz w:val="20"/>
          <w:szCs w:val="20"/>
        </w:rPr>
        <w:t>13.12.2018</w:t>
      </w:r>
      <w:proofErr w:type="gramEnd"/>
      <w:r>
        <w:rPr>
          <w:rFonts w:asciiTheme="minorHAnsi" w:hAnsiTheme="minorHAnsi" w:cstheme="minorHAnsi"/>
          <w:sz w:val="20"/>
          <w:szCs w:val="20"/>
        </w:rPr>
        <w:t xml:space="preserve">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102 odst. 3/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243D6A" w:rsidRPr="008554AD" w:rsidRDefault="00243D6A" w:rsidP="00243D6A">
      <w:pPr>
        <w:autoSpaceDE w:val="0"/>
        <w:adjustRightInd w:val="0"/>
        <w:jc w:val="center"/>
        <w:rPr>
          <w:rFonts w:asciiTheme="minorHAnsi" w:hAnsiTheme="minorHAnsi" w:cstheme="minorHAnsi"/>
          <w:b/>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243D6A" w:rsidRPr="008554AD" w:rsidRDefault="00243D6A" w:rsidP="00243D6A">
      <w:pPr>
        <w:jc w:val="both"/>
        <w:rPr>
          <w:rFonts w:asciiTheme="minorHAnsi" w:hAnsiTheme="minorHAnsi" w:cstheme="minorHAnsi"/>
          <w:b/>
          <w:bCs/>
          <w:sz w:val="22"/>
          <w:szCs w:val="22"/>
        </w:rPr>
      </w:pPr>
    </w:p>
    <w:p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70491" w:rsidRDefault="00C70491" w:rsidP="00C70491">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3"/>
        <w:rPr>
          <w:rFonts w:asciiTheme="minorHAnsi" w:hAnsiTheme="minorHAnsi" w:cstheme="minorHAnsi"/>
          <w:sz w:val="22"/>
          <w:szCs w:val="22"/>
        </w:rPr>
      </w:pPr>
    </w:p>
    <w:p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243D6A" w:rsidRPr="0018300F" w:rsidRDefault="0020425B" w:rsidP="00243D6A">
      <w:pPr>
        <w:jc w:val="both"/>
        <w:rPr>
          <w:rFonts w:asciiTheme="minorHAnsi" w:hAnsiTheme="minorHAnsi" w:cstheme="minorHAnsi"/>
          <w:b/>
          <w:bCs/>
          <w:sz w:val="22"/>
          <w:szCs w:val="22"/>
        </w:rPr>
      </w:pPr>
      <w:r>
        <w:rPr>
          <w:rFonts w:asciiTheme="minorHAnsi" w:hAnsiTheme="minorHAnsi" w:cstheme="minorHAnsi"/>
          <w:b/>
          <w:bCs/>
          <w:sz w:val="22"/>
          <w:szCs w:val="22"/>
        </w:rPr>
        <w:t>Partnerský spolek Litvínov, o.p.s.</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zastoupené:</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3B7B6A">
        <w:rPr>
          <w:rFonts w:asciiTheme="minorHAnsi" w:hAnsiTheme="minorHAnsi" w:cstheme="minorHAnsi"/>
          <w:sz w:val="22"/>
          <w:szCs w:val="22"/>
        </w:rPr>
        <w:t>PhDr.</w:t>
      </w:r>
      <w:r w:rsidR="0020425B">
        <w:rPr>
          <w:rFonts w:asciiTheme="minorHAnsi" w:hAnsiTheme="minorHAnsi" w:cstheme="minorHAnsi"/>
          <w:sz w:val="22"/>
          <w:szCs w:val="22"/>
        </w:rPr>
        <w:t xml:space="preserve"> Marií Svačinovou, ředitelkou</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20425B">
        <w:rPr>
          <w:rFonts w:asciiTheme="minorHAnsi" w:hAnsiTheme="minorHAnsi" w:cstheme="minorHAnsi"/>
          <w:sz w:val="22"/>
          <w:szCs w:val="22"/>
        </w:rPr>
        <w:t>Mostecká 1</w:t>
      </w:r>
      <w:r w:rsidRPr="0018300F">
        <w:rPr>
          <w:rFonts w:asciiTheme="minorHAnsi" w:hAnsiTheme="minorHAnsi" w:cstheme="minorHAnsi"/>
          <w:sz w:val="22"/>
          <w:szCs w:val="22"/>
        </w:rPr>
        <w:t>, 436 01 Litvínov</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IČO: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20425B">
        <w:rPr>
          <w:rFonts w:asciiTheme="minorHAnsi" w:hAnsiTheme="minorHAnsi" w:cstheme="minorHAnsi"/>
          <w:sz w:val="22"/>
          <w:szCs w:val="22"/>
        </w:rPr>
        <w:t>25416464</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DIČ:</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t>není plátcem DPH</w:t>
      </w:r>
    </w:p>
    <w:p w:rsidR="003B7B6A" w:rsidRPr="003B7B6A" w:rsidRDefault="003B7B6A" w:rsidP="003B7B6A">
      <w:pPr>
        <w:tabs>
          <w:tab w:val="left" w:pos="360"/>
        </w:tabs>
        <w:ind w:right="51"/>
        <w:rPr>
          <w:rFonts w:asciiTheme="minorHAnsi" w:hAnsiTheme="minorHAnsi" w:cstheme="minorHAnsi"/>
          <w:sz w:val="22"/>
          <w:szCs w:val="22"/>
        </w:rPr>
      </w:pPr>
      <w:r w:rsidRPr="003B7B6A">
        <w:rPr>
          <w:rFonts w:asciiTheme="minorHAnsi" w:hAnsiTheme="minorHAnsi" w:cstheme="minorHAnsi"/>
          <w:sz w:val="22"/>
          <w:szCs w:val="22"/>
        </w:rPr>
        <w:t>bankovní spojení:</w:t>
      </w:r>
      <w:r w:rsidRPr="003B7B6A">
        <w:rPr>
          <w:rFonts w:asciiTheme="minorHAnsi" w:hAnsiTheme="minorHAnsi" w:cstheme="minorHAnsi"/>
          <w:sz w:val="22"/>
          <w:szCs w:val="22"/>
        </w:rPr>
        <w:tab/>
      </w:r>
      <w:r w:rsidRPr="003B7B6A">
        <w:rPr>
          <w:rFonts w:asciiTheme="minorHAnsi" w:hAnsiTheme="minorHAnsi" w:cstheme="minorHAnsi"/>
          <w:sz w:val="22"/>
          <w:szCs w:val="22"/>
        </w:rPr>
        <w:tab/>
      </w:r>
      <w:proofErr w:type="spellStart"/>
      <w:r w:rsidR="007C2083">
        <w:rPr>
          <w:rFonts w:asciiTheme="minorHAnsi" w:hAnsiTheme="minorHAnsi" w:cstheme="minorHAnsi"/>
          <w:sz w:val="22"/>
          <w:szCs w:val="22"/>
        </w:rPr>
        <w:t>xxxxxxxxxxxxxxxx</w:t>
      </w:r>
      <w:proofErr w:type="spellEnd"/>
    </w:p>
    <w:p w:rsidR="003B7B6A" w:rsidRDefault="003B7B6A" w:rsidP="003B7B6A">
      <w:pPr>
        <w:tabs>
          <w:tab w:val="left" w:pos="360"/>
        </w:tabs>
        <w:ind w:right="51"/>
        <w:rPr>
          <w:rFonts w:asciiTheme="minorHAnsi" w:hAnsiTheme="minorHAnsi" w:cstheme="minorHAnsi"/>
          <w:sz w:val="22"/>
          <w:szCs w:val="22"/>
        </w:rPr>
      </w:pPr>
      <w:r w:rsidRPr="003B7B6A">
        <w:rPr>
          <w:rFonts w:asciiTheme="minorHAnsi" w:hAnsiTheme="minorHAnsi" w:cstheme="minorHAnsi"/>
          <w:sz w:val="22"/>
          <w:szCs w:val="22"/>
        </w:rPr>
        <w:t>číslo účtu:</w:t>
      </w:r>
      <w:r w:rsidRPr="003B7B6A">
        <w:rPr>
          <w:rFonts w:asciiTheme="minorHAnsi" w:hAnsiTheme="minorHAnsi" w:cstheme="minorHAnsi"/>
          <w:sz w:val="22"/>
          <w:szCs w:val="22"/>
        </w:rPr>
        <w:tab/>
      </w:r>
      <w:r w:rsidRPr="003B7B6A">
        <w:rPr>
          <w:rFonts w:asciiTheme="minorHAnsi" w:hAnsiTheme="minorHAnsi" w:cstheme="minorHAnsi"/>
          <w:sz w:val="22"/>
          <w:szCs w:val="22"/>
        </w:rPr>
        <w:tab/>
      </w:r>
      <w:r w:rsidRPr="003B7B6A">
        <w:rPr>
          <w:rFonts w:asciiTheme="minorHAnsi" w:hAnsiTheme="minorHAnsi" w:cstheme="minorHAnsi"/>
          <w:sz w:val="22"/>
          <w:szCs w:val="22"/>
        </w:rPr>
        <w:tab/>
      </w:r>
      <w:r w:rsidR="007C2083">
        <w:rPr>
          <w:rFonts w:asciiTheme="minorHAnsi" w:hAnsiTheme="minorHAnsi" w:cstheme="minorHAnsi"/>
          <w:sz w:val="22"/>
          <w:szCs w:val="22"/>
        </w:rPr>
        <w:t>xxxxxxxxxxxx</w:t>
      </w:r>
      <w:bookmarkStart w:id="0" w:name="_GoBack"/>
      <w:bookmarkEnd w:id="0"/>
    </w:p>
    <w:p w:rsidR="00243D6A" w:rsidRPr="008554AD" w:rsidRDefault="00243D6A" w:rsidP="003B7B6A">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243D6A" w:rsidRPr="008554AD" w:rsidRDefault="00243D6A" w:rsidP="00243D6A">
      <w:pPr>
        <w:tabs>
          <w:tab w:val="left" w:pos="360"/>
        </w:tabs>
        <w:ind w:right="51"/>
        <w:rPr>
          <w:rFonts w:asciiTheme="minorHAnsi" w:hAnsiTheme="minorHAnsi" w:cstheme="minorHAnsi"/>
          <w:sz w:val="22"/>
          <w:szCs w:val="22"/>
        </w:rPr>
      </w:pPr>
    </w:p>
    <w:p w:rsidR="00243D6A" w:rsidRPr="008554AD" w:rsidRDefault="00243D6A" w:rsidP="00243D6A">
      <w:pPr>
        <w:tabs>
          <w:tab w:val="left" w:pos="360"/>
        </w:tabs>
        <w:ind w:right="51"/>
        <w:rPr>
          <w:rFonts w:asciiTheme="minorHAnsi" w:hAnsiTheme="minorHAnsi" w:cstheme="minorHAnsi"/>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243D6A" w:rsidRPr="008554AD" w:rsidRDefault="00243D6A" w:rsidP="00243D6A">
      <w:pPr>
        <w:tabs>
          <w:tab w:val="left" w:pos="360"/>
        </w:tabs>
        <w:ind w:right="51"/>
        <w:rPr>
          <w:rFonts w:asciiTheme="minorHAnsi" w:hAnsiTheme="minorHAnsi" w:cstheme="minorHAnsi"/>
          <w:b/>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243D6A" w:rsidRPr="008554AD" w:rsidRDefault="00243D6A" w:rsidP="00243D6A">
      <w:pPr>
        <w:tabs>
          <w:tab w:val="left" w:pos="360"/>
        </w:tabs>
        <w:ind w:right="51"/>
        <w:jc w:val="center"/>
        <w:rPr>
          <w:rFonts w:asciiTheme="minorHAnsi" w:hAnsiTheme="minorHAnsi" w:cstheme="minorHAnsi"/>
          <w:b/>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C17175">
        <w:rPr>
          <w:rFonts w:ascii="Calibri" w:hAnsi="Calibri" w:cs="Calibri"/>
          <w:b/>
          <w:bCs/>
          <w:sz w:val="22"/>
          <w:szCs w:val="22"/>
        </w:rPr>
        <w:t>P</w:t>
      </w:r>
      <w:r w:rsidR="00C17175" w:rsidRPr="003B7B6A">
        <w:rPr>
          <w:rFonts w:ascii="Calibri" w:hAnsi="Calibri" w:cs="Calibri"/>
          <w:b/>
          <w:bCs/>
          <w:sz w:val="22"/>
          <w:szCs w:val="22"/>
        </w:rPr>
        <w:t>řeshraniční spolupráce, kulturní a vzdělávací činnost pro město Litvínov</w:t>
      </w:r>
      <w:r w:rsidR="00C17175" w:rsidRPr="0018300F">
        <w:rPr>
          <w:rFonts w:asciiTheme="minorHAnsi" w:hAnsiTheme="minorHAnsi" w:cstheme="minorHAnsi"/>
          <w:sz w:val="22"/>
          <w:szCs w:val="22"/>
        </w:rPr>
        <w:t xml:space="preserve"> </w:t>
      </w:r>
      <w:r w:rsidRPr="0018300F">
        <w:rPr>
          <w:rFonts w:asciiTheme="minorHAnsi" w:hAnsiTheme="minorHAnsi" w:cstheme="minorHAnsi"/>
          <w:sz w:val="22"/>
          <w:szCs w:val="22"/>
        </w:rPr>
        <w:t>(dále jen „projekt“).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Pr="008554AD" w:rsidRDefault="00243D6A" w:rsidP="00243D6A">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sidR="00807A3E">
        <w:rPr>
          <w:rFonts w:asciiTheme="minorHAnsi" w:hAnsiTheme="minorHAnsi" w:cstheme="minorHAnsi"/>
          <w:sz w:val="22"/>
          <w:szCs w:val="22"/>
        </w:rPr>
        <w:t>alizován v termínu od 1. 1. 2019 do 31. 12. 2019</w:t>
      </w:r>
      <w:r w:rsidRPr="008554AD">
        <w:rPr>
          <w:rFonts w:asciiTheme="minorHAnsi" w:hAnsiTheme="minorHAnsi" w:cstheme="minorHAnsi"/>
          <w:sz w:val="22"/>
          <w:szCs w:val="22"/>
        </w:rPr>
        <w:t xml:space="preserve">. Ukončení projektu je rovněž konečným termínem, kdy má být dosaženo účelu dotace. </w:t>
      </w:r>
    </w:p>
    <w:p w:rsidR="00243D6A" w:rsidRPr="008554AD" w:rsidRDefault="00243D6A" w:rsidP="00243D6A">
      <w:pPr>
        <w:tabs>
          <w:tab w:val="left" w:pos="360"/>
        </w:tabs>
        <w:ind w:right="51"/>
        <w:jc w:val="both"/>
        <w:rPr>
          <w:rFonts w:asciiTheme="minorHAnsi" w:hAnsiTheme="minorHAnsi" w:cstheme="minorHAnsi"/>
          <w:sz w:val="22"/>
          <w:szCs w:val="22"/>
        </w:rPr>
      </w:pPr>
    </w:p>
    <w:p w:rsidR="005B08DA" w:rsidRDefault="005B08DA" w:rsidP="005B08DA">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0B3C99">
        <w:rPr>
          <w:rFonts w:ascii="Calibri" w:hAnsi="Calibri" w:cs="Calibri"/>
          <w:sz w:val="22"/>
          <w:szCs w:val="22"/>
        </w:rPr>
        <w:t>článku</w:t>
      </w:r>
      <w:r>
        <w:rPr>
          <w:rFonts w:ascii="Calibri" w:hAnsi="Calibri" w:cs="Calibri"/>
          <w:sz w:val="22"/>
          <w:szCs w:val="22"/>
        </w:rPr>
        <w:t>.</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Default="00243D6A" w:rsidP="00243D6A">
      <w:pPr>
        <w:tabs>
          <w:tab w:val="left" w:pos="360"/>
        </w:tabs>
        <w:ind w:right="51"/>
        <w:jc w:val="both"/>
        <w:rPr>
          <w:rFonts w:ascii="Calibri" w:hAnsi="Calibri" w:cs="Calibri"/>
          <w:sz w:val="22"/>
          <w:szCs w:val="22"/>
        </w:rPr>
      </w:pP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243D6A" w:rsidRDefault="00243D6A" w:rsidP="00243D6A">
      <w:pPr>
        <w:tabs>
          <w:tab w:val="left" w:pos="360"/>
        </w:tabs>
        <w:ind w:right="51"/>
        <w:jc w:val="center"/>
        <w:rPr>
          <w:rFonts w:ascii="Calibri" w:hAnsi="Calibri" w:cs="Calibri"/>
          <w:b/>
          <w:sz w:val="22"/>
          <w:szCs w:val="22"/>
        </w:rPr>
      </w:pPr>
    </w:p>
    <w:p w:rsidR="004703DA" w:rsidRDefault="004703DA" w:rsidP="004703DA">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0B3C99" w:rsidRDefault="004703DA" w:rsidP="000B3C99">
      <w:pPr>
        <w:jc w:val="both"/>
        <w:rPr>
          <w:rFonts w:ascii="Calibri" w:hAnsi="Calibri" w:cs="Calibri"/>
          <w:sz w:val="22"/>
          <w:szCs w:val="22"/>
        </w:rPr>
      </w:pPr>
      <w:r>
        <w:rPr>
          <w:rFonts w:ascii="Calibri" w:hAnsi="Calibri" w:cs="Calibri"/>
          <w:sz w:val="22"/>
          <w:szCs w:val="22"/>
        </w:rPr>
        <w:t xml:space="preserve">Celková výše dotace, tj. </w:t>
      </w:r>
      <w:r w:rsidR="00346781" w:rsidRPr="00346781">
        <w:rPr>
          <w:rFonts w:ascii="Calibri" w:hAnsi="Calibri" w:cs="Calibri"/>
          <w:b/>
          <w:sz w:val="22"/>
          <w:szCs w:val="22"/>
        </w:rPr>
        <w:t>500.000</w:t>
      </w:r>
      <w:r w:rsidRPr="00960533">
        <w:rPr>
          <w:rFonts w:ascii="Calibri" w:hAnsi="Calibri" w:cs="Calibri"/>
          <w:b/>
          <w:sz w:val="22"/>
          <w:szCs w:val="22"/>
        </w:rPr>
        <w:t xml:space="preserve"> Kč</w:t>
      </w:r>
      <w:r>
        <w:rPr>
          <w:rFonts w:ascii="Calibri" w:hAnsi="Calibri" w:cs="Calibri"/>
          <w:sz w:val="22"/>
          <w:szCs w:val="22"/>
        </w:rPr>
        <w:t xml:space="preserve"> (slovy: </w:t>
      </w:r>
      <w:r w:rsidR="00DD727F">
        <w:rPr>
          <w:rFonts w:ascii="Calibri" w:hAnsi="Calibri" w:cs="Calibri"/>
          <w:sz w:val="22"/>
          <w:szCs w:val="22"/>
        </w:rPr>
        <w:t>Pět set tisíc</w:t>
      </w:r>
      <w:r>
        <w:rPr>
          <w:rFonts w:ascii="Calibri" w:hAnsi="Calibri" w:cs="Calibri"/>
          <w:sz w:val="22"/>
          <w:szCs w:val="22"/>
        </w:rPr>
        <w:t xml:space="preserve"> korun českých), </w:t>
      </w:r>
      <w:r w:rsidR="00556342">
        <w:rPr>
          <w:rFonts w:ascii="Calibri" w:hAnsi="Calibri" w:cs="Calibri"/>
          <w:sz w:val="22"/>
          <w:szCs w:val="22"/>
        </w:rPr>
        <w:t>bude vyplácena ode dne zveřejnění smlouvy v registru smluv</w:t>
      </w:r>
      <w:r>
        <w:rPr>
          <w:rFonts w:ascii="Calibri" w:hAnsi="Calibri" w:cs="Calibri"/>
          <w:sz w:val="22"/>
          <w:szCs w:val="22"/>
        </w:rPr>
        <w:t xml:space="preserve"> </w:t>
      </w:r>
      <w:r w:rsidR="000B3C99">
        <w:rPr>
          <w:rFonts w:ascii="Calibri" w:hAnsi="Calibri" w:cs="Calibri"/>
          <w:sz w:val="22"/>
          <w:szCs w:val="22"/>
        </w:rPr>
        <w:t>takto:</w:t>
      </w:r>
    </w:p>
    <w:p w:rsidR="000B3C99" w:rsidRDefault="000B3C99" w:rsidP="003B7B6A">
      <w:pPr>
        <w:jc w:val="both"/>
        <w:rPr>
          <w:rFonts w:ascii="Calibri" w:hAnsi="Calibri" w:cs="Calibri"/>
          <w:sz w:val="22"/>
          <w:szCs w:val="22"/>
        </w:rPr>
      </w:pPr>
    </w:p>
    <w:p w:rsidR="003B7B6A" w:rsidRPr="003B7B6A" w:rsidRDefault="003B7B6A" w:rsidP="003B7B6A">
      <w:pPr>
        <w:jc w:val="both"/>
        <w:rPr>
          <w:rFonts w:ascii="Calibri" w:hAnsi="Calibri" w:cs="Calibri"/>
          <w:sz w:val="22"/>
          <w:szCs w:val="22"/>
        </w:rPr>
      </w:pPr>
      <w:r>
        <w:rPr>
          <w:rFonts w:ascii="Calibri" w:hAnsi="Calibri" w:cs="Calibri"/>
          <w:sz w:val="22"/>
          <w:szCs w:val="22"/>
        </w:rPr>
        <w:t>Splátkový</w:t>
      </w:r>
      <w:r w:rsidRPr="003B7B6A">
        <w:rPr>
          <w:rFonts w:ascii="Calibri" w:hAnsi="Calibri" w:cs="Calibri"/>
          <w:sz w:val="22"/>
          <w:szCs w:val="22"/>
        </w:rPr>
        <w:t xml:space="preserve"> kalendář:</w:t>
      </w:r>
    </w:p>
    <w:p w:rsidR="000B3C99" w:rsidRPr="00D203B5" w:rsidRDefault="000B3C99" w:rsidP="000B3C99">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F10532">
        <w:rPr>
          <w:rFonts w:ascii="Calibri" w:hAnsi="Calibri" w:cs="Calibri"/>
          <w:sz w:val="22"/>
          <w:szCs w:val="22"/>
        </w:rPr>
        <w:t xml:space="preserve"> </w:t>
      </w:r>
      <w:r w:rsidR="00346781">
        <w:rPr>
          <w:rFonts w:ascii="Calibri" w:hAnsi="Calibri" w:cs="Calibri"/>
          <w:sz w:val="22"/>
          <w:szCs w:val="22"/>
        </w:rPr>
        <w:t>42.</w:t>
      </w:r>
      <w:r>
        <w:rPr>
          <w:rFonts w:ascii="Calibri" w:hAnsi="Calibri" w:cs="Calibri"/>
          <w:sz w:val="22"/>
          <w:szCs w:val="22"/>
        </w:rPr>
        <w:t>0</w:t>
      </w:r>
      <w:r w:rsidRPr="00D203B5">
        <w:rPr>
          <w:rFonts w:ascii="Calibri" w:hAnsi="Calibri" w:cs="Calibri"/>
          <w:sz w:val="22"/>
          <w:szCs w:val="22"/>
        </w:rPr>
        <w:t xml:space="preserve">00 Kč </w:t>
      </w:r>
      <w:r w:rsidRPr="00D203B5">
        <w:rPr>
          <w:rFonts w:ascii="Calibri" w:hAnsi="Calibri" w:cs="Calibri"/>
          <w:sz w:val="22"/>
          <w:szCs w:val="22"/>
        </w:rPr>
        <w:tab/>
      </w:r>
      <w:r w:rsidRPr="00D203B5">
        <w:rPr>
          <w:rFonts w:ascii="Calibri" w:hAnsi="Calibri" w:cs="Calibri"/>
          <w:sz w:val="22"/>
          <w:szCs w:val="22"/>
        </w:rPr>
        <w:tab/>
        <w:t xml:space="preserve">do 10 dnů od </w:t>
      </w:r>
      <w:r>
        <w:rPr>
          <w:rFonts w:ascii="Calibri" w:hAnsi="Calibri" w:cs="Calibri"/>
          <w:sz w:val="22"/>
          <w:szCs w:val="22"/>
        </w:rPr>
        <w:t>zveřejnění sml</w:t>
      </w:r>
      <w:r w:rsidR="00556342">
        <w:rPr>
          <w:rFonts w:ascii="Calibri" w:hAnsi="Calibri" w:cs="Calibri"/>
          <w:sz w:val="22"/>
          <w:szCs w:val="22"/>
        </w:rPr>
        <w:t>ouvy</w:t>
      </w:r>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r w:rsidR="00F10532">
        <w:rPr>
          <w:rFonts w:ascii="Calibri" w:hAnsi="Calibri" w:cs="Calibri"/>
          <w:sz w:val="22"/>
          <w:szCs w:val="22"/>
        </w:rPr>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10.02.2019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10.03.2019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10.04.2019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10.05.2019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10.06.2019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10.07.2019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10.08.2019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42.00</w:t>
      </w:r>
      <w:r>
        <w:rPr>
          <w:rFonts w:ascii="Calibri" w:hAnsi="Calibri" w:cs="Calibri"/>
          <w:sz w:val="22"/>
          <w:szCs w:val="22"/>
        </w:rPr>
        <w:t>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10.09.2019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42.</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 xml:space="preserve">do </w:t>
      </w:r>
      <w:proofErr w:type="gramStart"/>
      <w:r>
        <w:rPr>
          <w:rFonts w:ascii="Calibri" w:hAnsi="Calibri" w:cs="Calibri"/>
          <w:sz w:val="22"/>
          <w:szCs w:val="22"/>
        </w:rPr>
        <w:t>10.10.2019</w:t>
      </w:r>
      <w:proofErr w:type="gramEnd"/>
    </w:p>
    <w:p w:rsidR="003B7B6A" w:rsidRPr="003B7B6A" w:rsidRDefault="003B7B6A" w:rsidP="003B7B6A">
      <w:pPr>
        <w:jc w:val="both"/>
        <w:rPr>
          <w:rFonts w:ascii="Calibri" w:hAnsi="Calibri" w:cs="Calibri"/>
          <w:sz w:val="22"/>
          <w:szCs w:val="22"/>
        </w:rPr>
      </w:pPr>
      <w:r w:rsidRPr="003B7B6A">
        <w:rPr>
          <w:rFonts w:ascii="Calibri" w:hAnsi="Calibri" w:cs="Calibri"/>
          <w:sz w:val="22"/>
          <w:szCs w:val="22"/>
        </w:rPr>
        <w:t>•</w:t>
      </w:r>
      <w:r w:rsidRPr="003B7B6A">
        <w:rPr>
          <w:rFonts w:ascii="Calibri" w:hAnsi="Calibri" w:cs="Calibri"/>
          <w:sz w:val="22"/>
          <w:szCs w:val="22"/>
        </w:rPr>
        <w:tab/>
        <w:t xml:space="preserve"> </w:t>
      </w:r>
      <w:r w:rsidR="00346781">
        <w:rPr>
          <w:rFonts w:ascii="Calibri" w:hAnsi="Calibri" w:cs="Calibri"/>
          <w:sz w:val="22"/>
          <w:szCs w:val="22"/>
        </w:rPr>
        <w:t>42.</w:t>
      </w:r>
      <w:r w:rsidRPr="003B7B6A">
        <w:rPr>
          <w:rFonts w:ascii="Calibri" w:hAnsi="Calibri" w:cs="Calibri"/>
          <w:sz w:val="22"/>
          <w:szCs w:val="22"/>
        </w:rPr>
        <w:t>000 K</w:t>
      </w:r>
      <w:r w:rsidR="000B3C99">
        <w:rPr>
          <w:rFonts w:ascii="Calibri" w:hAnsi="Calibri" w:cs="Calibri"/>
          <w:sz w:val="22"/>
          <w:szCs w:val="22"/>
        </w:rPr>
        <w:t>č</w:t>
      </w:r>
      <w:r w:rsidR="000B3C99">
        <w:rPr>
          <w:rFonts w:ascii="Calibri" w:hAnsi="Calibri" w:cs="Calibri"/>
          <w:sz w:val="22"/>
          <w:szCs w:val="22"/>
        </w:rPr>
        <w:tab/>
      </w:r>
      <w:r w:rsidR="000B3C99">
        <w:rPr>
          <w:rFonts w:ascii="Calibri" w:hAnsi="Calibri" w:cs="Calibri"/>
          <w:sz w:val="22"/>
          <w:szCs w:val="22"/>
        </w:rPr>
        <w:tab/>
        <w:t xml:space="preserve">do </w:t>
      </w:r>
      <w:proofErr w:type="gramStart"/>
      <w:r w:rsidR="000B3C99">
        <w:rPr>
          <w:rFonts w:ascii="Calibri" w:hAnsi="Calibri" w:cs="Calibri"/>
          <w:sz w:val="22"/>
          <w:szCs w:val="22"/>
        </w:rPr>
        <w:t>10.11.2019</w:t>
      </w:r>
      <w:proofErr w:type="gramEnd"/>
    </w:p>
    <w:p w:rsidR="003B7B6A" w:rsidRPr="003B7B6A" w:rsidRDefault="000B3C99" w:rsidP="003B7B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sidR="00346781">
        <w:rPr>
          <w:rFonts w:ascii="Calibri" w:hAnsi="Calibri" w:cs="Calibri"/>
          <w:sz w:val="22"/>
          <w:szCs w:val="22"/>
        </w:rPr>
        <w:t>38.</w:t>
      </w:r>
      <w:r>
        <w:rPr>
          <w:rFonts w:ascii="Calibri" w:hAnsi="Calibri" w:cs="Calibri"/>
          <w:sz w:val="22"/>
          <w:szCs w:val="22"/>
        </w:rPr>
        <w:t>000 Kč</w:t>
      </w:r>
      <w:r>
        <w:rPr>
          <w:rFonts w:ascii="Calibri" w:hAnsi="Calibri" w:cs="Calibri"/>
          <w:sz w:val="22"/>
          <w:szCs w:val="22"/>
        </w:rPr>
        <w:tab/>
      </w:r>
      <w:r>
        <w:rPr>
          <w:rFonts w:ascii="Calibri" w:hAnsi="Calibri" w:cs="Calibri"/>
          <w:sz w:val="22"/>
          <w:szCs w:val="22"/>
        </w:rPr>
        <w:tab/>
        <w:t>do 10.12.2019</w:t>
      </w:r>
    </w:p>
    <w:p w:rsidR="003B7B6A" w:rsidRDefault="003B7B6A" w:rsidP="00243D6A">
      <w:pPr>
        <w:jc w:val="both"/>
        <w:rPr>
          <w:rFonts w:ascii="Calibri" w:hAnsi="Calibri" w:cs="Calibri"/>
          <w:sz w:val="22"/>
          <w:szCs w:val="22"/>
        </w:rPr>
      </w:pPr>
    </w:p>
    <w:p w:rsidR="00243D6A" w:rsidRDefault="00243D6A" w:rsidP="00243D6A">
      <w:pPr>
        <w:jc w:val="both"/>
        <w:rPr>
          <w:rFonts w:ascii="Calibri" w:hAnsi="Calibri" w:cs="Calibri"/>
          <w:b/>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0B3C99" w:rsidRPr="00C326FF" w:rsidRDefault="000B3C99" w:rsidP="000B3C99">
      <w:pPr>
        <w:jc w:val="center"/>
        <w:rPr>
          <w:rFonts w:ascii="Calibri" w:hAnsi="Calibri" w:cs="Calibri"/>
          <w:b/>
          <w:bCs/>
          <w:sz w:val="22"/>
          <w:szCs w:val="22"/>
        </w:rPr>
      </w:pPr>
      <w:r w:rsidRPr="00C326FF">
        <w:rPr>
          <w:rFonts w:ascii="Calibri" w:hAnsi="Calibri" w:cs="Calibri"/>
          <w:b/>
          <w:bCs/>
          <w:sz w:val="22"/>
          <w:szCs w:val="22"/>
        </w:rPr>
        <w:t>V.</w:t>
      </w:r>
    </w:p>
    <w:p w:rsidR="000B3C99" w:rsidRDefault="000B3C99" w:rsidP="000B3C99">
      <w:pPr>
        <w:jc w:val="center"/>
        <w:rPr>
          <w:rFonts w:ascii="Calibri" w:hAnsi="Calibri" w:cs="Calibri"/>
          <w:b/>
          <w:bCs/>
          <w:sz w:val="22"/>
          <w:szCs w:val="22"/>
        </w:rPr>
      </w:pPr>
      <w:r w:rsidRPr="00C326FF">
        <w:rPr>
          <w:rFonts w:ascii="Calibri" w:hAnsi="Calibri" w:cs="Calibri"/>
          <w:b/>
          <w:bCs/>
          <w:sz w:val="22"/>
          <w:szCs w:val="22"/>
        </w:rPr>
        <w:t>Ustanovení o DPH</w:t>
      </w:r>
    </w:p>
    <w:p w:rsidR="000B3C99" w:rsidRPr="00C326FF" w:rsidRDefault="000B3C99" w:rsidP="000B3C99">
      <w:pPr>
        <w:jc w:val="center"/>
        <w:rPr>
          <w:rFonts w:ascii="Calibri" w:hAnsi="Calibri" w:cs="Calibri"/>
          <w:b/>
          <w:bCs/>
          <w:sz w:val="22"/>
          <w:szCs w:val="22"/>
        </w:rPr>
      </w:pPr>
    </w:p>
    <w:p w:rsidR="000B3C99" w:rsidRPr="00D64C29" w:rsidRDefault="000B3C99" w:rsidP="000B3C99">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w:t>
      </w:r>
      <w:r w:rsidRPr="00D64C29">
        <w:rPr>
          <w:rFonts w:ascii="Calibri" w:hAnsi="Calibri" w:cs="Calibri"/>
          <w:bCs/>
          <w:sz w:val="22"/>
          <w:szCs w:val="22"/>
        </w:rPr>
        <w:lastRenderedPageBreak/>
        <w:t xml:space="preserve">DPH a ze strany poskytovatele na základě této změny v přidělené dotaci bude vyhotoven dodatek ke smlouvě, ve kterém bude snížen nárok na dotaci o výši DPH, jež si příjemce bude uplatňovat u místně příslušného finančního úřadu.  </w:t>
      </w:r>
    </w:p>
    <w:p w:rsidR="000B3C99" w:rsidRPr="00C326FF" w:rsidRDefault="000B3C99" w:rsidP="000B3C99">
      <w:pPr>
        <w:jc w:val="both"/>
        <w:rPr>
          <w:rFonts w:ascii="Calibri" w:hAnsi="Calibri" w:cs="Calibri"/>
          <w:b/>
          <w:bCs/>
          <w:sz w:val="22"/>
          <w:szCs w:val="22"/>
        </w:rPr>
      </w:pPr>
    </w:p>
    <w:p w:rsidR="000B3C99" w:rsidRPr="00C326FF" w:rsidRDefault="000B3C99" w:rsidP="000B3C99">
      <w:pPr>
        <w:jc w:val="center"/>
        <w:rPr>
          <w:rFonts w:ascii="Calibri" w:hAnsi="Calibri" w:cs="Calibri"/>
          <w:b/>
          <w:bCs/>
          <w:sz w:val="22"/>
          <w:szCs w:val="22"/>
        </w:rPr>
      </w:pPr>
      <w:r w:rsidRPr="00C326FF">
        <w:rPr>
          <w:rFonts w:ascii="Calibri" w:hAnsi="Calibri" w:cs="Calibri"/>
          <w:b/>
          <w:bCs/>
          <w:sz w:val="22"/>
          <w:szCs w:val="22"/>
        </w:rPr>
        <w:t>VI.</w:t>
      </w:r>
    </w:p>
    <w:p w:rsidR="000B3C99" w:rsidRDefault="000B3C99" w:rsidP="000B3C99">
      <w:pPr>
        <w:jc w:val="center"/>
        <w:rPr>
          <w:rFonts w:ascii="Calibri" w:hAnsi="Calibri" w:cs="Calibri"/>
          <w:b/>
          <w:bCs/>
          <w:sz w:val="22"/>
          <w:szCs w:val="22"/>
        </w:rPr>
      </w:pPr>
      <w:r w:rsidRPr="00C326FF">
        <w:rPr>
          <w:rFonts w:ascii="Calibri" w:hAnsi="Calibri" w:cs="Calibri"/>
          <w:b/>
          <w:bCs/>
          <w:sz w:val="22"/>
          <w:szCs w:val="22"/>
        </w:rPr>
        <w:t xml:space="preserve">Uznatelné </w:t>
      </w:r>
      <w:r>
        <w:rPr>
          <w:rFonts w:ascii="Calibri" w:hAnsi="Calibri" w:cs="Calibri"/>
          <w:b/>
          <w:bCs/>
          <w:sz w:val="22"/>
          <w:szCs w:val="22"/>
        </w:rPr>
        <w:t>náklady</w:t>
      </w:r>
    </w:p>
    <w:p w:rsidR="000B3C99" w:rsidRPr="00C326FF" w:rsidRDefault="000B3C99" w:rsidP="000B3C99">
      <w:pPr>
        <w:jc w:val="center"/>
        <w:rPr>
          <w:rFonts w:ascii="Calibri" w:hAnsi="Calibri" w:cs="Calibri"/>
          <w:b/>
          <w:bCs/>
          <w:sz w:val="22"/>
          <w:szCs w:val="22"/>
        </w:rPr>
      </w:pPr>
    </w:p>
    <w:p w:rsidR="000B3C99" w:rsidRDefault="000B3C99" w:rsidP="000B3C99">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náklady podle této smlouvy je: </w:t>
      </w:r>
    </w:p>
    <w:p w:rsidR="003B7B6A" w:rsidRPr="003B7B6A" w:rsidRDefault="003B7B6A" w:rsidP="003B7B6A">
      <w:pPr>
        <w:jc w:val="both"/>
        <w:textAlignment w:val="auto"/>
        <w:rPr>
          <w:rFonts w:ascii="Calibri" w:hAnsi="Calibri" w:cs="Calibri"/>
          <w:b/>
          <w:bCs/>
          <w:sz w:val="22"/>
          <w:szCs w:val="22"/>
        </w:rPr>
      </w:pPr>
      <w:r>
        <w:rPr>
          <w:rFonts w:ascii="Calibri" w:hAnsi="Calibri" w:cs="Calibri"/>
          <w:b/>
          <w:bCs/>
          <w:sz w:val="22"/>
          <w:szCs w:val="22"/>
        </w:rPr>
        <w:t>P</w:t>
      </w:r>
      <w:r w:rsidRPr="003B7B6A">
        <w:rPr>
          <w:rFonts w:ascii="Calibri" w:hAnsi="Calibri" w:cs="Calibri"/>
          <w:b/>
          <w:bCs/>
          <w:sz w:val="22"/>
          <w:szCs w:val="22"/>
        </w:rPr>
        <w:t>řeshraniční spolupráce, kulturní a vzdělávací činnost pro město Litvínov:</w:t>
      </w:r>
    </w:p>
    <w:p w:rsidR="003B7B6A" w:rsidRPr="003B7B6A" w:rsidRDefault="003B7B6A" w:rsidP="003B7B6A">
      <w:pPr>
        <w:pStyle w:val="Odstavecseseznamem"/>
        <w:numPr>
          <w:ilvl w:val="0"/>
          <w:numId w:val="3"/>
        </w:numPr>
        <w:jc w:val="both"/>
        <w:textAlignment w:val="auto"/>
        <w:rPr>
          <w:rFonts w:ascii="Calibri" w:hAnsi="Calibri" w:cs="Calibri"/>
          <w:bCs/>
          <w:sz w:val="22"/>
          <w:szCs w:val="22"/>
        </w:rPr>
      </w:pPr>
      <w:r w:rsidRPr="003B7B6A">
        <w:rPr>
          <w:rFonts w:ascii="Calibri" w:hAnsi="Calibri" w:cs="Calibri"/>
          <w:bCs/>
          <w:sz w:val="22"/>
          <w:szCs w:val="22"/>
        </w:rPr>
        <w:t>provozní náklady (nájemné, energie, voda, telefon, internet, finanční služby, základní provozní prostředky, služby externí účetní a úklid, údržba a opravy výpočetní techniky</w:t>
      </w:r>
    </w:p>
    <w:p w:rsidR="00243D6A" w:rsidRPr="003B7B6A" w:rsidRDefault="003B7B6A" w:rsidP="00243D6A">
      <w:pPr>
        <w:pStyle w:val="Odstavecseseznamem"/>
        <w:numPr>
          <w:ilvl w:val="0"/>
          <w:numId w:val="3"/>
        </w:numPr>
        <w:jc w:val="both"/>
        <w:textAlignment w:val="auto"/>
        <w:rPr>
          <w:rFonts w:ascii="Calibri" w:hAnsi="Calibri" w:cs="Calibri"/>
          <w:bCs/>
          <w:sz w:val="22"/>
          <w:szCs w:val="22"/>
        </w:rPr>
      </w:pPr>
      <w:r w:rsidRPr="003B7B6A">
        <w:rPr>
          <w:rFonts w:ascii="Calibri" w:hAnsi="Calibri" w:cs="Calibri"/>
          <w:bCs/>
          <w:sz w:val="22"/>
          <w:szCs w:val="22"/>
        </w:rPr>
        <w:t>mzdové náklady pro zaměstnance – ředitelka, asistentka</w:t>
      </w:r>
      <w:r w:rsidRPr="003B7B6A">
        <w:rPr>
          <w:rFonts w:ascii="Calibri" w:hAnsi="Calibri" w:cs="Calibri"/>
          <w:b/>
          <w:bCs/>
          <w:sz w:val="22"/>
          <w:szCs w:val="22"/>
        </w:rPr>
        <w:t xml:space="preserve"> </w:t>
      </w:r>
    </w:p>
    <w:p w:rsidR="003B7B6A" w:rsidRPr="003B7B6A" w:rsidRDefault="003B7B6A" w:rsidP="003B7B6A">
      <w:pPr>
        <w:pStyle w:val="Odstavecseseznamem"/>
        <w:ind w:left="1428"/>
        <w:jc w:val="both"/>
        <w:textAlignment w:val="auto"/>
        <w:rPr>
          <w:rFonts w:ascii="Calibri" w:hAnsi="Calibri" w:cs="Calibri"/>
          <w:bCs/>
          <w:sz w:val="22"/>
          <w:szCs w:val="22"/>
        </w:rPr>
      </w:pPr>
    </w:p>
    <w:p w:rsidR="004703DA" w:rsidRPr="00735984" w:rsidRDefault="004703DA" w:rsidP="004703DA">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náklady podle této smlouvy jsou všechny ostatní náklady, které by nesouvisely s projekty v článku III odstavec 1 této smlouvy, případně náklady, které by změnily charakter projektu na investici.</w:t>
      </w:r>
    </w:p>
    <w:p w:rsidR="004703DA" w:rsidRDefault="004703DA" w:rsidP="004703DA">
      <w:pPr>
        <w:jc w:val="both"/>
        <w:rPr>
          <w:rFonts w:ascii="Calibri" w:hAnsi="Calibri" w:cs="Calibri"/>
          <w:bCs/>
          <w:sz w:val="22"/>
          <w:szCs w:val="22"/>
        </w:rPr>
      </w:pPr>
    </w:p>
    <w:p w:rsidR="004703DA" w:rsidRDefault="004703DA" w:rsidP="004703D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4703DA" w:rsidRPr="00CC620E" w:rsidRDefault="004703DA" w:rsidP="004703DA">
      <w:pPr>
        <w:jc w:val="both"/>
        <w:rPr>
          <w:rFonts w:asciiTheme="minorHAnsi" w:hAnsiTheme="minorHAnsi" w:cstheme="minorHAnsi"/>
          <w:sz w:val="22"/>
          <w:szCs w:val="22"/>
        </w:rPr>
      </w:pPr>
    </w:p>
    <w:p w:rsidR="004703DA" w:rsidRPr="00735984" w:rsidRDefault="004703DA" w:rsidP="004703DA">
      <w:pPr>
        <w:jc w:val="both"/>
        <w:rPr>
          <w:rFonts w:ascii="Calibri" w:hAnsi="Calibri" w:cs="Calibri"/>
          <w:bCs/>
          <w:sz w:val="22"/>
          <w:szCs w:val="22"/>
        </w:rPr>
      </w:pPr>
      <w:r>
        <w:rPr>
          <w:rFonts w:ascii="Calibri" w:hAnsi="Calibri" w:cs="Calibri"/>
          <w:bCs/>
          <w:sz w:val="22"/>
          <w:szCs w:val="22"/>
        </w:rPr>
        <w:t>4. Příjemce je povinen tuto dotaci použít jako dotaci neinvestiční. Porušení této povinnosti bude poskytovatelem posuzováno jako porušení rozpočtové kázně.</w:t>
      </w:r>
    </w:p>
    <w:p w:rsidR="004703DA" w:rsidRPr="00C326FF" w:rsidRDefault="004703DA" w:rsidP="004703DA">
      <w:pPr>
        <w:rPr>
          <w:rFonts w:ascii="Calibri" w:hAnsi="Calibri" w:cs="Calibri"/>
          <w:b/>
          <w:bCs/>
          <w:sz w:val="22"/>
          <w:szCs w:val="22"/>
        </w:rPr>
      </w:pPr>
    </w:p>
    <w:p w:rsidR="004703DA" w:rsidRDefault="004703DA" w:rsidP="004703DA">
      <w:pPr>
        <w:jc w:val="center"/>
        <w:rPr>
          <w:rFonts w:ascii="Calibri" w:hAnsi="Calibri" w:cs="Calibri"/>
          <w:b/>
          <w:bCs/>
          <w:sz w:val="22"/>
          <w:szCs w:val="22"/>
        </w:rPr>
      </w:pP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VII.</w:t>
      </w: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4703DA" w:rsidRPr="00C326FF" w:rsidRDefault="004703DA" w:rsidP="004703DA">
      <w:pPr>
        <w:rPr>
          <w:rFonts w:ascii="Calibri" w:hAnsi="Calibri" w:cs="Calibri"/>
          <w:b/>
          <w:bCs/>
          <w:sz w:val="22"/>
          <w:szCs w:val="22"/>
        </w:rPr>
      </w:pPr>
    </w:p>
    <w:p w:rsidR="004703DA" w:rsidRPr="00DB0988" w:rsidRDefault="004703DA" w:rsidP="004703D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31. 3. 2020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4703DA" w:rsidRPr="00DB0988" w:rsidRDefault="004703DA" w:rsidP="004703DA">
      <w:pPr>
        <w:rPr>
          <w:rFonts w:ascii="Calibri" w:hAnsi="Calibri" w:cs="Calibri"/>
          <w:bCs/>
          <w:sz w:val="22"/>
          <w:szCs w:val="22"/>
        </w:rPr>
      </w:pPr>
    </w:p>
    <w:p w:rsidR="004703DA" w:rsidRPr="00DB0988" w:rsidRDefault="004703DA" w:rsidP="004703D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včetně výpisů z bankovního účtu, popřípadě výdajových dokladů při platbě v hotovosti, účtovou osnovu.</w:t>
      </w:r>
    </w:p>
    <w:p w:rsidR="004703DA" w:rsidRPr="00DB0988" w:rsidRDefault="004703DA" w:rsidP="004703D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4703DA" w:rsidRPr="00DB0988" w:rsidRDefault="004703DA" w:rsidP="004703DA">
      <w:pPr>
        <w:rPr>
          <w:rFonts w:ascii="Calibri" w:hAnsi="Calibri" w:cs="Calibri"/>
          <w:bCs/>
          <w:sz w:val="22"/>
          <w:szCs w:val="22"/>
        </w:rPr>
      </w:pPr>
    </w:p>
    <w:p w:rsidR="004703DA" w:rsidRPr="00DB0988" w:rsidRDefault="004703DA" w:rsidP="004703DA">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Pr>
          <w:rFonts w:ascii="Calibri" w:hAnsi="Calibri" w:cs="Calibri"/>
          <w:bCs/>
          <w:sz w:val="22"/>
          <w:szCs w:val="22"/>
        </w:rPr>
        <w:t>9916/18</w:t>
      </w:r>
      <w:r w:rsidRPr="00DB0988">
        <w:rPr>
          <w:rFonts w:ascii="Calibri" w:hAnsi="Calibri" w:cs="Calibri"/>
          <w:bCs/>
          <w:sz w:val="22"/>
          <w:szCs w:val="22"/>
        </w:rPr>
        <w:t>). Splnění této podmínky doloží příjemce dotace při vyúčtování kopií účetního dokladu.</w:t>
      </w:r>
    </w:p>
    <w:p w:rsidR="004703DA" w:rsidRPr="00DB0988" w:rsidRDefault="004703DA" w:rsidP="004703DA">
      <w:pPr>
        <w:rPr>
          <w:rFonts w:ascii="Calibri" w:hAnsi="Calibri" w:cs="Calibri"/>
          <w:bCs/>
          <w:sz w:val="22"/>
          <w:szCs w:val="22"/>
        </w:rPr>
      </w:pPr>
    </w:p>
    <w:p w:rsidR="004703DA" w:rsidRDefault="004703DA" w:rsidP="004703D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4703DA" w:rsidRDefault="004703DA" w:rsidP="004703DA">
      <w:pPr>
        <w:jc w:val="both"/>
        <w:rPr>
          <w:rFonts w:ascii="Calibri" w:hAnsi="Calibri" w:cs="Calibri"/>
          <w:bCs/>
          <w:sz w:val="22"/>
          <w:szCs w:val="22"/>
        </w:rPr>
      </w:pPr>
    </w:p>
    <w:p w:rsidR="004703DA" w:rsidRDefault="004703DA" w:rsidP="004703DA">
      <w:pPr>
        <w:jc w:val="both"/>
        <w:rPr>
          <w:rFonts w:ascii="Calibri" w:hAnsi="Calibri" w:cs="Calibri"/>
          <w:bCs/>
          <w:sz w:val="22"/>
          <w:szCs w:val="22"/>
        </w:rPr>
      </w:pPr>
      <w:r>
        <w:rPr>
          <w:rFonts w:ascii="Calibri" w:hAnsi="Calibri" w:cs="Calibri"/>
          <w:bCs/>
          <w:sz w:val="22"/>
          <w:szCs w:val="22"/>
        </w:rPr>
        <w:lastRenderedPageBreak/>
        <w:t>5. Příjemce odpovídá za hospodárné použití poskytnutých prostředků v souladu s účelem dle článku VI. odstavce 1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4703DA" w:rsidRDefault="004703DA" w:rsidP="004703DA">
      <w:pPr>
        <w:jc w:val="both"/>
        <w:rPr>
          <w:rFonts w:ascii="Calibri" w:hAnsi="Calibri" w:cs="Calibri"/>
          <w:bCs/>
          <w:sz w:val="22"/>
          <w:szCs w:val="22"/>
        </w:rPr>
      </w:pPr>
    </w:p>
    <w:p w:rsidR="004703DA" w:rsidRPr="00DB0988" w:rsidRDefault="004703DA" w:rsidP="004703D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2019.</w:t>
      </w:r>
    </w:p>
    <w:p w:rsidR="004703DA" w:rsidRDefault="004703DA" w:rsidP="004703DA">
      <w:pPr>
        <w:rPr>
          <w:rFonts w:ascii="Calibri" w:hAnsi="Calibri" w:cs="Calibri"/>
          <w:b/>
          <w:bCs/>
          <w:sz w:val="22"/>
          <w:szCs w:val="22"/>
        </w:rPr>
      </w:pPr>
    </w:p>
    <w:p w:rsidR="004703DA" w:rsidRDefault="004703DA" w:rsidP="004703DA">
      <w:pPr>
        <w:rPr>
          <w:rFonts w:ascii="Calibri" w:hAnsi="Calibri" w:cs="Calibri"/>
          <w:b/>
          <w:bCs/>
          <w:sz w:val="22"/>
          <w:szCs w:val="22"/>
        </w:rPr>
      </w:pP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VIII.</w:t>
      </w:r>
    </w:p>
    <w:p w:rsidR="004703DA" w:rsidRDefault="004703DA" w:rsidP="004703D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4703DA" w:rsidRDefault="004703DA" w:rsidP="004703DA">
      <w:pPr>
        <w:jc w:val="center"/>
        <w:rPr>
          <w:rFonts w:ascii="Calibri" w:hAnsi="Calibri" w:cs="Calibri"/>
          <w:b/>
          <w:bCs/>
          <w:sz w:val="22"/>
          <w:szCs w:val="22"/>
        </w:rPr>
      </w:pPr>
    </w:p>
    <w:p w:rsidR="004703DA" w:rsidRPr="00181747" w:rsidRDefault="004703DA" w:rsidP="004703D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4703DA" w:rsidRPr="00181747" w:rsidRDefault="004703DA" w:rsidP="004703DA">
      <w:pPr>
        <w:jc w:val="both"/>
        <w:rPr>
          <w:rFonts w:ascii="Calibri" w:hAnsi="Calibri" w:cs="Calibri"/>
          <w:bCs/>
          <w:sz w:val="22"/>
          <w:szCs w:val="22"/>
        </w:rPr>
      </w:pPr>
    </w:p>
    <w:p w:rsidR="004703DA" w:rsidRPr="00181747" w:rsidRDefault="004703DA" w:rsidP="004703D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4703DA" w:rsidRPr="00181747" w:rsidRDefault="004703DA" w:rsidP="004703DA">
      <w:pPr>
        <w:jc w:val="both"/>
        <w:rPr>
          <w:rFonts w:ascii="Calibri" w:hAnsi="Calibri" w:cs="Calibri"/>
          <w:bCs/>
          <w:sz w:val="22"/>
          <w:szCs w:val="22"/>
        </w:rPr>
      </w:pPr>
    </w:p>
    <w:p w:rsidR="004703DA" w:rsidRPr="00181747" w:rsidRDefault="004703DA" w:rsidP="004703D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4703DA" w:rsidRPr="00181747" w:rsidRDefault="004703DA" w:rsidP="004703DA">
      <w:pPr>
        <w:jc w:val="both"/>
        <w:rPr>
          <w:rFonts w:ascii="Calibri" w:hAnsi="Calibri" w:cs="Calibri"/>
          <w:bCs/>
          <w:sz w:val="22"/>
          <w:szCs w:val="22"/>
        </w:rPr>
      </w:pPr>
    </w:p>
    <w:p w:rsidR="004703DA" w:rsidRPr="00181747" w:rsidRDefault="004703DA" w:rsidP="004703D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4703DA" w:rsidRPr="00181747" w:rsidRDefault="004703DA" w:rsidP="004703DA">
      <w:pPr>
        <w:jc w:val="both"/>
        <w:rPr>
          <w:rFonts w:ascii="Calibri" w:hAnsi="Calibri" w:cs="Calibri"/>
          <w:bCs/>
          <w:sz w:val="22"/>
          <w:szCs w:val="22"/>
        </w:rPr>
      </w:pPr>
    </w:p>
    <w:p w:rsidR="004703DA" w:rsidRPr="00181747" w:rsidRDefault="004703DA" w:rsidP="004703D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w:t>
      </w:r>
      <w:proofErr w:type="gramStart"/>
      <w:r>
        <w:rPr>
          <w:rFonts w:ascii="Calibri" w:hAnsi="Calibri" w:cs="Calibri"/>
          <w:bCs/>
          <w:sz w:val="22"/>
          <w:szCs w:val="22"/>
        </w:rPr>
        <w:t xml:space="preserve">článku  </w:t>
      </w:r>
      <w:r w:rsidRPr="00181747">
        <w:rPr>
          <w:rFonts w:ascii="Calibri" w:hAnsi="Calibri" w:cs="Calibri"/>
          <w:bCs/>
          <w:sz w:val="22"/>
          <w:szCs w:val="22"/>
        </w:rPr>
        <w:t xml:space="preserve"> (doložení</w:t>
      </w:r>
      <w:proofErr w:type="gramEnd"/>
      <w:r w:rsidRPr="00181747">
        <w:rPr>
          <w:rFonts w:ascii="Calibri" w:hAnsi="Calibri" w:cs="Calibri"/>
          <w:bCs/>
          <w:sz w:val="22"/>
          <w:szCs w:val="22"/>
        </w:rPr>
        <w:t xml:space="preserve">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4703DA" w:rsidRPr="00181747" w:rsidRDefault="004703DA" w:rsidP="004703DA">
      <w:pPr>
        <w:jc w:val="both"/>
        <w:rPr>
          <w:rFonts w:ascii="Calibri" w:hAnsi="Calibri" w:cs="Calibri"/>
          <w:bCs/>
          <w:sz w:val="22"/>
          <w:szCs w:val="22"/>
        </w:rPr>
      </w:pPr>
    </w:p>
    <w:p w:rsidR="004703DA" w:rsidRPr="00181747" w:rsidRDefault="004703DA" w:rsidP="004703D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4703DA" w:rsidRPr="00181747" w:rsidRDefault="004703DA" w:rsidP="004703D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DD727F" w:rsidRPr="00C326FF" w:rsidRDefault="00DD727F" w:rsidP="004703DA">
      <w:pPr>
        <w:rPr>
          <w:rFonts w:ascii="Calibri" w:hAnsi="Calibri" w:cs="Calibri"/>
          <w:b/>
          <w:bCs/>
          <w:sz w:val="22"/>
          <w:szCs w:val="22"/>
        </w:rPr>
      </w:pP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IX.</w:t>
      </w:r>
    </w:p>
    <w:p w:rsidR="004703DA" w:rsidRDefault="004703DA" w:rsidP="004703D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4703DA" w:rsidRPr="00C326FF" w:rsidRDefault="004703DA" w:rsidP="004703DA">
      <w:pPr>
        <w:jc w:val="center"/>
        <w:rPr>
          <w:rFonts w:ascii="Calibri" w:hAnsi="Calibri" w:cs="Calibri"/>
          <w:b/>
          <w:bCs/>
          <w:sz w:val="22"/>
          <w:szCs w:val="22"/>
        </w:rPr>
      </w:pPr>
    </w:p>
    <w:p w:rsidR="004703DA" w:rsidRPr="006335FD" w:rsidRDefault="004703DA" w:rsidP="004703D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4703DA" w:rsidRPr="006335FD" w:rsidRDefault="004703DA" w:rsidP="004703DA">
      <w:pPr>
        <w:jc w:val="both"/>
        <w:rPr>
          <w:rFonts w:ascii="Calibri" w:hAnsi="Calibri" w:cs="Calibri"/>
          <w:bCs/>
          <w:sz w:val="22"/>
          <w:szCs w:val="22"/>
        </w:rPr>
      </w:pPr>
      <w:r w:rsidRPr="006335FD">
        <w:rPr>
          <w:rFonts w:ascii="Calibri" w:hAnsi="Calibri" w:cs="Calibri"/>
          <w:bCs/>
          <w:sz w:val="22"/>
          <w:szCs w:val="22"/>
        </w:rPr>
        <w:lastRenderedPageBreak/>
        <w:t>že údaje, které mu sdělil příjemce, a které měly vliv na rozhodnutí o poskytnutí dotace, jsou nepravdivé.</w:t>
      </w:r>
    </w:p>
    <w:p w:rsidR="004703DA" w:rsidRPr="006335FD" w:rsidRDefault="004703DA" w:rsidP="004703DA">
      <w:pPr>
        <w:jc w:val="both"/>
        <w:rPr>
          <w:rFonts w:ascii="Calibri" w:hAnsi="Calibri" w:cs="Calibri"/>
          <w:bCs/>
          <w:sz w:val="22"/>
          <w:szCs w:val="22"/>
        </w:rPr>
      </w:pPr>
    </w:p>
    <w:p w:rsidR="004703DA" w:rsidRPr="006335FD" w:rsidRDefault="004703DA" w:rsidP="004703D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4703DA" w:rsidRPr="006335FD" w:rsidRDefault="004703DA" w:rsidP="004703DA">
      <w:pPr>
        <w:jc w:val="both"/>
        <w:rPr>
          <w:rFonts w:ascii="Calibri" w:hAnsi="Calibri" w:cs="Calibri"/>
          <w:bCs/>
          <w:sz w:val="22"/>
          <w:szCs w:val="22"/>
        </w:rPr>
      </w:pPr>
    </w:p>
    <w:p w:rsidR="004703DA" w:rsidRPr="006335FD" w:rsidRDefault="004703DA" w:rsidP="004703D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4703DA" w:rsidRPr="006335FD" w:rsidRDefault="004703DA" w:rsidP="004703DA">
      <w:pPr>
        <w:jc w:val="both"/>
        <w:rPr>
          <w:rFonts w:ascii="Calibri" w:hAnsi="Calibri" w:cs="Calibri"/>
          <w:bCs/>
          <w:sz w:val="22"/>
          <w:szCs w:val="22"/>
        </w:rPr>
      </w:pPr>
    </w:p>
    <w:p w:rsidR="004703DA" w:rsidRPr="006335FD" w:rsidRDefault="004703DA" w:rsidP="004703D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4703DA" w:rsidRPr="006335FD" w:rsidRDefault="004703DA" w:rsidP="004703DA">
      <w:pPr>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rsidR="004703DA"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4703DA" w:rsidRPr="00557E4C" w:rsidRDefault="004703DA" w:rsidP="004703DA">
      <w:pPr>
        <w:rPr>
          <w:rFonts w:ascii="Calibri" w:hAnsi="Calibri" w:cs="Calibri"/>
          <w:b/>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4703DA" w:rsidRPr="00557E4C" w:rsidRDefault="004703DA" w:rsidP="004703DA">
      <w:pPr>
        <w:jc w:val="both"/>
        <w:rPr>
          <w:rFonts w:ascii="Calibri" w:hAnsi="Calibri" w:cs="Calibri"/>
          <w:bCs/>
          <w:sz w:val="22"/>
          <w:szCs w:val="22"/>
        </w:rPr>
      </w:pPr>
    </w:p>
    <w:p w:rsidR="004703DA" w:rsidRPr="00557E4C" w:rsidRDefault="004703DA" w:rsidP="004703D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4703DA" w:rsidRPr="00557E4C" w:rsidRDefault="004703DA" w:rsidP="004703DA">
      <w:pPr>
        <w:rPr>
          <w:rFonts w:ascii="Calibri" w:hAnsi="Calibri" w:cs="Calibri"/>
          <w:b/>
          <w:bCs/>
          <w:sz w:val="22"/>
          <w:szCs w:val="22"/>
        </w:rPr>
      </w:pPr>
    </w:p>
    <w:p w:rsidR="004703DA" w:rsidRPr="0014298D" w:rsidRDefault="004703DA" w:rsidP="004703D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w:t>
      </w:r>
      <w:r w:rsidRPr="0014298D">
        <w:rPr>
          <w:rFonts w:ascii="Calibri" w:hAnsi="Calibri" w:cs="Calibri"/>
          <w:bCs/>
          <w:sz w:val="22"/>
          <w:szCs w:val="22"/>
        </w:rPr>
        <w:lastRenderedPageBreak/>
        <w:t xml:space="preserve">pro zadávání veřejných zakázek se uloží odvod ve výši nejzávažnějšího porušení těchto pravidel u stejné zakázky. Při neoprávněném použití peněžních prostředků dle </w:t>
      </w:r>
      <w:proofErr w:type="spellStart"/>
      <w:r>
        <w:rPr>
          <w:rFonts w:ascii="Calibri" w:hAnsi="Calibri" w:cs="Calibri"/>
          <w:bCs/>
          <w:sz w:val="22"/>
          <w:szCs w:val="22"/>
        </w:rPr>
        <w:t>ust</w:t>
      </w:r>
      <w:proofErr w:type="spellEnd"/>
      <w:r>
        <w:rPr>
          <w:rFonts w:ascii="Calibri" w:hAnsi="Calibri" w:cs="Calibri"/>
          <w:bCs/>
          <w:sz w:val="22"/>
          <w:szCs w:val="22"/>
        </w:rPr>
        <w:t xml:space="preserve">.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4</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4703DA" w:rsidRPr="0014298D" w:rsidRDefault="004703DA" w:rsidP="004703DA">
      <w:pPr>
        <w:jc w:val="both"/>
        <w:rPr>
          <w:rFonts w:ascii="Calibri" w:hAnsi="Calibri" w:cs="Calibri"/>
          <w:bCs/>
          <w:sz w:val="22"/>
          <w:szCs w:val="22"/>
        </w:rPr>
      </w:pPr>
    </w:p>
    <w:p w:rsidR="004703DA" w:rsidRPr="0014298D" w:rsidRDefault="004703DA" w:rsidP="004703DA">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4703DA" w:rsidRPr="00C326FF" w:rsidRDefault="004703DA" w:rsidP="004703DA">
      <w:pPr>
        <w:rPr>
          <w:rFonts w:ascii="Calibri" w:hAnsi="Calibri" w:cs="Calibri"/>
          <w:b/>
          <w:bCs/>
          <w:sz w:val="22"/>
          <w:szCs w:val="22"/>
        </w:rPr>
      </w:pP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X.</w:t>
      </w:r>
    </w:p>
    <w:p w:rsidR="004703DA" w:rsidRPr="00C326FF" w:rsidRDefault="004703DA" w:rsidP="004703DA">
      <w:pPr>
        <w:jc w:val="center"/>
        <w:rPr>
          <w:rFonts w:ascii="Calibri" w:hAnsi="Calibri" w:cs="Calibri"/>
          <w:b/>
          <w:bCs/>
          <w:sz w:val="22"/>
          <w:szCs w:val="22"/>
        </w:rPr>
      </w:pPr>
      <w:r w:rsidRPr="00C326FF">
        <w:rPr>
          <w:rFonts w:ascii="Calibri" w:hAnsi="Calibri" w:cs="Calibri"/>
          <w:b/>
          <w:bCs/>
          <w:sz w:val="22"/>
          <w:szCs w:val="22"/>
        </w:rPr>
        <w:t>Ostatní ujednání</w:t>
      </w:r>
    </w:p>
    <w:p w:rsidR="004703DA" w:rsidRPr="00C326FF" w:rsidRDefault="004703DA" w:rsidP="004703DA">
      <w:pPr>
        <w:rPr>
          <w:rFonts w:ascii="Calibri" w:hAnsi="Calibri" w:cs="Calibri"/>
          <w:b/>
          <w:bCs/>
          <w:sz w:val="22"/>
          <w:szCs w:val="22"/>
        </w:rPr>
      </w:pPr>
    </w:p>
    <w:p w:rsidR="004703DA" w:rsidRDefault="004703DA" w:rsidP="004703DA">
      <w:pPr>
        <w:jc w:val="both"/>
        <w:rPr>
          <w:rFonts w:ascii="Calibri" w:hAnsi="Calibri" w:cs="Calibri"/>
          <w:bCs/>
          <w:sz w:val="22"/>
          <w:szCs w:val="22"/>
        </w:rPr>
      </w:pPr>
      <w:r>
        <w:rPr>
          <w:rFonts w:ascii="Calibri" w:hAnsi="Calibri" w:cs="Calibri"/>
          <w:bCs/>
          <w:sz w:val="22"/>
          <w:szCs w:val="22"/>
        </w:rPr>
        <w:t xml:space="preserve">1. </w:t>
      </w:r>
      <w:r w:rsidRPr="0014298D">
        <w:rPr>
          <w:rFonts w:ascii="Calibri" w:hAnsi="Calibri" w:cs="Calibri"/>
          <w:bCs/>
          <w:sz w:val="22"/>
          <w:szCs w:val="22"/>
        </w:rPr>
        <w:t xml:space="preserve">Finanční podpora poskytovaná na základě této smlouvy naplňuje kritéria veřejné podpory. </w:t>
      </w:r>
    </w:p>
    <w:p w:rsidR="004703DA" w:rsidRPr="00F54955" w:rsidRDefault="004703DA" w:rsidP="004703DA">
      <w:pPr>
        <w:jc w:val="both"/>
        <w:rPr>
          <w:rFonts w:ascii="Calibri" w:hAnsi="Calibri" w:cs="Calibri"/>
          <w:bCs/>
          <w:sz w:val="22"/>
          <w:szCs w:val="22"/>
        </w:rPr>
      </w:pPr>
      <w:r w:rsidRPr="00F54955">
        <w:rPr>
          <w:rFonts w:ascii="Calibri" w:hAnsi="Calibri" w:cs="Calibri"/>
          <w:bCs/>
          <w:sz w:val="22"/>
          <w:szCs w:val="22"/>
        </w:rPr>
        <w:t xml:space="preserve">Příjemce bere na vědomí, že poskytnutí této investiční/neinvestiční dotace spadá pod režim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v souladu s článkem 2 nařízení Komise (EU) č. 1407/2013, kdy celková výše podpory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poskytnutá příjemci, nesmí v rozhodném období (v kterémkoliv tříletém období) přesáhnout částku 200.000</w:t>
      </w:r>
      <w:r>
        <w:rPr>
          <w:rFonts w:ascii="Calibri" w:hAnsi="Calibri" w:cs="Calibri"/>
          <w:bCs/>
          <w:sz w:val="22"/>
          <w:szCs w:val="22"/>
        </w:rPr>
        <w:t xml:space="preserve"> EUR, </w:t>
      </w:r>
      <w:r w:rsidRPr="0014298D">
        <w:rPr>
          <w:rFonts w:ascii="Calibri" w:hAnsi="Calibri" w:cs="Calibri"/>
          <w:bCs/>
          <w:sz w:val="22"/>
          <w:szCs w:val="22"/>
        </w:rPr>
        <w:t>kdy tímto tříletým obdobím se rozumí současné účetní období a dvě předcházející účetní období.</w:t>
      </w:r>
    </w:p>
    <w:p w:rsidR="004703DA" w:rsidRDefault="004703DA" w:rsidP="004703DA">
      <w:pPr>
        <w:jc w:val="both"/>
        <w:rPr>
          <w:rFonts w:ascii="Calibri" w:hAnsi="Calibri" w:cs="Calibri"/>
          <w:bCs/>
          <w:sz w:val="22"/>
          <w:szCs w:val="22"/>
        </w:rPr>
      </w:pPr>
      <w:r w:rsidRPr="0014298D">
        <w:rPr>
          <w:rFonts w:ascii="Calibri" w:hAnsi="Calibri" w:cs="Calibri"/>
          <w:bCs/>
          <w:sz w:val="22"/>
          <w:szCs w:val="22"/>
        </w:rPr>
        <w:t xml:space="preserve">Poskytování veřejné podpory se řídí Smlouvou o fungování Evropské unie a příslušnými právními akty Evropské unie, zejména nařízením Komise (ES) č. 1407/2013 o použití článků 107 a 108 Smlouvy o fungování Evropské unie na podporu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(dále jen „nařízení o </w:t>
      </w:r>
      <w:proofErr w:type="gramStart"/>
      <w:r w:rsidRPr="0014298D">
        <w:rPr>
          <w:rFonts w:ascii="Calibri" w:hAnsi="Calibri" w:cs="Calibri"/>
          <w:bCs/>
          <w:sz w:val="22"/>
          <w:szCs w:val="22"/>
        </w:rPr>
        <w:t>de</w:t>
      </w:r>
      <w:proofErr w:type="gramEnd"/>
      <w:r w:rsidRPr="0014298D">
        <w:rPr>
          <w:rFonts w:ascii="Calibri" w:hAnsi="Calibri" w:cs="Calibri"/>
          <w:bCs/>
          <w:sz w:val="22"/>
          <w:szCs w:val="22"/>
        </w:rPr>
        <w:t xml:space="preserv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ze dne 18. 12. 2013, publikovaného v Úředním věstníku Evropské unie pod číslem L 352 ze dne 24. 12. 2013 a zákonem č. 215/2004, o úpravě některých vztahů v oblasti veřejné podpory. Datem poskytnutí podpory de </w:t>
      </w:r>
      <w:proofErr w:type="spellStart"/>
      <w:r w:rsidRPr="0014298D">
        <w:rPr>
          <w:rFonts w:ascii="Calibri" w:hAnsi="Calibri" w:cs="Calibri"/>
          <w:bCs/>
          <w:sz w:val="22"/>
          <w:szCs w:val="22"/>
        </w:rPr>
        <w:t>minimis</w:t>
      </w:r>
      <w:proofErr w:type="spellEnd"/>
      <w:r w:rsidRPr="0014298D">
        <w:rPr>
          <w:rFonts w:ascii="Calibri" w:hAnsi="Calibri" w:cs="Calibri"/>
          <w:bCs/>
          <w:sz w:val="22"/>
          <w:szCs w:val="22"/>
        </w:rPr>
        <w:t xml:space="preserve"> je </w:t>
      </w:r>
      <w:r>
        <w:rPr>
          <w:rFonts w:ascii="Calibri" w:hAnsi="Calibri" w:cs="Calibri"/>
          <w:bCs/>
          <w:sz w:val="22"/>
          <w:szCs w:val="22"/>
        </w:rPr>
        <w:t>den účinnosti</w:t>
      </w:r>
      <w:r w:rsidRPr="0014298D">
        <w:rPr>
          <w:rFonts w:ascii="Calibri" w:hAnsi="Calibri" w:cs="Calibri"/>
          <w:bCs/>
          <w:sz w:val="22"/>
          <w:szCs w:val="22"/>
        </w:rPr>
        <w:t xml:space="preserve"> smlouvy. </w:t>
      </w:r>
    </w:p>
    <w:p w:rsidR="004703DA" w:rsidRPr="00F54955" w:rsidRDefault="004703DA" w:rsidP="004703DA">
      <w:pPr>
        <w:jc w:val="both"/>
        <w:rPr>
          <w:rFonts w:ascii="Calibri" w:hAnsi="Calibri" w:cs="Calibri"/>
          <w:bCs/>
          <w:sz w:val="22"/>
          <w:szCs w:val="22"/>
        </w:rPr>
      </w:pPr>
    </w:p>
    <w:p w:rsidR="004703DA" w:rsidRPr="0014298D" w:rsidRDefault="004703DA" w:rsidP="004703DA">
      <w:pPr>
        <w:jc w:val="both"/>
        <w:rPr>
          <w:rFonts w:ascii="Calibri" w:hAnsi="Calibri" w:cs="Calibri"/>
          <w:bCs/>
          <w:sz w:val="22"/>
          <w:szCs w:val="22"/>
        </w:rPr>
      </w:pPr>
      <w:r w:rsidRPr="00F54955">
        <w:rPr>
          <w:rFonts w:ascii="Calibri" w:hAnsi="Calibri" w:cs="Calibri"/>
          <w:bCs/>
          <w:sz w:val="22"/>
          <w:szCs w:val="22"/>
        </w:rPr>
        <w:t>2</w:t>
      </w:r>
      <w:r>
        <w:rPr>
          <w:rFonts w:ascii="Calibri" w:hAnsi="Calibri" w:cs="Calibri"/>
          <w:bCs/>
          <w:sz w:val="22"/>
          <w:szCs w:val="22"/>
        </w:rPr>
        <w:t xml:space="preserve">. </w:t>
      </w:r>
      <w:r w:rsidRPr="00F54955">
        <w:rPr>
          <w:rFonts w:ascii="Calibri" w:hAnsi="Calibri" w:cs="Calibri"/>
          <w:bCs/>
          <w:sz w:val="22"/>
          <w:szCs w:val="22"/>
        </w:rPr>
        <w:t xml:space="preserve">Poskytnutí této neinvestiční dotace poskytovatelem příjemci předcházelo </w:t>
      </w:r>
      <w:r w:rsidRPr="0014298D">
        <w:rPr>
          <w:rFonts w:ascii="Calibri" w:hAnsi="Calibri" w:cs="Calibri"/>
          <w:bCs/>
          <w:sz w:val="22"/>
          <w:szCs w:val="22"/>
        </w:rPr>
        <w:t>ověřen</w:t>
      </w:r>
      <w:r>
        <w:rPr>
          <w:rFonts w:ascii="Calibri" w:hAnsi="Calibri" w:cs="Calibri"/>
          <w:bCs/>
          <w:sz w:val="22"/>
          <w:szCs w:val="22"/>
        </w:rPr>
        <w:t>í</w:t>
      </w:r>
      <w:r w:rsidRPr="0014298D">
        <w:rPr>
          <w:rFonts w:ascii="Calibri" w:hAnsi="Calibri" w:cs="Calibri"/>
          <w:bCs/>
          <w:sz w:val="22"/>
          <w:szCs w:val="22"/>
        </w:rPr>
        <w:t xml:space="preserve"> poskytovatelem v Registru podpor de </w:t>
      </w:r>
      <w:proofErr w:type="spellStart"/>
      <w:r w:rsidRPr="0014298D">
        <w:rPr>
          <w:rFonts w:ascii="Calibri" w:hAnsi="Calibri" w:cs="Calibri"/>
          <w:bCs/>
          <w:sz w:val="22"/>
          <w:szCs w:val="22"/>
        </w:rPr>
        <w:t>minimis</w:t>
      </w:r>
      <w:proofErr w:type="spellEnd"/>
      <w:r>
        <w:rPr>
          <w:rFonts w:ascii="Calibri" w:hAnsi="Calibri" w:cs="Calibri"/>
          <w:bCs/>
          <w:sz w:val="22"/>
          <w:szCs w:val="22"/>
        </w:rPr>
        <w:t xml:space="preserve">, že nedošlo k překročení zákonného limitu </w:t>
      </w:r>
      <w:r w:rsidRPr="0014298D">
        <w:rPr>
          <w:rFonts w:ascii="Calibri" w:hAnsi="Calibri" w:cs="Calibri"/>
          <w:bCs/>
          <w:sz w:val="22"/>
          <w:szCs w:val="22"/>
        </w:rPr>
        <w:t xml:space="preserve">a podpisem smlouvy příjemce garantuje jeho nepřekročení. </w:t>
      </w:r>
    </w:p>
    <w:p w:rsidR="004703DA" w:rsidRPr="00F54955" w:rsidRDefault="004703DA" w:rsidP="004703DA">
      <w:pPr>
        <w:jc w:val="both"/>
        <w:rPr>
          <w:rFonts w:ascii="Calibri" w:hAnsi="Calibri" w:cs="Calibri"/>
          <w:bCs/>
          <w:sz w:val="22"/>
          <w:szCs w:val="22"/>
        </w:rPr>
      </w:pPr>
    </w:p>
    <w:p w:rsidR="004703DA" w:rsidRPr="00F54955" w:rsidRDefault="004703DA" w:rsidP="004703DA">
      <w:pPr>
        <w:jc w:val="both"/>
        <w:rPr>
          <w:rFonts w:ascii="Calibri" w:hAnsi="Calibri" w:cs="Calibri"/>
          <w:bCs/>
          <w:sz w:val="22"/>
          <w:szCs w:val="22"/>
        </w:rPr>
      </w:pPr>
      <w:r>
        <w:rPr>
          <w:rFonts w:ascii="Calibri" w:hAnsi="Calibri" w:cs="Calibri"/>
          <w:bCs/>
          <w:sz w:val="22"/>
          <w:szCs w:val="22"/>
        </w:rPr>
        <w:t xml:space="preserve">3. </w:t>
      </w:r>
      <w:r w:rsidRPr="00F54955">
        <w:rPr>
          <w:rFonts w:ascii="Calibri" w:hAnsi="Calibri" w:cs="Calibri"/>
          <w:bCs/>
          <w:sz w:val="22"/>
          <w:szCs w:val="22"/>
        </w:rPr>
        <w:t xml:space="preserve">Příjemce také bere na vědomí a souhlasí s tím, že údaje o poskytnutí této neinvestiční dotace budou vedeny v centrálním registru podpor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w:t>
      </w:r>
    </w:p>
    <w:p w:rsidR="004703DA" w:rsidRPr="00F54955" w:rsidRDefault="004703DA" w:rsidP="004703DA">
      <w:pPr>
        <w:jc w:val="both"/>
        <w:rPr>
          <w:rFonts w:ascii="Calibri" w:hAnsi="Calibri" w:cs="Calibri"/>
          <w:bCs/>
          <w:sz w:val="22"/>
          <w:szCs w:val="22"/>
        </w:rPr>
      </w:pPr>
      <w:r w:rsidRPr="00F54955">
        <w:rPr>
          <w:rFonts w:ascii="Calibri" w:hAnsi="Calibri" w:cs="Calibri"/>
          <w:bCs/>
          <w:sz w:val="22"/>
          <w:szCs w:val="22"/>
        </w:rPr>
        <w:tab/>
      </w:r>
    </w:p>
    <w:p w:rsidR="004703DA" w:rsidRPr="00F54955" w:rsidRDefault="004703DA" w:rsidP="004703DA">
      <w:pPr>
        <w:jc w:val="both"/>
        <w:rPr>
          <w:rFonts w:ascii="Calibri" w:hAnsi="Calibri" w:cs="Calibri"/>
          <w:bCs/>
          <w:sz w:val="22"/>
          <w:szCs w:val="22"/>
        </w:rPr>
      </w:pPr>
      <w:r>
        <w:rPr>
          <w:rFonts w:ascii="Calibri" w:hAnsi="Calibri" w:cs="Calibri"/>
          <w:bCs/>
          <w:sz w:val="22"/>
          <w:szCs w:val="22"/>
        </w:rPr>
        <w:t xml:space="preserve">4. </w:t>
      </w:r>
      <w:r w:rsidRPr="00F54955">
        <w:rPr>
          <w:rFonts w:ascii="Calibri" w:hAnsi="Calibri" w:cs="Calibri"/>
          <w:bCs/>
          <w:sz w:val="22"/>
          <w:szCs w:val="22"/>
        </w:rPr>
        <w:t>Dále příjemce bere na vědomí, že v případě, že by poskytnutím podpory došlo k překročení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4703DA" w:rsidRPr="00F54955" w:rsidRDefault="004703DA" w:rsidP="004703DA">
      <w:pPr>
        <w:jc w:val="both"/>
        <w:rPr>
          <w:rFonts w:ascii="Calibri" w:hAnsi="Calibri" w:cs="Calibri"/>
          <w:bCs/>
          <w:sz w:val="22"/>
          <w:szCs w:val="22"/>
        </w:rPr>
      </w:pPr>
    </w:p>
    <w:p w:rsidR="004703DA" w:rsidRPr="00F54955" w:rsidRDefault="004703DA" w:rsidP="004703DA">
      <w:pPr>
        <w:jc w:val="both"/>
        <w:rPr>
          <w:rFonts w:ascii="Calibri" w:hAnsi="Calibri" w:cs="Calibri"/>
          <w:bCs/>
          <w:sz w:val="22"/>
          <w:szCs w:val="22"/>
        </w:rPr>
      </w:pPr>
      <w:r>
        <w:rPr>
          <w:rFonts w:ascii="Calibri" w:hAnsi="Calibri" w:cs="Calibri"/>
          <w:bCs/>
          <w:sz w:val="22"/>
          <w:szCs w:val="22"/>
        </w:rPr>
        <w:t xml:space="preserve">5. </w:t>
      </w:r>
      <w:r w:rsidRPr="00F54955">
        <w:rPr>
          <w:rFonts w:ascii="Calibri" w:hAnsi="Calibri" w:cs="Calibri"/>
          <w:bCs/>
          <w:sz w:val="22"/>
          <w:szCs w:val="22"/>
        </w:rPr>
        <w:t>Příjemce má povinnost bezodkladně po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r>
        <w:rPr>
          <w:rFonts w:ascii="Calibri" w:hAnsi="Calibri" w:cs="Calibri"/>
          <w:bCs/>
          <w:sz w:val="22"/>
          <w:szCs w:val="22"/>
        </w:rPr>
        <w:t>.</w:t>
      </w:r>
    </w:p>
    <w:p w:rsidR="004703DA" w:rsidRPr="00F54955" w:rsidRDefault="004703DA" w:rsidP="004703DA">
      <w:pPr>
        <w:jc w:val="both"/>
        <w:rPr>
          <w:rFonts w:ascii="Calibri" w:hAnsi="Calibri" w:cs="Calibri"/>
          <w:bCs/>
          <w:sz w:val="22"/>
          <w:szCs w:val="22"/>
        </w:rPr>
      </w:pPr>
    </w:p>
    <w:p w:rsidR="004703DA" w:rsidRPr="00F54955" w:rsidRDefault="004703DA" w:rsidP="004703DA">
      <w:pPr>
        <w:jc w:val="both"/>
        <w:rPr>
          <w:rFonts w:ascii="Calibri" w:hAnsi="Calibri" w:cs="Calibri"/>
          <w:bCs/>
          <w:sz w:val="22"/>
          <w:szCs w:val="22"/>
        </w:rPr>
      </w:pPr>
      <w:r>
        <w:rPr>
          <w:rFonts w:ascii="Calibri" w:hAnsi="Calibri" w:cs="Calibri"/>
          <w:bCs/>
          <w:sz w:val="22"/>
          <w:szCs w:val="22"/>
        </w:rPr>
        <w:lastRenderedPageBreak/>
        <w:t xml:space="preserve">6. </w:t>
      </w:r>
      <w:r w:rsidRPr="00F54955">
        <w:rPr>
          <w:rFonts w:ascii="Calibri" w:hAnsi="Calibri" w:cs="Calibri"/>
          <w:bCs/>
          <w:sz w:val="22"/>
          <w:szCs w:val="22"/>
        </w:rPr>
        <w:t xml:space="preserve">Podpisem této smlouvy příjemce stvrzuje, že byl seznámen s charakterem poskytované neinvestiční dotace jakožto podpory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a s následky vyplývajícími z nedodržení ustanovení této smlouvy a obecně závazných, platných právních předpisů.</w:t>
      </w:r>
    </w:p>
    <w:p w:rsidR="004703DA" w:rsidRDefault="004703DA" w:rsidP="004703DA">
      <w:pPr>
        <w:jc w:val="both"/>
        <w:rPr>
          <w:rFonts w:ascii="Calibri" w:hAnsi="Calibri" w:cs="Calibri"/>
          <w:bCs/>
          <w:sz w:val="22"/>
          <w:szCs w:val="22"/>
        </w:rPr>
      </w:pPr>
    </w:p>
    <w:p w:rsidR="004703DA" w:rsidRPr="0014298D" w:rsidRDefault="004703DA" w:rsidP="004703DA">
      <w:pPr>
        <w:jc w:val="both"/>
        <w:rPr>
          <w:rFonts w:ascii="Calibri" w:hAnsi="Calibri" w:cs="Calibri"/>
          <w:bCs/>
          <w:sz w:val="22"/>
          <w:szCs w:val="22"/>
        </w:rPr>
      </w:pPr>
      <w:r>
        <w:rPr>
          <w:rFonts w:ascii="Calibri" w:hAnsi="Calibri" w:cs="Calibri"/>
          <w:bCs/>
          <w:sz w:val="22"/>
          <w:szCs w:val="22"/>
        </w:rPr>
        <w:t xml:space="preserve">7. </w:t>
      </w:r>
      <w:r w:rsidRPr="0014298D">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4703DA" w:rsidRPr="00C326FF" w:rsidRDefault="004703DA" w:rsidP="004703DA">
      <w:pPr>
        <w:rPr>
          <w:rFonts w:ascii="Calibri" w:hAnsi="Calibri" w:cs="Calibri"/>
          <w:b/>
          <w:bCs/>
          <w:sz w:val="22"/>
          <w:szCs w:val="22"/>
        </w:rPr>
      </w:pPr>
    </w:p>
    <w:p w:rsidR="004703DA" w:rsidRPr="00066059" w:rsidRDefault="004703DA" w:rsidP="004703DA">
      <w:pPr>
        <w:jc w:val="both"/>
        <w:rPr>
          <w:rFonts w:ascii="Calibri" w:hAnsi="Calibri" w:cs="Calibri"/>
          <w:bCs/>
          <w:sz w:val="22"/>
          <w:szCs w:val="22"/>
        </w:rPr>
      </w:pPr>
      <w:r>
        <w:rPr>
          <w:rFonts w:ascii="Calibri" w:hAnsi="Calibri" w:cs="Calibri"/>
          <w:bCs/>
          <w:sz w:val="22"/>
          <w:szCs w:val="22"/>
        </w:rPr>
        <w:t>8</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4703DA" w:rsidRPr="00066059" w:rsidRDefault="004703DA" w:rsidP="004703DA">
      <w:pPr>
        <w:jc w:val="both"/>
        <w:rPr>
          <w:rFonts w:ascii="Calibri" w:hAnsi="Calibri" w:cs="Calibri"/>
          <w:bCs/>
          <w:sz w:val="22"/>
          <w:szCs w:val="22"/>
        </w:rPr>
      </w:pPr>
    </w:p>
    <w:p w:rsidR="004703DA" w:rsidRPr="00066059" w:rsidRDefault="004703DA" w:rsidP="004703DA">
      <w:pPr>
        <w:jc w:val="both"/>
        <w:rPr>
          <w:rFonts w:ascii="Calibri" w:hAnsi="Calibri" w:cs="Calibri"/>
          <w:bCs/>
          <w:sz w:val="22"/>
          <w:szCs w:val="22"/>
        </w:rPr>
      </w:pPr>
      <w:r>
        <w:rPr>
          <w:rFonts w:ascii="Calibri" w:hAnsi="Calibri" w:cs="Calibri"/>
          <w:bCs/>
          <w:sz w:val="22"/>
          <w:szCs w:val="22"/>
        </w:rPr>
        <w:t>9</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4703DA" w:rsidRPr="00C326FF" w:rsidRDefault="004703DA" w:rsidP="004703DA">
      <w:pPr>
        <w:rPr>
          <w:rFonts w:ascii="Calibri" w:hAnsi="Calibri" w:cs="Calibri"/>
          <w:b/>
          <w:bCs/>
          <w:sz w:val="22"/>
          <w:szCs w:val="22"/>
        </w:rPr>
      </w:pPr>
    </w:p>
    <w:p w:rsidR="004703DA" w:rsidRPr="00C326FF" w:rsidRDefault="004703DA" w:rsidP="004703DA">
      <w:pPr>
        <w:rPr>
          <w:rFonts w:ascii="Calibri" w:hAnsi="Calibri" w:cs="Calibri"/>
          <w:b/>
          <w:bCs/>
          <w:sz w:val="22"/>
          <w:szCs w:val="22"/>
        </w:rPr>
      </w:pPr>
      <w:r w:rsidRPr="00C326FF">
        <w:rPr>
          <w:rFonts w:ascii="Calibri" w:hAnsi="Calibri" w:cs="Calibri"/>
          <w:b/>
          <w:bCs/>
          <w:sz w:val="22"/>
          <w:szCs w:val="22"/>
        </w:rPr>
        <w:t> </w:t>
      </w:r>
    </w:p>
    <w:p w:rsidR="004703DA" w:rsidRDefault="004703DA" w:rsidP="004703DA">
      <w:pPr>
        <w:jc w:val="center"/>
        <w:rPr>
          <w:rFonts w:ascii="Calibri" w:hAnsi="Calibri" w:cs="Calibri"/>
          <w:b/>
          <w:bCs/>
          <w:sz w:val="22"/>
          <w:szCs w:val="22"/>
        </w:rPr>
      </w:pPr>
      <w:r>
        <w:rPr>
          <w:rFonts w:ascii="Calibri" w:hAnsi="Calibri" w:cs="Calibri"/>
          <w:b/>
          <w:bCs/>
          <w:sz w:val="22"/>
          <w:szCs w:val="22"/>
        </w:rPr>
        <w:t>XI.</w:t>
      </w:r>
    </w:p>
    <w:p w:rsidR="004703DA" w:rsidRDefault="004703DA" w:rsidP="004703DA">
      <w:pPr>
        <w:jc w:val="center"/>
        <w:rPr>
          <w:rFonts w:ascii="Calibri" w:hAnsi="Calibri" w:cs="Calibri"/>
          <w:b/>
          <w:bCs/>
          <w:sz w:val="22"/>
          <w:szCs w:val="22"/>
        </w:rPr>
      </w:pPr>
      <w:r>
        <w:rPr>
          <w:rFonts w:ascii="Calibri" w:hAnsi="Calibri" w:cs="Calibri"/>
          <w:b/>
          <w:bCs/>
          <w:sz w:val="22"/>
          <w:szCs w:val="22"/>
        </w:rPr>
        <w:t>Závěrečná ujednání</w:t>
      </w:r>
    </w:p>
    <w:p w:rsidR="004703DA" w:rsidRDefault="004703DA" w:rsidP="004703DA">
      <w:pPr>
        <w:jc w:val="both"/>
        <w:rPr>
          <w:rFonts w:asciiTheme="minorHAnsi" w:hAnsiTheme="minorHAnsi" w:cstheme="minorHAnsi"/>
          <w:bCs/>
          <w:sz w:val="22"/>
          <w:szCs w:val="22"/>
        </w:rPr>
      </w:pPr>
    </w:p>
    <w:p w:rsidR="004703DA" w:rsidRDefault="004703DA" w:rsidP="004703DA">
      <w:pPr>
        <w:jc w:val="both"/>
        <w:rPr>
          <w:rFonts w:asciiTheme="minorHAnsi" w:hAnsiTheme="minorHAnsi" w:cstheme="minorHAnsi"/>
          <w:sz w:val="22"/>
          <w:szCs w:val="22"/>
        </w:rPr>
      </w:pPr>
      <w:r w:rsidRPr="006C5C5E">
        <w:rPr>
          <w:rFonts w:asciiTheme="minorHAnsi" w:hAnsiTheme="minorHAnsi" w:cstheme="minorHAnsi"/>
          <w:sz w:val="22"/>
          <w:szCs w:val="22"/>
        </w:rPr>
        <w:t>1. Tato smlouva byla schválena usnesením ZM č. Z/</w:t>
      </w:r>
      <w:r w:rsidR="006C5C5E">
        <w:rPr>
          <w:rFonts w:asciiTheme="minorHAnsi" w:hAnsiTheme="minorHAnsi" w:cstheme="minorHAnsi"/>
          <w:sz w:val="22"/>
          <w:szCs w:val="22"/>
        </w:rPr>
        <w:t>1057/3</w:t>
      </w:r>
      <w:r w:rsidRPr="006C5C5E">
        <w:rPr>
          <w:rFonts w:asciiTheme="minorHAnsi" w:hAnsiTheme="minorHAnsi" w:cstheme="minorHAnsi"/>
          <w:sz w:val="22"/>
          <w:szCs w:val="22"/>
        </w:rPr>
        <w:t xml:space="preserve"> na jednání dne </w:t>
      </w:r>
      <w:proofErr w:type="gramStart"/>
      <w:r w:rsidR="0009280B" w:rsidRPr="006C5C5E">
        <w:rPr>
          <w:rFonts w:asciiTheme="minorHAnsi" w:hAnsiTheme="minorHAnsi" w:cstheme="minorHAnsi"/>
          <w:sz w:val="22"/>
          <w:szCs w:val="22"/>
        </w:rPr>
        <w:t>13.12.2018</w:t>
      </w:r>
      <w:proofErr w:type="gramEnd"/>
      <w:r w:rsidRPr="006C5C5E">
        <w:rPr>
          <w:rFonts w:asciiTheme="minorHAnsi" w:hAnsiTheme="minorHAnsi" w:cstheme="minorHAnsi"/>
          <w:sz w:val="22"/>
          <w:szCs w:val="22"/>
        </w:rPr>
        <w:t>.</w:t>
      </w:r>
      <w:r>
        <w:rPr>
          <w:rFonts w:asciiTheme="minorHAnsi" w:hAnsiTheme="minorHAnsi" w:cstheme="minorHAnsi"/>
          <w:sz w:val="22"/>
          <w:szCs w:val="22"/>
        </w:rPr>
        <w:t xml:space="preserve"> </w:t>
      </w:r>
    </w:p>
    <w:p w:rsidR="004703DA" w:rsidRDefault="004703DA" w:rsidP="004703DA">
      <w:pPr>
        <w:jc w:val="both"/>
        <w:rPr>
          <w:rFonts w:asciiTheme="minorHAnsi" w:hAnsiTheme="minorHAnsi" w:cstheme="minorHAnsi"/>
          <w:sz w:val="22"/>
          <w:szCs w:val="22"/>
        </w:rPr>
      </w:pPr>
    </w:p>
    <w:p w:rsidR="004703DA" w:rsidRDefault="004703DA" w:rsidP="004703DA">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4703DA" w:rsidRDefault="004703DA" w:rsidP="004703DA">
      <w:pPr>
        <w:jc w:val="both"/>
        <w:rPr>
          <w:rFonts w:asciiTheme="minorHAnsi" w:hAnsiTheme="minorHAnsi" w:cstheme="minorHAnsi"/>
          <w:bCs/>
          <w:sz w:val="22"/>
          <w:szCs w:val="22"/>
        </w:rPr>
      </w:pPr>
    </w:p>
    <w:p w:rsidR="004703DA" w:rsidRDefault="004703DA" w:rsidP="004703DA">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4703DA" w:rsidRDefault="004703DA" w:rsidP="004703DA">
      <w:pPr>
        <w:jc w:val="both"/>
        <w:rPr>
          <w:rFonts w:asciiTheme="minorHAnsi" w:hAnsiTheme="minorHAnsi" w:cstheme="minorHAnsi"/>
          <w:bCs/>
          <w:sz w:val="22"/>
          <w:szCs w:val="22"/>
        </w:rPr>
      </w:pP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smlouva č. KT/</w:t>
      </w:r>
      <w:r>
        <w:rPr>
          <w:rFonts w:asciiTheme="minorHAnsi" w:hAnsiTheme="minorHAnsi" w:cstheme="minorHAnsi"/>
          <w:sz w:val="22"/>
          <w:szCs w:val="22"/>
        </w:rPr>
        <w:t xml:space="preserve">9916/18 byla vedena v evidenci smluv vedené městem Litvínov, která bude přístupná dle zákona č. 106/1999 Sb., o svobodném přístupu k informacím v platném znění, a která obsahuje údaje o smluvních stranách, předmětu smlouvy, číselné označení a datum jejího uzavření. </w:t>
      </w:r>
    </w:p>
    <w:p w:rsidR="004703DA" w:rsidRDefault="004703DA" w:rsidP="004703DA">
      <w:pPr>
        <w:jc w:val="both"/>
        <w:rPr>
          <w:rFonts w:asciiTheme="minorHAnsi" w:hAnsiTheme="minorHAnsi" w:cstheme="minorHAnsi"/>
          <w:sz w:val="22"/>
          <w:szCs w:val="22"/>
        </w:rPr>
      </w:pP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v platném znění. </w:t>
      </w:r>
    </w:p>
    <w:p w:rsidR="004703DA" w:rsidRDefault="004703DA" w:rsidP="004703DA">
      <w:pPr>
        <w:jc w:val="both"/>
        <w:rPr>
          <w:rFonts w:asciiTheme="minorHAnsi" w:hAnsiTheme="minorHAnsi" w:cstheme="minorHAnsi"/>
          <w:sz w:val="22"/>
          <w:szCs w:val="22"/>
        </w:rPr>
      </w:pP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4703DA" w:rsidRDefault="004703DA" w:rsidP="004703DA">
      <w:pPr>
        <w:jc w:val="both"/>
        <w:rPr>
          <w:rFonts w:asciiTheme="minorHAnsi" w:hAnsiTheme="minorHAnsi" w:cstheme="minorHAnsi"/>
          <w:sz w:val="22"/>
          <w:szCs w:val="22"/>
        </w:rPr>
      </w:pP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 v platném znění.</w:t>
      </w: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t xml:space="preserve"> </w:t>
      </w:r>
    </w:p>
    <w:p w:rsidR="004703DA" w:rsidRDefault="004703DA" w:rsidP="004703DA">
      <w:pPr>
        <w:jc w:val="both"/>
        <w:rPr>
          <w:rFonts w:asciiTheme="minorHAnsi" w:hAnsiTheme="minorHAnsi" w:cstheme="minorHAnsi"/>
          <w:sz w:val="22"/>
          <w:szCs w:val="22"/>
        </w:rPr>
      </w:pPr>
      <w:r>
        <w:rPr>
          <w:rFonts w:asciiTheme="minorHAnsi" w:hAnsiTheme="minorHAnsi" w:cstheme="minorHAnsi"/>
          <w:sz w:val="22"/>
          <w:szCs w:val="22"/>
        </w:rPr>
        <w:lastRenderedPageBreak/>
        <w:t>8. Pokud příjemce neinvestiční dotace nepředloží řádné vyúčtování poskytnutých finančních prostředků, neobdrží v následujících 5 letech v dalších dotačních řízeních žádné finanční prostředky z rozpočtu města.</w:t>
      </w:r>
    </w:p>
    <w:p w:rsidR="004703DA" w:rsidRDefault="004703DA" w:rsidP="004703DA">
      <w:pPr>
        <w:jc w:val="both"/>
        <w:rPr>
          <w:rFonts w:asciiTheme="minorHAnsi" w:hAnsiTheme="minorHAnsi" w:cstheme="minorHAnsi"/>
          <w:bCs/>
          <w:sz w:val="22"/>
          <w:szCs w:val="22"/>
        </w:rPr>
      </w:pPr>
    </w:p>
    <w:p w:rsidR="004703DA" w:rsidRDefault="004703DA" w:rsidP="004703DA">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807A3E" w:rsidRDefault="00807A3E" w:rsidP="00807A3E">
      <w:pPr>
        <w:rPr>
          <w:rFonts w:ascii="Calibri" w:hAnsi="Calibri" w:cs="Calibri"/>
          <w:b/>
          <w:bCs/>
          <w:sz w:val="22"/>
          <w:szCs w:val="22"/>
        </w:rPr>
      </w:pPr>
    </w:p>
    <w:p w:rsidR="00807A3E" w:rsidRDefault="00807A3E" w:rsidP="00807A3E">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07A3E" w:rsidRDefault="00807A3E" w:rsidP="00243D6A">
      <w:pPr>
        <w:jc w:val="both"/>
        <w:rPr>
          <w:rFonts w:asciiTheme="minorHAnsi" w:hAnsiTheme="minorHAnsi" w:cstheme="minorHAnsi"/>
          <w:sz w:val="22"/>
          <w:szCs w:val="22"/>
        </w:rPr>
      </w:pPr>
    </w:p>
    <w:p w:rsidR="00807A3E" w:rsidRDefault="00807A3E" w:rsidP="00243D6A">
      <w:pPr>
        <w:jc w:val="both"/>
        <w:rPr>
          <w:rFonts w:asciiTheme="minorHAnsi" w:hAnsiTheme="minorHAnsi" w:cstheme="minorHAnsi"/>
          <w:sz w:val="22"/>
          <w:szCs w:val="22"/>
        </w:rPr>
      </w:pPr>
    </w:p>
    <w:p w:rsidR="00807A3E" w:rsidRDefault="00807A3E" w:rsidP="00243D6A">
      <w:pPr>
        <w:jc w:val="both"/>
        <w:rPr>
          <w:rFonts w:asciiTheme="minorHAnsi" w:hAnsiTheme="minorHAnsi" w:cstheme="minorHAnsi"/>
          <w:sz w:val="22"/>
          <w:szCs w:val="22"/>
        </w:rPr>
      </w:pPr>
    </w:p>
    <w:p w:rsidR="00243D6A" w:rsidRDefault="00243D6A" w:rsidP="00243D6A">
      <w:pPr>
        <w:jc w:val="both"/>
        <w:rPr>
          <w:rFonts w:ascii="Calibri" w:hAnsi="Calibri" w:cs="Calibri"/>
          <w:sz w:val="22"/>
          <w:szCs w:val="22"/>
        </w:rPr>
      </w:pPr>
      <w:r>
        <w:rPr>
          <w:rFonts w:asciiTheme="minorHAnsi" w:hAnsiTheme="minorHAnsi" w:cstheme="minorHAnsi"/>
          <w:sz w:val="22"/>
          <w:szCs w:val="22"/>
        </w:rPr>
        <w:t xml:space="preserve">    </w:t>
      </w:r>
      <w:r w:rsidR="00BA7AF8">
        <w:rPr>
          <w:rFonts w:asciiTheme="minorHAnsi" w:hAnsiTheme="minorHAnsi" w:cstheme="minorHAnsi"/>
          <w:sz w:val="22"/>
          <w:szCs w:val="22"/>
        </w:rPr>
        <w:t>PhDr. Marie Svačinová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Calibri" w:hAnsi="Calibri" w:cs="Calibri"/>
          <w:sz w:val="22"/>
          <w:szCs w:val="22"/>
        </w:rPr>
        <w:t>Mgr. Kamila Bláhová</w:t>
      </w:r>
    </w:p>
    <w:p w:rsidR="006D1588" w:rsidRDefault="00243D6A" w:rsidP="00243D6A">
      <w:pPr>
        <w:jc w:val="both"/>
        <w:rPr>
          <w:rFonts w:ascii="Calibri" w:hAnsi="Calibri" w:cs="Calibri"/>
          <w:sz w:val="22"/>
          <w:szCs w:val="22"/>
        </w:rPr>
      </w:pPr>
      <w:r>
        <w:rPr>
          <w:rFonts w:ascii="Calibri" w:hAnsi="Calibri" w:cs="Calibri"/>
          <w:sz w:val="22"/>
          <w:szCs w:val="22"/>
        </w:rPr>
        <w:t xml:space="preserve">    řed</w:t>
      </w:r>
      <w:r w:rsidR="00BA7AF8">
        <w:rPr>
          <w:rFonts w:ascii="Calibri" w:hAnsi="Calibri" w:cs="Calibri"/>
          <w:sz w:val="22"/>
          <w:szCs w:val="22"/>
        </w:rPr>
        <w:t>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6D1588" w:rsidRDefault="006D1588" w:rsidP="00243D6A">
      <w:pPr>
        <w:jc w:val="both"/>
        <w:rPr>
          <w:rFonts w:ascii="Calibri" w:hAnsi="Calibri" w:cs="Calibri"/>
          <w:sz w:val="22"/>
          <w:szCs w:val="22"/>
        </w:rPr>
      </w:pPr>
    </w:p>
    <w:p w:rsidR="00243D6A" w:rsidRPr="00DD727F" w:rsidRDefault="00BA7AF8" w:rsidP="00243D6A">
      <w:pPr>
        <w:rPr>
          <w:rFonts w:asciiTheme="minorHAnsi" w:hAnsiTheme="minorHAnsi" w:cs="Arial"/>
        </w:rPr>
      </w:pPr>
      <w:r w:rsidRPr="00DD727F">
        <w:rPr>
          <w:rFonts w:asciiTheme="minorHAnsi" w:hAnsiTheme="minorHAnsi" w:cs="Arial"/>
        </w:rPr>
        <w:tab/>
      </w:r>
      <w:r w:rsidRPr="00DD727F">
        <w:rPr>
          <w:rFonts w:asciiTheme="minorHAnsi" w:hAnsiTheme="minorHAnsi" w:cs="Arial"/>
        </w:rPr>
        <w:tab/>
      </w:r>
      <w:r w:rsidR="00243D6A" w:rsidRPr="00DD727F">
        <w:rPr>
          <w:rFonts w:asciiTheme="minorHAnsi" w:hAnsiTheme="minorHAnsi" w:cs="Arial"/>
        </w:rPr>
        <w:tab/>
      </w:r>
      <w:r w:rsidR="00243D6A" w:rsidRPr="00DD727F">
        <w:rPr>
          <w:rFonts w:asciiTheme="minorHAnsi" w:hAnsiTheme="minorHAnsi" w:cs="Arial"/>
        </w:rPr>
        <w:tab/>
      </w:r>
      <w:r w:rsidR="00243D6A" w:rsidRPr="00DD727F">
        <w:rPr>
          <w:rFonts w:asciiTheme="minorHAnsi" w:hAnsiTheme="minorHAnsi" w:cs="Arial"/>
        </w:rPr>
        <w:tab/>
      </w:r>
      <w:r w:rsidR="00243D6A" w:rsidRPr="00DD727F">
        <w:rPr>
          <w:rFonts w:asciiTheme="minorHAnsi" w:hAnsiTheme="minorHAnsi" w:cs="Arial"/>
        </w:rPr>
        <w:tab/>
        <w:t xml:space="preserve">                                       Smlouva číslo: KT/</w:t>
      </w:r>
      <w:r w:rsidR="006D1588" w:rsidRPr="00DD727F">
        <w:rPr>
          <w:rFonts w:asciiTheme="minorHAnsi" w:hAnsiTheme="minorHAnsi" w:cs="Arial"/>
        </w:rPr>
        <w:t>9916/18</w:t>
      </w:r>
    </w:p>
    <w:p w:rsidR="00243D6A" w:rsidRPr="00DD727F" w:rsidRDefault="00243D6A" w:rsidP="00243D6A">
      <w:pPr>
        <w:rPr>
          <w:rFonts w:asciiTheme="minorHAnsi" w:hAnsiTheme="minorHAnsi" w:cs="Arial"/>
        </w:rPr>
      </w:pPr>
      <w:r w:rsidRPr="00DD727F">
        <w:rPr>
          <w:rFonts w:asciiTheme="minorHAnsi" w:hAnsiTheme="minorHAnsi" w:cs="Arial"/>
        </w:rPr>
        <w:tab/>
      </w:r>
      <w:r w:rsidRPr="00DD727F">
        <w:rPr>
          <w:rFonts w:asciiTheme="minorHAnsi" w:hAnsiTheme="minorHAnsi"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jc w:val="center"/>
              <w:rPr>
                <w:rFonts w:asciiTheme="minorHAnsi" w:hAnsiTheme="minorHAnsi" w:cs="Arial"/>
                <w:b/>
                <w:lang w:eastAsia="en-US"/>
              </w:rPr>
            </w:pPr>
            <w:r w:rsidRPr="00DD727F">
              <w:rPr>
                <w:rFonts w:asciiTheme="minorHAnsi" w:hAnsiTheme="minorHAnsi" w:cs="Arial"/>
                <w:b/>
                <w:lang w:eastAsia="en-US"/>
              </w:rPr>
              <w:t>Podpis</w:t>
            </w:r>
          </w:p>
        </w:tc>
      </w:tr>
      <w:tr w:rsidR="00243D6A" w:rsidRPr="00DD727F" w:rsidTr="0091629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DD727F" w:rsidP="00BA7AF8">
            <w:pPr>
              <w:spacing w:line="276" w:lineRule="auto"/>
              <w:rPr>
                <w:rFonts w:asciiTheme="minorHAnsi" w:hAnsiTheme="minorHAnsi" w:cs="Arial"/>
                <w:lang w:eastAsia="en-US"/>
              </w:rPr>
            </w:pPr>
            <w:proofErr w:type="gramStart"/>
            <w:r>
              <w:rPr>
                <w:rFonts w:asciiTheme="minorHAnsi" w:hAnsiTheme="minorHAnsi" w:cs="Arial"/>
                <w:lang w:eastAsia="en-US"/>
              </w:rPr>
              <w:t>06.09.2018</w:t>
            </w:r>
            <w:proofErr w:type="gramEnd"/>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 xml:space="preserve">Kateřina </w:t>
            </w:r>
            <w:proofErr w:type="spellStart"/>
            <w:r w:rsidRPr="00DD727F">
              <w:rPr>
                <w:rFonts w:asciiTheme="minorHAnsi" w:hAnsiTheme="minorHAnsi" w:cs="Arial"/>
                <w:lang w:eastAsia="en-US"/>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sz w:val="16"/>
                <w:szCs w:val="16"/>
                <w:lang w:eastAsia="en-US"/>
              </w:rPr>
            </w:pPr>
            <w:r w:rsidRPr="00DD727F">
              <w:rPr>
                <w:rFonts w:asciiTheme="minorHAnsi" w:hAnsiTheme="minorHAnsi"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DD727F"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lang w:eastAsia="en-US"/>
              </w:rPr>
            </w:pPr>
            <w:r w:rsidRPr="00DD727F">
              <w:rPr>
                <w:rFonts w:asciiTheme="minorHAnsi" w:hAnsiTheme="minorHAnsi"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DD727F"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lang w:eastAsia="en-US"/>
              </w:rPr>
            </w:pPr>
            <w:r w:rsidRPr="00DD727F">
              <w:rPr>
                <w:rFonts w:asciiTheme="minorHAnsi" w:hAnsiTheme="minorHAnsi"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1629D" w:rsidRPr="00DD727F" w:rsidRDefault="0091629D" w:rsidP="0091629D">
            <w:pPr>
              <w:spacing w:line="276" w:lineRule="auto"/>
              <w:rPr>
                <w:rFonts w:asciiTheme="minorHAnsi" w:hAnsiTheme="minorHAnsi" w:cs="Arial"/>
                <w:lang w:eastAsia="en-US"/>
              </w:rPr>
            </w:pPr>
            <w:r w:rsidRPr="00DD727F">
              <w:rPr>
                <w:rFonts w:asciiTheme="minorHAnsi" w:hAnsiTheme="minorHAnsi" w:cs="Arial"/>
                <w:lang w:eastAsia="en-US"/>
              </w:rPr>
              <w:t xml:space="preserve">Mgr. Pavla </w:t>
            </w:r>
            <w:proofErr w:type="spellStart"/>
            <w:r w:rsidRPr="00DD727F">
              <w:rPr>
                <w:rFonts w:asciiTheme="minorHAnsi" w:hAnsiTheme="minorHAnsi" w:cs="Arial"/>
                <w:lang w:eastAsia="en-US"/>
              </w:rPr>
              <w:t>Schniererová</w:t>
            </w:r>
            <w:proofErr w:type="spellEnd"/>
            <w:r w:rsidRPr="00DD727F">
              <w:rPr>
                <w:rFonts w:asciiTheme="minorHAnsi" w:hAnsiTheme="minorHAnsi" w:cs="Arial"/>
                <w:lang w:eastAsia="en-US"/>
              </w:rPr>
              <w:t xml:space="preserve"> </w:t>
            </w:r>
            <w:proofErr w:type="spellStart"/>
            <w:r w:rsidRPr="00DD727F">
              <w:rPr>
                <w:rFonts w:asciiTheme="minorHAnsi" w:hAnsiTheme="minorHAnsi" w:cs="Arial"/>
                <w:lang w:eastAsia="en-US"/>
              </w:rPr>
              <w:t>Masičová</w:t>
            </w:r>
            <w:proofErr w:type="spellEnd"/>
          </w:p>
          <w:p w:rsidR="00243D6A" w:rsidRPr="00DD727F" w:rsidRDefault="00243D6A" w:rsidP="009C1B86">
            <w:pPr>
              <w:spacing w:line="276" w:lineRule="auto"/>
              <w:rPr>
                <w:rFonts w:asciiTheme="minorHAnsi" w:hAnsiTheme="minorHAnsi" w:cs="Arial"/>
                <w:lang w:eastAsia="en-US"/>
              </w:rPr>
            </w:pP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lang w:eastAsia="en-US"/>
              </w:rPr>
            </w:pPr>
            <w:r w:rsidRPr="00DD727F">
              <w:rPr>
                <w:rFonts w:asciiTheme="minorHAnsi" w:hAnsiTheme="minorHAnsi"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DD727F" w:rsidP="009C1B86">
            <w:pPr>
              <w:spacing w:line="276" w:lineRule="auto"/>
              <w:rPr>
                <w:rFonts w:asciiTheme="minorHAnsi" w:hAnsiTheme="minorHAnsi" w:cs="Arial"/>
                <w:lang w:eastAsia="en-US"/>
              </w:rPr>
            </w:pPr>
            <w:proofErr w:type="gramStart"/>
            <w:r>
              <w:rPr>
                <w:rFonts w:asciiTheme="minorHAnsi" w:hAnsiTheme="minorHAnsi" w:cs="Arial"/>
                <w:lang w:eastAsia="en-US"/>
              </w:rPr>
              <w:t>05.12.2018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DD727F" w:rsidRDefault="0009280B" w:rsidP="009C1B86">
            <w:pPr>
              <w:spacing w:line="276" w:lineRule="auto"/>
              <w:rPr>
                <w:rFonts w:asciiTheme="minorHAnsi" w:hAnsiTheme="minorHAnsi" w:cs="Arial"/>
                <w:b/>
                <w:sz w:val="18"/>
                <w:szCs w:val="18"/>
                <w:lang w:eastAsia="en-US"/>
              </w:rPr>
            </w:pPr>
            <w:r>
              <w:rPr>
                <w:rFonts w:asciiTheme="minorHAnsi" w:hAnsiTheme="minorHAnsi" w:cs="Arial"/>
                <w:b/>
                <w:sz w:val="18"/>
                <w:szCs w:val="18"/>
              </w:rPr>
              <w:t>R/2875/2</w:t>
            </w:r>
          </w:p>
        </w:tc>
        <w:tc>
          <w:tcPr>
            <w:tcW w:w="2272" w:type="dxa"/>
          </w:tcPr>
          <w:p w:rsidR="00243D6A" w:rsidRPr="00DD727F" w:rsidRDefault="00243D6A" w:rsidP="009C1B86">
            <w:pPr>
              <w:spacing w:line="276" w:lineRule="auto"/>
              <w:rPr>
                <w:rFonts w:asciiTheme="minorHAnsi" w:hAnsiTheme="minorHAnsi" w:cs="Arial"/>
                <w:b/>
                <w:sz w:val="18"/>
                <w:szCs w:val="18"/>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DD727F" w:rsidRDefault="00DD727F" w:rsidP="009C1B86">
            <w:pPr>
              <w:spacing w:line="276" w:lineRule="auto"/>
              <w:rPr>
                <w:rFonts w:asciiTheme="minorHAnsi" w:hAnsiTheme="minorHAnsi" w:cs="Arial"/>
                <w:lang w:eastAsia="en-US"/>
              </w:rPr>
            </w:pPr>
            <w:r>
              <w:rPr>
                <w:rFonts w:asciiTheme="minorHAnsi" w:hAnsiTheme="minorHAnsi" w:cs="Arial"/>
                <w:lang w:eastAsia="en-US"/>
              </w:rPr>
              <w:t>13.12.2018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sz w:val="18"/>
                <w:szCs w:val="18"/>
                <w:lang w:eastAsia="en-US"/>
              </w:rPr>
            </w:pPr>
            <w:r w:rsidRPr="00DD727F">
              <w:rPr>
                <w:rFonts w:asciiTheme="minorHAnsi" w:hAnsiTheme="minorHAnsi" w:cs="Arial"/>
                <w:b/>
                <w:sz w:val="18"/>
                <w:szCs w:val="18"/>
                <w:lang w:eastAsia="en-US"/>
              </w:rPr>
              <w:t>Z/</w:t>
            </w:r>
            <w:r w:rsidR="006C5C5E">
              <w:rPr>
                <w:rFonts w:asciiTheme="minorHAnsi" w:hAnsiTheme="minorHAnsi" w:cs="Arial"/>
                <w:b/>
                <w:sz w:val="18"/>
                <w:szCs w:val="18"/>
                <w:lang w:eastAsia="en-US"/>
              </w:rPr>
              <w:t>1057/3</w:t>
            </w:r>
          </w:p>
        </w:tc>
        <w:tc>
          <w:tcPr>
            <w:tcW w:w="2272" w:type="dxa"/>
          </w:tcPr>
          <w:p w:rsidR="00243D6A" w:rsidRPr="00DD727F" w:rsidRDefault="00243D6A" w:rsidP="009C1B86">
            <w:pPr>
              <w:spacing w:line="276" w:lineRule="auto"/>
              <w:rPr>
                <w:rFonts w:asciiTheme="minorHAnsi" w:hAnsiTheme="minorHAnsi" w:cs="Arial"/>
                <w:b/>
                <w:sz w:val="18"/>
                <w:szCs w:val="18"/>
                <w:lang w:eastAsia="en-US"/>
              </w:rPr>
            </w:pPr>
          </w:p>
        </w:tc>
      </w:tr>
      <w:tr w:rsidR="00243D6A" w:rsidRPr="00DD727F"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sz w:val="18"/>
                <w:szCs w:val="18"/>
                <w:lang w:eastAsia="en-US"/>
              </w:rPr>
            </w:pPr>
            <w:proofErr w:type="gramStart"/>
            <w:r w:rsidRPr="00DD727F">
              <w:rPr>
                <w:rFonts w:asciiTheme="minorHAnsi" w:hAnsiTheme="minorHAnsi" w:cs="Arial"/>
                <w:b/>
                <w:sz w:val="18"/>
                <w:szCs w:val="18"/>
                <w:lang w:eastAsia="en-US"/>
              </w:rPr>
              <w:t>Od</w:t>
            </w:r>
            <w:proofErr w:type="gramEnd"/>
            <w:r w:rsidRPr="00DD727F">
              <w:rPr>
                <w:rFonts w:asciiTheme="minorHAnsi" w:hAnsiTheme="minorHAnsi"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sz w:val="18"/>
                <w:szCs w:val="18"/>
                <w:lang w:eastAsia="en-US"/>
              </w:rPr>
            </w:pPr>
            <w:proofErr w:type="gramStart"/>
            <w:r w:rsidRPr="00DD727F">
              <w:rPr>
                <w:rFonts w:asciiTheme="minorHAnsi" w:hAnsiTheme="minorHAnsi" w:cs="Arial"/>
                <w:b/>
                <w:sz w:val="18"/>
                <w:szCs w:val="18"/>
                <w:lang w:eastAsia="en-US"/>
              </w:rPr>
              <w:t>Do</w:t>
            </w:r>
            <w:proofErr w:type="gramEnd"/>
            <w:r w:rsidRPr="00DD727F">
              <w:rPr>
                <w:rFonts w:asciiTheme="minorHAnsi" w:hAnsiTheme="minorHAnsi" w:cs="Arial"/>
                <w:b/>
                <w:sz w:val="18"/>
                <w:szCs w:val="18"/>
                <w:lang w:eastAsia="en-US"/>
              </w:rPr>
              <w:t>:</w:t>
            </w:r>
          </w:p>
        </w:tc>
        <w:tc>
          <w:tcPr>
            <w:tcW w:w="1758" w:type="dxa"/>
          </w:tcPr>
          <w:p w:rsidR="00243D6A" w:rsidRPr="00DD727F" w:rsidRDefault="00243D6A" w:rsidP="009C1B86">
            <w:pPr>
              <w:spacing w:line="276" w:lineRule="auto"/>
              <w:rPr>
                <w:rFonts w:asciiTheme="minorHAnsi" w:hAnsiTheme="minorHAnsi" w:cs="Arial"/>
                <w:b/>
                <w:sz w:val="18"/>
                <w:szCs w:val="18"/>
                <w:lang w:eastAsia="en-US"/>
              </w:rPr>
            </w:pPr>
          </w:p>
        </w:tc>
        <w:tc>
          <w:tcPr>
            <w:tcW w:w="2272" w:type="dxa"/>
          </w:tcPr>
          <w:p w:rsidR="00243D6A" w:rsidRPr="00DD727F" w:rsidRDefault="00243D6A" w:rsidP="009C1B86">
            <w:pPr>
              <w:spacing w:line="276" w:lineRule="auto"/>
              <w:rPr>
                <w:rFonts w:asciiTheme="minorHAnsi" w:hAnsiTheme="minorHAnsi" w:cs="Arial"/>
                <w:b/>
                <w:sz w:val="18"/>
                <w:szCs w:val="18"/>
                <w:lang w:eastAsia="en-US"/>
              </w:rPr>
            </w:pPr>
          </w:p>
        </w:tc>
      </w:tr>
      <w:tr w:rsidR="00243D6A" w:rsidRPr="00DD727F" w:rsidTr="0091629D">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DD727F" w:rsidRDefault="00243D6A" w:rsidP="009C1B86">
            <w:pPr>
              <w:spacing w:line="276" w:lineRule="auto"/>
              <w:rPr>
                <w:rFonts w:asciiTheme="minorHAnsi" w:hAnsiTheme="minorHAnsi" w:cs="Arial"/>
                <w:b/>
                <w:lang w:eastAsia="en-US"/>
              </w:rPr>
            </w:pPr>
            <w:r w:rsidRPr="00DD727F">
              <w:rPr>
                <w:rFonts w:asciiTheme="minorHAnsi" w:hAnsiTheme="minorHAnsi"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243D6A" w:rsidRPr="00DD727F" w:rsidRDefault="00C70491" w:rsidP="009C1B86">
            <w:pPr>
              <w:spacing w:line="276" w:lineRule="auto"/>
              <w:rPr>
                <w:rFonts w:asciiTheme="minorHAnsi" w:hAnsiTheme="minorHAnsi" w:cs="Arial"/>
                <w:lang w:eastAsia="en-US"/>
              </w:rPr>
            </w:pPr>
            <w:r w:rsidRPr="00DD727F">
              <w:rPr>
                <w:rFonts w:asciiTheme="minorHAnsi" w:hAnsiTheme="minorHAnsi"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Pr="00DD727F" w:rsidRDefault="00C70491" w:rsidP="009C1B86">
            <w:pPr>
              <w:spacing w:line="276" w:lineRule="auto"/>
              <w:rPr>
                <w:rFonts w:asciiTheme="minorHAnsi" w:hAnsiTheme="minorHAnsi" w:cs="Arial"/>
                <w:lang w:eastAsia="en-US"/>
              </w:rPr>
            </w:pPr>
            <w:r w:rsidRPr="00DD727F">
              <w:rPr>
                <w:rFonts w:asciiTheme="minorHAnsi" w:hAnsiTheme="minorHAnsi" w:cs="Arial"/>
                <w:lang w:eastAsia="en-US"/>
              </w:rPr>
              <w:t xml:space="preserve">1. </w:t>
            </w:r>
            <w:r w:rsidR="00243D6A" w:rsidRPr="00DD727F">
              <w:rPr>
                <w:rFonts w:asciiTheme="minorHAnsi" w:hAnsiTheme="minorHAnsi"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DD727F" w:rsidRDefault="00243D6A" w:rsidP="009C1B86">
            <w:pPr>
              <w:spacing w:line="276" w:lineRule="auto"/>
              <w:rPr>
                <w:rFonts w:asciiTheme="minorHAnsi" w:hAnsiTheme="minorHAnsi" w:cs="Arial"/>
                <w:lang w:eastAsia="en-US"/>
              </w:rPr>
            </w:pPr>
          </w:p>
        </w:tc>
      </w:tr>
    </w:tbl>
    <w:p w:rsidR="00243D6A" w:rsidRPr="00DD727F" w:rsidRDefault="00243D6A" w:rsidP="00243D6A">
      <w:pPr>
        <w:rPr>
          <w:rFonts w:asciiTheme="minorHAnsi" w:hAnsiTheme="minorHAnsi"/>
        </w:rPr>
      </w:pPr>
    </w:p>
    <w:p w:rsidR="00BD4490" w:rsidRPr="00DD727F" w:rsidRDefault="00BD4490">
      <w:pPr>
        <w:rPr>
          <w:rFonts w:asciiTheme="minorHAnsi" w:hAnsiTheme="minorHAnsi"/>
        </w:rPr>
      </w:pPr>
    </w:p>
    <w:sectPr w:rsidR="00BD4490" w:rsidRPr="00DD727F">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C3" w:rsidRDefault="008A5DC3" w:rsidP="003B7B6A">
      <w:r>
        <w:separator/>
      </w:r>
    </w:p>
  </w:endnote>
  <w:endnote w:type="continuationSeparator" w:id="0">
    <w:p w:rsidR="008A5DC3" w:rsidRDefault="008A5DC3"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3B7B6A">
    <w:pPr>
      <w:pStyle w:val="Zpat"/>
      <w:jc w:val="right"/>
    </w:pPr>
    <w:r>
      <w:t>Partnerský spolek Litvínov, o.p.s.</w:t>
    </w:r>
    <w:r w:rsidR="00EA06BD">
      <w:t xml:space="preserve"> - o poskytnutí </w:t>
    </w:r>
    <w:r w:rsidR="006D1588">
      <w:t xml:space="preserve">neinvestiční </w:t>
    </w:r>
    <w:proofErr w:type="gramStart"/>
    <w:r w:rsidR="006D1588">
      <w:t>dotace  na</w:t>
    </w:r>
    <w:proofErr w:type="gramEnd"/>
    <w:r w:rsidR="006D1588">
      <w:t xml:space="preserve"> rok 2019</w:t>
    </w:r>
  </w:p>
  <w:p w:rsidR="00936E05" w:rsidRDefault="00EA06BD">
    <w:pPr>
      <w:pStyle w:val="Zpat"/>
      <w:jc w:val="right"/>
    </w:pPr>
    <w:r>
      <w:fldChar w:fldCharType="begin"/>
    </w:r>
    <w:r>
      <w:instrText xml:space="preserve"> PAGE </w:instrText>
    </w:r>
    <w:r>
      <w:fldChar w:fldCharType="separate"/>
    </w:r>
    <w:r w:rsidR="007C2083">
      <w:rPr>
        <w:noProof/>
      </w:rPr>
      <w:t>1</w:t>
    </w:r>
    <w:r>
      <w:fldChar w:fldCharType="end"/>
    </w:r>
  </w:p>
  <w:p w:rsidR="00936E05" w:rsidRDefault="008A5DC3">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C3" w:rsidRDefault="008A5DC3" w:rsidP="003B7B6A">
      <w:r>
        <w:separator/>
      </w:r>
    </w:p>
  </w:footnote>
  <w:footnote w:type="continuationSeparator" w:id="0">
    <w:p w:rsidR="008A5DC3" w:rsidRDefault="008A5DC3" w:rsidP="003B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EA06BD">
    <w:pPr>
      <w:pStyle w:val="Zhlav"/>
    </w:pPr>
    <w:r>
      <w:tab/>
    </w:r>
    <w:r>
      <w:tab/>
      <w:t>KT/</w:t>
    </w:r>
    <w:r w:rsidR="006D1588">
      <w:t>9916/18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6A"/>
    <w:rsid w:val="0009280B"/>
    <w:rsid w:val="000B3C99"/>
    <w:rsid w:val="0020425B"/>
    <w:rsid w:val="00243D6A"/>
    <w:rsid w:val="00260FE9"/>
    <w:rsid w:val="00346781"/>
    <w:rsid w:val="003B7B6A"/>
    <w:rsid w:val="004703DA"/>
    <w:rsid w:val="00556342"/>
    <w:rsid w:val="005B08DA"/>
    <w:rsid w:val="0069632C"/>
    <w:rsid w:val="006C5C5E"/>
    <w:rsid w:val="006D1588"/>
    <w:rsid w:val="00771D28"/>
    <w:rsid w:val="007B1CBA"/>
    <w:rsid w:val="007C2083"/>
    <w:rsid w:val="00807A3E"/>
    <w:rsid w:val="008200FD"/>
    <w:rsid w:val="008801BE"/>
    <w:rsid w:val="008A5DC3"/>
    <w:rsid w:val="0091629D"/>
    <w:rsid w:val="00B73DD5"/>
    <w:rsid w:val="00BA7AF8"/>
    <w:rsid w:val="00BC06A1"/>
    <w:rsid w:val="00BD4490"/>
    <w:rsid w:val="00BD4731"/>
    <w:rsid w:val="00C06EB4"/>
    <w:rsid w:val="00C17175"/>
    <w:rsid w:val="00C25B49"/>
    <w:rsid w:val="00C70491"/>
    <w:rsid w:val="00D73919"/>
    <w:rsid w:val="00D9340E"/>
    <w:rsid w:val="00DD4BD0"/>
    <w:rsid w:val="00DD727F"/>
    <w:rsid w:val="00E13615"/>
    <w:rsid w:val="00E75C9E"/>
    <w:rsid w:val="00E779C5"/>
    <w:rsid w:val="00EA06BD"/>
    <w:rsid w:val="00F10532"/>
    <w:rsid w:val="00F223DE"/>
    <w:rsid w:val="00F84479"/>
    <w:rsid w:val="00FC15FD"/>
    <w:rsid w:val="00FD6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748">
      <w:bodyDiv w:val="1"/>
      <w:marLeft w:val="0"/>
      <w:marRight w:val="0"/>
      <w:marTop w:val="0"/>
      <w:marBottom w:val="0"/>
      <w:divBdr>
        <w:top w:val="none" w:sz="0" w:space="0" w:color="auto"/>
        <w:left w:val="none" w:sz="0" w:space="0" w:color="auto"/>
        <w:bottom w:val="none" w:sz="0" w:space="0" w:color="auto"/>
        <w:right w:val="none" w:sz="0" w:space="0" w:color="auto"/>
      </w:divBdr>
    </w:div>
    <w:div w:id="523641745">
      <w:bodyDiv w:val="1"/>
      <w:marLeft w:val="0"/>
      <w:marRight w:val="0"/>
      <w:marTop w:val="0"/>
      <w:marBottom w:val="0"/>
      <w:divBdr>
        <w:top w:val="none" w:sz="0" w:space="0" w:color="auto"/>
        <w:left w:val="none" w:sz="0" w:space="0" w:color="auto"/>
        <w:bottom w:val="none" w:sz="0" w:space="0" w:color="auto"/>
        <w:right w:val="none" w:sz="0" w:space="0" w:color="auto"/>
      </w:divBdr>
    </w:div>
    <w:div w:id="610627082">
      <w:bodyDiv w:val="1"/>
      <w:marLeft w:val="0"/>
      <w:marRight w:val="0"/>
      <w:marTop w:val="0"/>
      <w:marBottom w:val="0"/>
      <w:divBdr>
        <w:top w:val="none" w:sz="0" w:space="0" w:color="auto"/>
        <w:left w:val="none" w:sz="0" w:space="0" w:color="auto"/>
        <w:bottom w:val="none" w:sz="0" w:space="0" w:color="auto"/>
        <w:right w:val="none" w:sz="0" w:space="0" w:color="auto"/>
      </w:divBdr>
    </w:div>
    <w:div w:id="1508129470">
      <w:bodyDiv w:val="1"/>
      <w:marLeft w:val="0"/>
      <w:marRight w:val="0"/>
      <w:marTop w:val="0"/>
      <w:marBottom w:val="0"/>
      <w:divBdr>
        <w:top w:val="none" w:sz="0" w:space="0" w:color="auto"/>
        <w:left w:val="none" w:sz="0" w:space="0" w:color="auto"/>
        <w:bottom w:val="none" w:sz="0" w:space="0" w:color="auto"/>
        <w:right w:val="none" w:sz="0" w:space="0" w:color="auto"/>
      </w:divBdr>
    </w:div>
    <w:div w:id="1524708876">
      <w:bodyDiv w:val="1"/>
      <w:marLeft w:val="0"/>
      <w:marRight w:val="0"/>
      <w:marTop w:val="0"/>
      <w:marBottom w:val="0"/>
      <w:divBdr>
        <w:top w:val="none" w:sz="0" w:space="0" w:color="auto"/>
        <w:left w:val="none" w:sz="0" w:space="0" w:color="auto"/>
        <w:bottom w:val="none" w:sz="0" w:space="0" w:color="auto"/>
        <w:right w:val="none" w:sz="0" w:space="0" w:color="auto"/>
      </w:divBdr>
    </w:div>
    <w:div w:id="20754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18727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2019-01-10T12:30:00Z</dcterms:created>
  <dcterms:modified xsi:type="dcterms:W3CDTF">2019-01-10T12:30:00Z</dcterms:modified>
</cp:coreProperties>
</file>