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7A5" w:rsidRDefault="003C47A5" w:rsidP="00243D6A">
      <w:pPr>
        <w:jc w:val="center"/>
        <w:rPr>
          <w:rFonts w:asciiTheme="minorHAnsi" w:hAnsiTheme="minorHAnsi" w:cstheme="minorHAnsi"/>
          <w:b/>
          <w:sz w:val="24"/>
          <w:szCs w:val="24"/>
        </w:rPr>
      </w:pPr>
    </w:p>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032F6D"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 xml:space="preserve">O POSKYTNUTÍ NEINVESTIČNÍ DOTACE </w:t>
      </w:r>
    </w:p>
    <w:p w:rsidR="00243D6A" w:rsidRDefault="00243D6A" w:rsidP="00243D6A">
      <w:pPr>
        <w:jc w:val="center"/>
        <w:rPr>
          <w:rFonts w:asciiTheme="minorHAnsi" w:hAnsiTheme="minorHAnsi" w:cstheme="minorHAnsi"/>
          <w:b/>
          <w:sz w:val="24"/>
          <w:szCs w:val="24"/>
        </w:rPr>
      </w:pPr>
      <w:r>
        <w:rPr>
          <w:rFonts w:asciiTheme="minorHAnsi" w:hAnsiTheme="minorHAnsi" w:cstheme="minorHAnsi"/>
          <w:b/>
          <w:sz w:val="24"/>
          <w:szCs w:val="24"/>
        </w:rPr>
        <w:t>č. KT/</w:t>
      </w:r>
      <w:r w:rsidR="000F6259">
        <w:rPr>
          <w:rFonts w:asciiTheme="minorHAnsi" w:hAnsiTheme="minorHAnsi" w:cstheme="minorHAnsi"/>
          <w:b/>
          <w:sz w:val="24"/>
          <w:szCs w:val="24"/>
        </w:rPr>
        <w:t>10077/18</w:t>
      </w:r>
    </w:p>
    <w:p w:rsidR="00243D6A" w:rsidRDefault="00243D6A" w:rsidP="00243D6A">
      <w:pPr>
        <w:pBdr>
          <w:bottom w:val="single" w:sz="6" w:space="1" w:color="000000"/>
        </w:pBdr>
        <w:jc w:val="center"/>
        <w:rPr>
          <w:rFonts w:asciiTheme="minorHAnsi" w:hAnsiTheme="minorHAnsi" w:cstheme="minorHAnsi"/>
          <w:b/>
          <w:sz w:val="10"/>
          <w:szCs w:val="10"/>
        </w:rPr>
      </w:pPr>
    </w:p>
    <w:p w:rsidR="00243D6A" w:rsidRDefault="00243D6A" w:rsidP="00243D6A">
      <w:pPr>
        <w:jc w:val="center"/>
        <w:rPr>
          <w:rFonts w:asciiTheme="minorHAnsi" w:hAnsiTheme="minorHAnsi" w:cstheme="minorHAnsi"/>
          <w:sz w:val="16"/>
          <w:szCs w:val="16"/>
        </w:rPr>
      </w:pPr>
    </w:p>
    <w:p w:rsidR="007A57CB" w:rsidRDefault="007A57CB" w:rsidP="007A57CB">
      <w:pPr>
        <w:jc w:val="center"/>
        <w:rPr>
          <w:rFonts w:asciiTheme="minorHAnsi" w:hAnsiTheme="minorHAnsi" w:cstheme="minorHAnsi"/>
          <w:sz w:val="16"/>
          <w:szCs w:val="16"/>
        </w:rPr>
      </w:pPr>
      <w:r>
        <w:rPr>
          <w:rFonts w:asciiTheme="minorHAnsi" w:hAnsiTheme="minorHAnsi" w:cstheme="minorHAnsi"/>
          <w:sz w:val="16"/>
          <w:szCs w:val="16"/>
        </w:rPr>
        <w:t xml:space="preserve">uzavřená ve smyslu </w:t>
      </w:r>
      <w:proofErr w:type="spellStart"/>
      <w:r>
        <w:rPr>
          <w:rFonts w:asciiTheme="minorHAnsi" w:hAnsiTheme="minorHAnsi" w:cstheme="minorHAnsi"/>
          <w:sz w:val="16"/>
          <w:szCs w:val="16"/>
        </w:rPr>
        <w:t>ust</w:t>
      </w:r>
      <w:proofErr w:type="spellEnd"/>
      <w:r>
        <w:rPr>
          <w:rFonts w:asciiTheme="minorHAnsi" w:hAnsiTheme="minorHAnsi" w:cstheme="minorHAnsi"/>
          <w:sz w:val="16"/>
          <w:szCs w:val="16"/>
        </w:rPr>
        <w:t xml:space="preserve">. § 159 a násl. zákona č. 500/2004 Sb., správní řád, ve znění pozdějších předpisů </w:t>
      </w:r>
    </w:p>
    <w:p w:rsidR="007A57CB" w:rsidRDefault="007A57CB" w:rsidP="007A57CB">
      <w:pPr>
        <w:jc w:val="center"/>
        <w:rPr>
          <w:rFonts w:asciiTheme="minorHAnsi" w:hAnsiTheme="minorHAnsi" w:cstheme="minorHAnsi"/>
        </w:rPr>
      </w:pPr>
      <w:r>
        <w:rPr>
          <w:rFonts w:asciiTheme="minorHAnsi" w:hAnsiTheme="minorHAnsi" w:cstheme="minorHAnsi"/>
          <w:sz w:val="16"/>
          <w:szCs w:val="16"/>
        </w:rPr>
        <w:t xml:space="preserve">a </w:t>
      </w:r>
      <w:proofErr w:type="spellStart"/>
      <w:r>
        <w:rPr>
          <w:rFonts w:asciiTheme="minorHAnsi" w:hAnsiTheme="minorHAnsi" w:cstheme="minorHAnsi"/>
          <w:sz w:val="16"/>
          <w:szCs w:val="16"/>
        </w:rPr>
        <w:t>ust</w:t>
      </w:r>
      <w:proofErr w:type="spellEnd"/>
      <w:r>
        <w:rPr>
          <w:rFonts w:asciiTheme="minorHAnsi" w:hAnsiTheme="minorHAnsi" w:cstheme="minorHAnsi"/>
          <w:sz w:val="16"/>
          <w:szCs w:val="16"/>
        </w:rPr>
        <w:t>. § 10a odst. 5 zákona č. 250/2000 Sb., o rozpočtových pravidlech územních rozpočtů, ve znění pozdějších předpisů</w:t>
      </w:r>
    </w:p>
    <w:p w:rsidR="007A57CB" w:rsidRDefault="007A57CB" w:rsidP="007A57CB">
      <w:pPr>
        <w:jc w:val="center"/>
        <w:rPr>
          <w:rFonts w:asciiTheme="minorHAnsi" w:hAnsiTheme="minorHAnsi" w:cstheme="minorHAnsi"/>
          <w:b/>
          <w:bCs/>
          <w:sz w:val="22"/>
          <w:szCs w:val="22"/>
        </w:rPr>
      </w:pPr>
    </w:p>
    <w:p w:rsidR="007A57CB" w:rsidRPr="00D64C29" w:rsidRDefault="007A57CB" w:rsidP="007A57CB">
      <w:pPr>
        <w:autoSpaceDE w:val="0"/>
        <w:adjustRightInd w:val="0"/>
        <w:jc w:val="center"/>
        <w:rPr>
          <w:rFonts w:asciiTheme="minorHAnsi" w:hAnsiTheme="minorHAnsi" w:cstheme="minorHAnsi"/>
          <w:b/>
        </w:rPr>
      </w:pPr>
      <w:r w:rsidRPr="00D64C29">
        <w:rPr>
          <w:rFonts w:asciiTheme="minorHAnsi" w:hAnsiTheme="minorHAnsi" w:cstheme="minorHAnsi"/>
          <w:b/>
        </w:rPr>
        <w:t>I.</w:t>
      </w:r>
    </w:p>
    <w:p w:rsidR="007A57CB" w:rsidRDefault="007A57CB" w:rsidP="007A57CB">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B6531C" w:rsidRPr="00B6531C" w:rsidRDefault="00B6531C" w:rsidP="00B6531C"/>
    <w:p w:rsidR="00C42060" w:rsidRDefault="00C42060" w:rsidP="00C42060">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w:t>
      </w:r>
      <w:proofErr w:type="gramStart"/>
      <w:r>
        <w:rPr>
          <w:rFonts w:asciiTheme="minorHAnsi" w:hAnsiTheme="minorHAnsi" w:cstheme="minorHAnsi"/>
          <w:sz w:val="20"/>
          <w:szCs w:val="20"/>
        </w:rPr>
        <w:t>13.12.2018</w:t>
      </w:r>
      <w:proofErr w:type="gramEnd"/>
      <w:r>
        <w:rPr>
          <w:rFonts w:asciiTheme="minorHAnsi" w:hAnsiTheme="minorHAnsi" w:cstheme="minorHAnsi"/>
          <w:sz w:val="20"/>
          <w:szCs w:val="20"/>
        </w:rPr>
        <w:t xml:space="preserve">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102 odst. 3/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243D6A" w:rsidRPr="008554AD" w:rsidRDefault="00243D6A" w:rsidP="00243D6A">
      <w:pPr>
        <w:autoSpaceDE w:val="0"/>
        <w:adjustRightInd w:val="0"/>
        <w:jc w:val="center"/>
        <w:rPr>
          <w:rFonts w:asciiTheme="minorHAnsi" w:hAnsiTheme="minorHAnsi" w:cstheme="minorHAnsi"/>
          <w:b/>
          <w:sz w:val="22"/>
          <w:szCs w:val="22"/>
        </w:rPr>
      </w:pPr>
    </w:p>
    <w:p w:rsidR="00243D6A" w:rsidRPr="008554AD" w:rsidRDefault="00243D6A" w:rsidP="00243D6A">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243D6A" w:rsidRPr="008554AD" w:rsidRDefault="00243D6A" w:rsidP="00243D6A">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243D6A" w:rsidRPr="008554AD" w:rsidRDefault="00243D6A" w:rsidP="00243D6A">
      <w:pPr>
        <w:jc w:val="both"/>
        <w:rPr>
          <w:rFonts w:asciiTheme="minorHAnsi" w:hAnsiTheme="minorHAnsi" w:cstheme="minorHAnsi"/>
          <w:b/>
          <w:bCs/>
          <w:sz w:val="22"/>
          <w:szCs w:val="22"/>
        </w:rPr>
      </w:pPr>
    </w:p>
    <w:p w:rsidR="00243D6A" w:rsidRPr="008554AD" w:rsidRDefault="00243D6A" w:rsidP="00243D6A">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243D6A" w:rsidRPr="008554AD" w:rsidRDefault="00243D6A" w:rsidP="00243D6A">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243D6A" w:rsidRPr="008554AD" w:rsidRDefault="00243D6A" w:rsidP="00243D6A">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243D6A" w:rsidRPr="008554AD" w:rsidRDefault="00243D6A" w:rsidP="00243D6A">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243D6A" w:rsidRPr="008554AD" w:rsidRDefault="00243D6A" w:rsidP="00243D6A">
      <w:pPr>
        <w:jc w:val="both"/>
        <w:rPr>
          <w:rFonts w:asciiTheme="minorHAnsi" w:hAnsiTheme="minorHAnsi" w:cstheme="minorHAnsi"/>
          <w:sz w:val="22"/>
          <w:szCs w:val="22"/>
        </w:rPr>
      </w:pPr>
    </w:p>
    <w:p w:rsidR="00243D6A" w:rsidRPr="008554AD" w:rsidRDefault="00243D6A" w:rsidP="00243D6A">
      <w:pPr>
        <w:pStyle w:val="Zkladntext3"/>
        <w:rPr>
          <w:rFonts w:asciiTheme="minorHAnsi" w:hAnsiTheme="minorHAnsi" w:cstheme="minorHAnsi"/>
          <w:sz w:val="22"/>
          <w:szCs w:val="22"/>
        </w:rPr>
      </w:pPr>
    </w:p>
    <w:p w:rsidR="00243D6A" w:rsidRPr="0018300F" w:rsidRDefault="00243D6A" w:rsidP="00243D6A">
      <w:pPr>
        <w:pStyle w:val="Zkladntext3"/>
        <w:spacing w:after="0"/>
        <w:rPr>
          <w:rFonts w:asciiTheme="minorHAnsi" w:hAnsiTheme="minorHAnsi" w:cstheme="minorHAnsi"/>
          <w:sz w:val="22"/>
          <w:szCs w:val="22"/>
        </w:rPr>
      </w:pPr>
      <w:r w:rsidRPr="0018300F">
        <w:rPr>
          <w:rFonts w:asciiTheme="minorHAnsi" w:hAnsiTheme="minorHAnsi" w:cstheme="minorHAnsi"/>
          <w:sz w:val="22"/>
          <w:szCs w:val="22"/>
        </w:rPr>
        <w:t xml:space="preserve">2. Příjemcem dotace podle této smlouvy je: </w:t>
      </w:r>
    </w:p>
    <w:p w:rsidR="00243D6A" w:rsidRPr="0018300F" w:rsidRDefault="00D617B5" w:rsidP="00243D6A">
      <w:pPr>
        <w:jc w:val="both"/>
        <w:rPr>
          <w:rFonts w:asciiTheme="minorHAnsi" w:hAnsiTheme="minorHAnsi" w:cstheme="minorHAnsi"/>
          <w:b/>
          <w:bCs/>
          <w:sz w:val="22"/>
          <w:szCs w:val="22"/>
        </w:rPr>
      </w:pPr>
      <w:r>
        <w:rPr>
          <w:rFonts w:asciiTheme="minorHAnsi" w:hAnsiTheme="minorHAnsi" w:cstheme="minorHAnsi"/>
          <w:b/>
          <w:bCs/>
          <w:sz w:val="22"/>
          <w:szCs w:val="22"/>
        </w:rPr>
        <w:t>Docela velké divadlo</w:t>
      </w:r>
      <w:r w:rsidR="0020425B">
        <w:rPr>
          <w:rFonts w:asciiTheme="minorHAnsi" w:hAnsiTheme="minorHAnsi" w:cstheme="minorHAnsi"/>
          <w:b/>
          <w:bCs/>
          <w:sz w:val="22"/>
          <w:szCs w:val="22"/>
        </w:rPr>
        <w:t>, o.p.s.</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zastoupené:</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D617B5">
        <w:rPr>
          <w:rFonts w:asciiTheme="minorHAnsi" w:hAnsiTheme="minorHAnsi" w:cstheme="minorHAnsi"/>
          <w:sz w:val="22"/>
          <w:szCs w:val="22"/>
        </w:rPr>
        <w:t xml:space="preserve">Mgr. Janou </w:t>
      </w:r>
      <w:proofErr w:type="spellStart"/>
      <w:r w:rsidR="00D617B5">
        <w:rPr>
          <w:rFonts w:asciiTheme="minorHAnsi" w:hAnsiTheme="minorHAnsi" w:cstheme="minorHAnsi"/>
          <w:sz w:val="22"/>
          <w:szCs w:val="22"/>
        </w:rPr>
        <w:t>Galinovou</w:t>
      </w:r>
      <w:proofErr w:type="spellEnd"/>
      <w:r w:rsidR="0020425B">
        <w:rPr>
          <w:rFonts w:asciiTheme="minorHAnsi" w:hAnsiTheme="minorHAnsi" w:cstheme="minorHAnsi"/>
          <w:sz w:val="22"/>
          <w:szCs w:val="22"/>
        </w:rPr>
        <w:t>, ředitelkou</w:t>
      </w:r>
    </w:p>
    <w:p w:rsidR="00243D6A" w:rsidRPr="0018300F" w:rsidRDefault="00243D6A" w:rsidP="00243D6A">
      <w:pPr>
        <w:jc w:val="both"/>
        <w:rPr>
          <w:rFonts w:asciiTheme="minorHAnsi" w:hAnsiTheme="minorHAnsi" w:cstheme="minorHAnsi"/>
          <w:sz w:val="22"/>
          <w:szCs w:val="22"/>
        </w:rPr>
      </w:pPr>
      <w:r w:rsidRPr="0018300F">
        <w:rPr>
          <w:rFonts w:asciiTheme="minorHAnsi" w:hAnsiTheme="minorHAnsi" w:cstheme="minorHAnsi"/>
          <w:sz w:val="22"/>
          <w:szCs w:val="22"/>
        </w:rPr>
        <w:t>sídlo:</w:t>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Pr="0018300F">
        <w:rPr>
          <w:rFonts w:asciiTheme="minorHAnsi" w:hAnsiTheme="minorHAnsi" w:cstheme="minorHAnsi"/>
          <w:sz w:val="22"/>
          <w:szCs w:val="22"/>
        </w:rPr>
        <w:tab/>
      </w:r>
      <w:r w:rsidR="00D617B5">
        <w:rPr>
          <w:rFonts w:asciiTheme="minorHAnsi" w:hAnsiTheme="minorHAnsi" w:cstheme="minorHAnsi"/>
          <w:sz w:val="22"/>
          <w:szCs w:val="22"/>
        </w:rPr>
        <w:t xml:space="preserve">Rooseveltova </w:t>
      </w:r>
      <w:r w:rsidR="00265D65">
        <w:rPr>
          <w:rFonts w:asciiTheme="minorHAnsi" w:hAnsiTheme="minorHAnsi" w:cstheme="minorHAnsi"/>
          <w:sz w:val="22"/>
          <w:szCs w:val="22"/>
        </w:rPr>
        <w:t>2</w:t>
      </w:r>
      <w:r w:rsidR="00D617B5">
        <w:rPr>
          <w:rFonts w:asciiTheme="minorHAnsi" w:hAnsiTheme="minorHAnsi" w:cstheme="minorHAnsi"/>
          <w:sz w:val="22"/>
          <w:szCs w:val="22"/>
        </w:rPr>
        <w:t>79</w:t>
      </w:r>
      <w:r w:rsidRPr="0018300F">
        <w:rPr>
          <w:rFonts w:asciiTheme="minorHAnsi" w:hAnsiTheme="minorHAnsi" w:cstheme="minorHAnsi"/>
          <w:sz w:val="22"/>
          <w:szCs w:val="22"/>
        </w:rPr>
        <w:t>, 436 01 Litvínov</w:t>
      </w:r>
    </w:p>
    <w:p w:rsidR="00415FD3" w:rsidRPr="00415FD3" w:rsidRDefault="00415FD3" w:rsidP="00415FD3">
      <w:pPr>
        <w:tabs>
          <w:tab w:val="left" w:pos="360"/>
        </w:tabs>
        <w:ind w:right="51"/>
        <w:rPr>
          <w:rFonts w:asciiTheme="minorHAnsi" w:hAnsiTheme="minorHAnsi" w:cstheme="minorHAnsi"/>
          <w:sz w:val="22"/>
          <w:szCs w:val="22"/>
        </w:rPr>
      </w:pPr>
      <w:r w:rsidRPr="00415FD3">
        <w:rPr>
          <w:rFonts w:asciiTheme="minorHAnsi" w:hAnsiTheme="minorHAnsi" w:cstheme="minorHAnsi"/>
          <w:sz w:val="22"/>
          <w:szCs w:val="22"/>
        </w:rPr>
        <w:t>IČO:</w:t>
      </w:r>
      <w:r w:rsidRPr="00415FD3">
        <w:rPr>
          <w:rFonts w:asciiTheme="minorHAnsi" w:hAnsiTheme="minorHAnsi" w:cstheme="minorHAnsi"/>
          <w:sz w:val="22"/>
          <w:szCs w:val="22"/>
        </w:rPr>
        <w:tab/>
      </w:r>
      <w:r w:rsidRPr="00415FD3">
        <w:rPr>
          <w:rFonts w:asciiTheme="minorHAnsi" w:hAnsiTheme="minorHAnsi" w:cstheme="minorHAnsi"/>
          <w:sz w:val="22"/>
          <w:szCs w:val="22"/>
        </w:rPr>
        <w:tab/>
      </w:r>
      <w:r w:rsidRPr="00415FD3">
        <w:rPr>
          <w:rFonts w:asciiTheme="minorHAnsi" w:hAnsiTheme="minorHAnsi" w:cstheme="minorHAnsi"/>
          <w:sz w:val="22"/>
          <w:szCs w:val="22"/>
        </w:rPr>
        <w:tab/>
      </w:r>
      <w:r w:rsidRPr="00415FD3">
        <w:rPr>
          <w:rFonts w:asciiTheme="minorHAnsi" w:hAnsiTheme="minorHAnsi" w:cstheme="minorHAnsi"/>
          <w:sz w:val="22"/>
          <w:szCs w:val="22"/>
        </w:rPr>
        <w:tab/>
        <w:t>70856656</w:t>
      </w:r>
    </w:p>
    <w:p w:rsidR="00415FD3" w:rsidRPr="00415FD3" w:rsidRDefault="00415FD3" w:rsidP="00415FD3">
      <w:pPr>
        <w:tabs>
          <w:tab w:val="left" w:pos="360"/>
        </w:tabs>
        <w:ind w:right="51"/>
        <w:rPr>
          <w:rFonts w:asciiTheme="minorHAnsi" w:hAnsiTheme="minorHAnsi" w:cstheme="minorHAnsi"/>
          <w:sz w:val="22"/>
          <w:szCs w:val="22"/>
        </w:rPr>
      </w:pPr>
      <w:r w:rsidRPr="00415FD3">
        <w:rPr>
          <w:rFonts w:asciiTheme="minorHAnsi" w:hAnsiTheme="minorHAnsi" w:cstheme="minorHAnsi"/>
          <w:sz w:val="22"/>
          <w:szCs w:val="22"/>
        </w:rPr>
        <w:t>DIČ:</w:t>
      </w:r>
      <w:r w:rsidRPr="00415FD3">
        <w:rPr>
          <w:rFonts w:asciiTheme="minorHAnsi" w:hAnsiTheme="minorHAnsi" w:cstheme="minorHAnsi"/>
          <w:sz w:val="22"/>
          <w:szCs w:val="22"/>
        </w:rPr>
        <w:tab/>
      </w:r>
      <w:r w:rsidRPr="00415FD3">
        <w:rPr>
          <w:rFonts w:asciiTheme="minorHAnsi" w:hAnsiTheme="minorHAnsi" w:cstheme="minorHAnsi"/>
          <w:sz w:val="22"/>
          <w:szCs w:val="22"/>
        </w:rPr>
        <w:tab/>
      </w:r>
      <w:r w:rsidRPr="00415FD3">
        <w:rPr>
          <w:rFonts w:asciiTheme="minorHAnsi" w:hAnsiTheme="minorHAnsi" w:cstheme="minorHAnsi"/>
          <w:sz w:val="22"/>
          <w:szCs w:val="22"/>
        </w:rPr>
        <w:tab/>
      </w:r>
      <w:r w:rsidRPr="00415FD3">
        <w:rPr>
          <w:rFonts w:asciiTheme="minorHAnsi" w:hAnsiTheme="minorHAnsi" w:cstheme="minorHAnsi"/>
          <w:sz w:val="22"/>
          <w:szCs w:val="22"/>
        </w:rPr>
        <w:tab/>
        <w:t>CZ70856656</w:t>
      </w:r>
    </w:p>
    <w:p w:rsidR="00415FD3" w:rsidRPr="00415FD3" w:rsidRDefault="00415FD3" w:rsidP="00415FD3">
      <w:pPr>
        <w:tabs>
          <w:tab w:val="left" w:pos="360"/>
        </w:tabs>
        <w:ind w:right="51"/>
        <w:rPr>
          <w:rFonts w:asciiTheme="minorHAnsi" w:hAnsiTheme="minorHAnsi" w:cstheme="minorHAnsi"/>
          <w:sz w:val="22"/>
          <w:szCs w:val="22"/>
        </w:rPr>
      </w:pPr>
      <w:r w:rsidRPr="00415FD3">
        <w:rPr>
          <w:rFonts w:asciiTheme="minorHAnsi" w:hAnsiTheme="minorHAnsi" w:cstheme="minorHAnsi"/>
          <w:sz w:val="22"/>
          <w:szCs w:val="22"/>
        </w:rPr>
        <w:t>ba</w:t>
      </w:r>
      <w:r w:rsidR="001310A0">
        <w:rPr>
          <w:rFonts w:asciiTheme="minorHAnsi" w:hAnsiTheme="minorHAnsi" w:cstheme="minorHAnsi"/>
          <w:sz w:val="22"/>
          <w:szCs w:val="22"/>
        </w:rPr>
        <w:t>nkovní spojení:</w:t>
      </w:r>
      <w:r w:rsidR="001310A0">
        <w:rPr>
          <w:rFonts w:asciiTheme="minorHAnsi" w:hAnsiTheme="minorHAnsi" w:cstheme="minorHAnsi"/>
          <w:sz w:val="22"/>
          <w:szCs w:val="22"/>
        </w:rPr>
        <w:tab/>
      </w:r>
      <w:r w:rsidR="001310A0">
        <w:rPr>
          <w:rFonts w:asciiTheme="minorHAnsi" w:hAnsiTheme="minorHAnsi" w:cstheme="minorHAnsi"/>
          <w:sz w:val="22"/>
          <w:szCs w:val="22"/>
        </w:rPr>
        <w:tab/>
      </w:r>
      <w:proofErr w:type="spellStart"/>
      <w:r w:rsidR="00820507">
        <w:rPr>
          <w:rFonts w:asciiTheme="minorHAnsi" w:hAnsiTheme="minorHAnsi" w:cstheme="minorHAnsi"/>
          <w:sz w:val="22"/>
          <w:szCs w:val="22"/>
        </w:rPr>
        <w:t>xxxxxxxxxxx</w:t>
      </w:r>
      <w:proofErr w:type="spellEnd"/>
    </w:p>
    <w:p w:rsidR="00415FD3" w:rsidRDefault="00415FD3" w:rsidP="00415FD3">
      <w:pPr>
        <w:tabs>
          <w:tab w:val="left" w:pos="360"/>
        </w:tabs>
        <w:ind w:right="51"/>
        <w:rPr>
          <w:rFonts w:asciiTheme="minorHAnsi" w:hAnsiTheme="minorHAnsi" w:cstheme="minorHAnsi"/>
          <w:sz w:val="22"/>
          <w:szCs w:val="22"/>
        </w:rPr>
      </w:pPr>
      <w:r w:rsidRPr="00415FD3">
        <w:rPr>
          <w:rFonts w:asciiTheme="minorHAnsi" w:hAnsiTheme="minorHAnsi" w:cstheme="minorHAnsi"/>
          <w:sz w:val="22"/>
          <w:szCs w:val="22"/>
        </w:rPr>
        <w:t>číslo účtu:</w:t>
      </w:r>
      <w:r w:rsidRPr="00415FD3">
        <w:rPr>
          <w:rFonts w:asciiTheme="minorHAnsi" w:hAnsiTheme="minorHAnsi" w:cstheme="minorHAnsi"/>
          <w:sz w:val="22"/>
          <w:szCs w:val="22"/>
        </w:rPr>
        <w:tab/>
      </w:r>
      <w:r w:rsidRPr="00415FD3">
        <w:rPr>
          <w:rFonts w:asciiTheme="minorHAnsi" w:hAnsiTheme="minorHAnsi" w:cstheme="minorHAnsi"/>
          <w:sz w:val="22"/>
          <w:szCs w:val="22"/>
        </w:rPr>
        <w:tab/>
      </w:r>
      <w:r w:rsidRPr="00415FD3">
        <w:rPr>
          <w:rFonts w:asciiTheme="minorHAnsi" w:hAnsiTheme="minorHAnsi" w:cstheme="minorHAnsi"/>
          <w:sz w:val="22"/>
          <w:szCs w:val="22"/>
        </w:rPr>
        <w:tab/>
      </w:r>
      <w:r w:rsidR="00820507">
        <w:rPr>
          <w:rFonts w:asciiTheme="minorHAnsi" w:hAnsiTheme="minorHAnsi" w:cstheme="minorHAnsi"/>
          <w:sz w:val="22"/>
          <w:szCs w:val="22"/>
        </w:rPr>
        <w:t>xxxxxxxxxxxxxx</w:t>
      </w:r>
      <w:bookmarkStart w:id="0" w:name="_GoBack"/>
      <w:bookmarkEnd w:id="0"/>
      <w:r w:rsidRPr="00415FD3">
        <w:rPr>
          <w:rFonts w:asciiTheme="minorHAnsi" w:hAnsiTheme="minorHAnsi" w:cstheme="minorHAnsi"/>
          <w:sz w:val="22"/>
          <w:szCs w:val="22"/>
        </w:rPr>
        <w:t xml:space="preserve"> </w:t>
      </w:r>
    </w:p>
    <w:p w:rsidR="00243D6A" w:rsidRPr="008554AD" w:rsidRDefault="00243D6A" w:rsidP="00415FD3">
      <w:pPr>
        <w:tabs>
          <w:tab w:val="left" w:pos="360"/>
        </w:tabs>
        <w:ind w:right="51"/>
        <w:rPr>
          <w:rFonts w:asciiTheme="minorHAnsi" w:hAnsiTheme="minorHAnsi" w:cstheme="minorHAnsi"/>
          <w:sz w:val="22"/>
          <w:szCs w:val="22"/>
        </w:rPr>
      </w:pPr>
      <w:r w:rsidRPr="0018300F">
        <w:rPr>
          <w:rFonts w:asciiTheme="minorHAnsi" w:hAnsiTheme="minorHAnsi" w:cstheme="minorHAnsi"/>
          <w:sz w:val="22"/>
          <w:szCs w:val="22"/>
        </w:rPr>
        <w:t>(dále také jako „</w:t>
      </w:r>
      <w:r w:rsidRPr="0018300F">
        <w:rPr>
          <w:rFonts w:asciiTheme="minorHAnsi" w:hAnsiTheme="minorHAnsi" w:cstheme="minorHAnsi"/>
          <w:i/>
          <w:sz w:val="22"/>
          <w:szCs w:val="22"/>
        </w:rPr>
        <w:t>příjemce</w:t>
      </w:r>
      <w:r w:rsidRPr="0018300F">
        <w:rPr>
          <w:rFonts w:asciiTheme="minorHAnsi" w:hAnsiTheme="minorHAnsi" w:cstheme="minorHAnsi"/>
          <w:sz w:val="22"/>
          <w:szCs w:val="22"/>
        </w:rPr>
        <w:t>“)</w:t>
      </w:r>
    </w:p>
    <w:p w:rsidR="00243D6A" w:rsidRPr="008554AD" w:rsidRDefault="00243D6A" w:rsidP="00243D6A">
      <w:pPr>
        <w:tabs>
          <w:tab w:val="left" w:pos="360"/>
        </w:tabs>
        <w:ind w:right="51"/>
        <w:rPr>
          <w:rFonts w:asciiTheme="minorHAnsi" w:hAnsiTheme="minorHAnsi" w:cstheme="minorHAnsi"/>
          <w:sz w:val="22"/>
          <w:szCs w:val="22"/>
        </w:rPr>
      </w:pPr>
    </w:p>
    <w:p w:rsidR="00243D6A" w:rsidRPr="008554AD" w:rsidRDefault="00243D6A" w:rsidP="00243D6A">
      <w:pPr>
        <w:tabs>
          <w:tab w:val="left" w:pos="360"/>
        </w:tabs>
        <w:ind w:right="51"/>
        <w:rPr>
          <w:rFonts w:asciiTheme="minorHAnsi" w:hAnsiTheme="minorHAnsi" w:cstheme="minorHAnsi"/>
          <w:sz w:val="22"/>
          <w:szCs w:val="22"/>
        </w:rPr>
      </w:pP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243D6A" w:rsidRDefault="00243D6A" w:rsidP="00243D6A">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243D6A" w:rsidRPr="008554AD" w:rsidRDefault="00243D6A" w:rsidP="00243D6A">
      <w:pPr>
        <w:tabs>
          <w:tab w:val="left" w:pos="360"/>
        </w:tabs>
        <w:ind w:right="51"/>
        <w:jc w:val="center"/>
        <w:rPr>
          <w:rFonts w:asciiTheme="minorHAnsi" w:hAnsiTheme="minorHAnsi" w:cstheme="minorHAnsi"/>
          <w:b/>
          <w:sz w:val="22"/>
          <w:szCs w:val="22"/>
        </w:rPr>
      </w:pPr>
    </w:p>
    <w:p w:rsidR="00265D65" w:rsidRDefault="00243D6A" w:rsidP="00243D6A">
      <w:pPr>
        <w:tabs>
          <w:tab w:val="left" w:pos="360"/>
        </w:tabs>
        <w:ind w:right="51"/>
        <w:jc w:val="both"/>
        <w:rPr>
          <w:rFonts w:asciiTheme="minorHAnsi" w:hAnsiTheme="minorHAnsi" w:cstheme="minorHAnsi"/>
          <w:b/>
          <w:sz w:val="22"/>
          <w:szCs w:val="22"/>
        </w:rPr>
      </w:pPr>
      <w:r w:rsidRPr="008554AD">
        <w:rPr>
          <w:rFonts w:asciiTheme="minorHAnsi" w:hAnsiTheme="minorHAnsi" w:cstheme="minorHAnsi"/>
          <w:sz w:val="22"/>
          <w:szCs w:val="22"/>
        </w:rPr>
        <w:t>1.</w:t>
      </w:r>
      <w:r w:rsidRPr="008554AD">
        <w:rPr>
          <w:rFonts w:asciiTheme="minorHAnsi" w:hAnsiTheme="minorHAnsi" w:cstheme="minorHAnsi"/>
          <w:sz w:val="22"/>
          <w:szCs w:val="22"/>
        </w:rPr>
        <w:tab/>
        <w:t xml:space="preserve">Účelem dotace je poskytnutí peněžních prostředků na realizaci projektu </w:t>
      </w:r>
      <w:r w:rsidR="006A2A63">
        <w:rPr>
          <w:rFonts w:asciiTheme="minorHAnsi" w:hAnsiTheme="minorHAnsi" w:cstheme="minorHAnsi"/>
          <w:b/>
          <w:sz w:val="22"/>
          <w:szCs w:val="22"/>
        </w:rPr>
        <w:t xml:space="preserve">Docela velké divadlo, </w:t>
      </w:r>
    </w:p>
    <w:p w:rsidR="00243D6A" w:rsidRPr="008554AD" w:rsidRDefault="006A2A63" w:rsidP="00243D6A">
      <w:pPr>
        <w:tabs>
          <w:tab w:val="left" w:pos="360"/>
        </w:tabs>
        <w:ind w:right="51"/>
        <w:jc w:val="both"/>
        <w:rPr>
          <w:rFonts w:asciiTheme="minorHAnsi" w:hAnsiTheme="minorHAnsi" w:cstheme="minorHAnsi"/>
          <w:sz w:val="22"/>
          <w:szCs w:val="22"/>
        </w:rPr>
      </w:pPr>
      <w:r>
        <w:rPr>
          <w:rFonts w:asciiTheme="minorHAnsi" w:hAnsiTheme="minorHAnsi" w:cstheme="minorHAnsi"/>
          <w:b/>
          <w:sz w:val="22"/>
          <w:szCs w:val="22"/>
        </w:rPr>
        <w:t>o.</w:t>
      </w:r>
      <w:r w:rsidR="00F42AF7">
        <w:rPr>
          <w:rFonts w:asciiTheme="minorHAnsi" w:hAnsiTheme="minorHAnsi" w:cstheme="minorHAnsi"/>
          <w:b/>
          <w:sz w:val="22"/>
          <w:szCs w:val="22"/>
        </w:rPr>
        <w:t xml:space="preserve"> </w:t>
      </w:r>
      <w:proofErr w:type="gramStart"/>
      <w:r>
        <w:rPr>
          <w:rFonts w:asciiTheme="minorHAnsi" w:hAnsiTheme="minorHAnsi" w:cstheme="minorHAnsi"/>
          <w:b/>
          <w:sz w:val="22"/>
          <w:szCs w:val="22"/>
        </w:rPr>
        <w:t>p.</w:t>
      </w:r>
      <w:r w:rsidR="00F42AF7">
        <w:rPr>
          <w:rFonts w:asciiTheme="minorHAnsi" w:hAnsiTheme="minorHAnsi" w:cstheme="minorHAnsi"/>
          <w:b/>
          <w:sz w:val="22"/>
          <w:szCs w:val="22"/>
        </w:rPr>
        <w:t xml:space="preserve"> </w:t>
      </w:r>
      <w:r>
        <w:rPr>
          <w:rFonts w:asciiTheme="minorHAnsi" w:hAnsiTheme="minorHAnsi" w:cstheme="minorHAnsi"/>
          <w:b/>
          <w:sz w:val="22"/>
          <w:szCs w:val="22"/>
        </w:rPr>
        <w:t xml:space="preserve">s </w:t>
      </w:r>
      <w:r w:rsidR="00243D6A">
        <w:rPr>
          <w:rFonts w:asciiTheme="minorHAnsi" w:hAnsiTheme="minorHAnsi" w:cstheme="minorHAnsi"/>
          <w:sz w:val="22"/>
          <w:szCs w:val="22"/>
        </w:rPr>
        <w:t xml:space="preserve"> </w:t>
      </w:r>
      <w:r>
        <w:rPr>
          <w:rFonts w:asciiTheme="minorHAnsi" w:hAnsiTheme="minorHAnsi" w:cstheme="minorHAnsi"/>
          <w:sz w:val="22"/>
          <w:szCs w:val="22"/>
        </w:rPr>
        <w:t>(dále</w:t>
      </w:r>
      <w:proofErr w:type="gramEnd"/>
      <w:r>
        <w:rPr>
          <w:rFonts w:asciiTheme="minorHAnsi" w:hAnsiTheme="minorHAnsi" w:cstheme="minorHAnsi"/>
          <w:sz w:val="22"/>
          <w:szCs w:val="22"/>
        </w:rPr>
        <w:t xml:space="preserve"> jen „projekt“).</w:t>
      </w:r>
    </w:p>
    <w:p w:rsidR="00243D6A" w:rsidRPr="008554AD" w:rsidRDefault="00243D6A" w:rsidP="00243D6A">
      <w:pPr>
        <w:tabs>
          <w:tab w:val="left" w:pos="360"/>
        </w:tabs>
        <w:ind w:right="51"/>
        <w:jc w:val="both"/>
        <w:rPr>
          <w:rFonts w:asciiTheme="minorHAnsi" w:hAnsiTheme="minorHAnsi" w:cstheme="minorHAnsi"/>
          <w:sz w:val="22"/>
          <w:szCs w:val="22"/>
        </w:rPr>
      </w:pPr>
    </w:p>
    <w:p w:rsidR="00B6531C" w:rsidRPr="008554AD" w:rsidRDefault="00B6531C" w:rsidP="00B6531C">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Projekt bude re</w:t>
      </w:r>
      <w:r>
        <w:rPr>
          <w:rFonts w:asciiTheme="minorHAnsi" w:hAnsiTheme="minorHAnsi" w:cstheme="minorHAnsi"/>
          <w:sz w:val="22"/>
          <w:szCs w:val="22"/>
        </w:rPr>
        <w:t>alizován v termínu od 1. 1. 2019 do 31. 12. 2019</w:t>
      </w:r>
      <w:r w:rsidRPr="008554AD">
        <w:rPr>
          <w:rFonts w:asciiTheme="minorHAnsi" w:hAnsiTheme="minorHAnsi" w:cstheme="minorHAnsi"/>
          <w:sz w:val="22"/>
          <w:szCs w:val="22"/>
        </w:rPr>
        <w:t xml:space="preserve">. Ukončení projektu je rovněž konečným termínem, kdy má být dosaženo účelu dotace. </w:t>
      </w:r>
    </w:p>
    <w:p w:rsidR="00B6531C" w:rsidRPr="008554AD" w:rsidRDefault="00B6531C" w:rsidP="00B6531C">
      <w:pPr>
        <w:tabs>
          <w:tab w:val="left" w:pos="360"/>
        </w:tabs>
        <w:ind w:right="51"/>
        <w:jc w:val="both"/>
        <w:rPr>
          <w:rFonts w:asciiTheme="minorHAnsi" w:hAnsiTheme="minorHAnsi" w:cstheme="minorHAnsi"/>
          <w:sz w:val="22"/>
          <w:szCs w:val="22"/>
        </w:rPr>
      </w:pPr>
    </w:p>
    <w:p w:rsidR="00B6531C" w:rsidRDefault="00B6531C" w:rsidP="00B6531C">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článku.</w:t>
      </w:r>
    </w:p>
    <w:p w:rsidR="00243D6A" w:rsidRPr="008554AD" w:rsidRDefault="00243D6A" w:rsidP="00243D6A">
      <w:pPr>
        <w:tabs>
          <w:tab w:val="left" w:pos="360"/>
        </w:tabs>
        <w:ind w:right="51"/>
        <w:jc w:val="both"/>
        <w:rPr>
          <w:rFonts w:asciiTheme="minorHAnsi" w:hAnsiTheme="minorHAnsi" w:cstheme="minorHAnsi"/>
          <w:sz w:val="22"/>
          <w:szCs w:val="22"/>
        </w:rPr>
      </w:pPr>
    </w:p>
    <w:p w:rsidR="00243D6A" w:rsidRDefault="00243D6A" w:rsidP="00243D6A">
      <w:pPr>
        <w:tabs>
          <w:tab w:val="left" w:pos="360"/>
        </w:tabs>
        <w:ind w:right="51"/>
        <w:jc w:val="both"/>
        <w:rPr>
          <w:rFonts w:ascii="Calibri" w:hAnsi="Calibri" w:cs="Calibri"/>
          <w:sz w:val="22"/>
          <w:szCs w:val="22"/>
        </w:rPr>
      </w:pP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IV.</w:t>
      </w:r>
    </w:p>
    <w:p w:rsidR="00243D6A" w:rsidRDefault="00243D6A" w:rsidP="00243D6A">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243D6A" w:rsidRDefault="00243D6A" w:rsidP="00243D6A">
      <w:pPr>
        <w:tabs>
          <w:tab w:val="left" w:pos="360"/>
        </w:tabs>
        <w:ind w:right="51"/>
        <w:jc w:val="center"/>
        <w:rPr>
          <w:rFonts w:ascii="Calibri" w:hAnsi="Calibri" w:cs="Calibri"/>
          <w:b/>
          <w:sz w:val="22"/>
          <w:szCs w:val="22"/>
        </w:rPr>
      </w:pPr>
    </w:p>
    <w:p w:rsidR="00243D6A" w:rsidRDefault="00243D6A" w:rsidP="00243D6A">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B6531C" w:rsidRDefault="00243D6A" w:rsidP="00B6531C">
      <w:pPr>
        <w:jc w:val="both"/>
        <w:rPr>
          <w:rFonts w:ascii="Calibri" w:hAnsi="Calibri" w:cs="Calibri"/>
          <w:sz w:val="22"/>
          <w:szCs w:val="22"/>
        </w:rPr>
      </w:pPr>
      <w:r>
        <w:rPr>
          <w:rFonts w:ascii="Calibri" w:hAnsi="Calibri" w:cs="Calibri"/>
          <w:sz w:val="22"/>
          <w:szCs w:val="22"/>
        </w:rPr>
        <w:t xml:space="preserve">Celková výše dotace, tj. </w:t>
      </w:r>
      <w:r w:rsidR="007B0088" w:rsidRPr="007B0088">
        <w:rPr>
          <w:rFonts w:ascii="Calibri" w:hAnsi="Calibri" w:cs="Calibri"/>
          <w:b/>
          <w:sz w:val="22"/>
          <w:szCs w:val="22"/>
        </w:rPr>
        <w:t>500.000</w:t>
      </w:r>
      <w:r w:rsidRPr="00960533">
        <w:rPr>
          <w:rFonts w:ascii="Calibri" w:hAnsi="Calibri" w:cs="Calibri"/>
          <w:b/>
          <w:sz w:val="22"/>
          <w:szCs w:val="22"/>
        </w:rPr>
        <w:t xml:space="preserve"> Kč</w:t>
      </w:r>
      <w:r>
        <w:rPr>
          <w:rFonts w:ascii="Calibri" w:hAnsi="Calibri" w:cs="Calibri"/>
          <w:sz w:val="22"/>
          <w:szCs w:val="22"/>
        </w:rPr>
        <w:t xml:space="preserve"> (slovy: </w:t>
      </w:r>
      <w:r w:rsidR="003C47A5">
        <w:rPr>
          <w:rFonts w:ascii="Calibri" w:hAnsi="Calibri" w:cs="Calibri"/>
          <w:sz w:val="22"/>
          <w:szCs w:val="22"/>
        </w:rPr>
        <w:t>Pět set tisíc</w:t>
      </w:r>
      <w:r>
        <w:rPr>
          <w:rFonts w:ascii="Calibri" w:hAnsi="Calibri" w:cs="Calibri"/>
          <w:sz w:val="22"/>
          <w:szCs w:val="22"/>
        </w:rPr>
        <w:t xml:space="preserve"> korun českých), </w:t>
      </w:r>
      <w:r w:rsidR="007A2DF5">
        <w:rPr>
          <w:rFonts w:ascii="Calibri" w:hAnsi="Calibri" w:cs="Calibri"/>
          <w:sz w:val="22"/>
          <w:szCs w:val="22"/>
        </w:rPr>
        <w:t>bude vyplacena ode dne zveřejnění smlouvy v registru smluv takto:</w:t>
      </w:r>
    </w:p>
    <w:p w:rsidR="003B7B6A" w:rsidRPr="003B7B6A" w:rsidRDefault="003B7B6A" w:rsidP="003B7B6A">
      <w:pPr>
        <w:jc w:val="both"/>
        <w:rPr>
          <w:rFonts w:ascii="Calibri" w:hAnsi="Calibri" w:cs="Calibri"/>
          <w:sz w:val="22"/>
          <w:szCs w:val="22"/>
        </w:rPr>
      </w:pPr>
      <w:r>
        <w:rPr>
          <w:rFonts w:ascii="Calibri" w:hAnsi="Calibri" w:cs="Calibri"/>
          <w:sz w:val="22"/>
          <w:szCs w:val="22"/>
        </w:rPr>
        <w:t>Splátkový</w:t>
      </w:r>
      <w:r w:rsidRPr="003B7B6A">
        <w:rPr>
          <w:rFonts w:ascii="Calibri" w:hAnsi="Calibri" w:cs="Calibri"/>
          <w:sz w:val="22"/>
          <w:szCs w:val="22"/>
        </w:rPr>
        <w:t xml:space="preserve"> kalendář:</w:t>
      </w:r>
    </w:p>
    <w:p w:rsidR="00415FD3" w:rsidRPr="00415FD3" w:rsidRDefault="00415FD3" w:rsidP="00415FD3">
      <w:pPr>
        <w:jc w:val="both"/>
        <w:rPr>
          <w:rFonts w:ascii="Calibri" w:hAnsi="Calibri" w:cs="Calibri"/>
          <w:sz w:val="22"/>
          <w:szCs w:val="22"/>
        </w:rPr>
      </w:pPr>
      <w:r w:rsidRPr="00415FD3">
        <w:rPr>
          <w:rFonts w:ascii="Calibri" w:hAnsi="Calibri" w:cs="Calibri"/>
          <w:sz w:val="22"/>
          <w:szCs w:val="22"/>
        </w:rPr>
        <w:t>•</w:t>
      </w:r>
      <w:r w:rsidRPr="00415FD3">
        <w:rPr>
          <w:rFonts w:ascii="Calibri" w:hAnsi="Calibri" w:cs="Calibri"/>
          <w:sz w:val="22"/>
          <w:szCs w:val="22"/>
        </w:rPr>
        <w:tab/>
      </w:r>
      <w:r w:rsidR="007B0088">
        <w:rPr>
          <w:rFonts w:ascii="Calibri" w:hAnsi="Calibri" w:cs="Calibri"/>
          <w:sz w:val="22"/>
          <w:szCs w:val="22"/>
        </w:rPr>
        <w:t xml:space="preserve">125.000 </w:t>
      </w:r>
      <w:r w:rsidRPr="00415FD3">
        <w:rPr>
          <w:rFonts w:ascii="Calibri" w:hAnsi="Calibri" w:cs="Calibri"/>
          <w:sz w:val="22"/>
          <w:szCs w:val="22"/>
        </w:rPr>
        <w:t>Kč</w:t>
      </w:r>
      <w:r w:rsidRPr="00415FD3">
        <w:rPr>
          <w:rFonts w:ascii="Calibri" w:hAnsi="Calibri" w:cs="Calibri"/>
          <w:sz w:val="22"/>
          <w:szCs w:val="22"/>
        </w:rPr>
        <w:tab/>
      </w:r>
      <w:r w:rsidRPr="00415FD3">
        <w:rPr>
          <w:rFonts w:ascii="Calibri" w:hAnsi="Calibri" w:cs="Calibri"/>
          <w:sz w:val="22"/>
          <w:szCs w:val="22"/>
        </w:rPr>
        <w:tab/>
        <w:t xml:space="preserve">do 10 dnů od </w:t>
      </w:r>
      <w:r w:rsidR="00B6531C">
        <w:rPr>
          <w:rFonts w:ascii="Calibri" w:hAnsi="Calibri" w:cs="Calibri"/>
          <w:sz w:val="22"/>
          <w:szCs w:val="22"/>
        </w:rPr>
        <w:t>zveřejnění sml</w:t>
      </w:r>
      <w:r w:rsidR="007A2DF5">
        <w:rPr>
          <w:rFonts w:ascii="Calibri" w:hAnsi="Calibri" w:cs="Calibri"/>
          <w:sz w:val="22"/>
          <w:szCs w:val="22"/>
        </w:rPr>
        <w:t>o</w:t>
      </w:r>
      <w:r w:rsidR="00B6531C">
        <w:rPr>
          <w:rFonts w:ascii="Calibri" w:hAnsi="Calibri" w:cs="Calibri"/>
          <w:sz w:val="22"/>
          <w:szCs w:val="22"/>
        </w:rPr>
        <w:t>uv</w:t>
      </w:r>
      <w:r w:rsidR="007A2DF5">
        <w:rPr>
          <w:rFonts w:ascii="Calibri" w:hAnsi="Calibri" w:cs="Calibri"/>
          <w:sz w:val="22"/>
          <w:szCs w:val="22"/>
        </w:rPr>
        <w:t>y</w:t>
      </w:r>
    </w:p>
    <w:p w:rsidR="00415FD3" w:rsidRPr="00415FD3" w:rsidRDefault="00415FD3" w:rsidP="00415FD3">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r>
      <w:r w:rsidR="007B0088">
        <w:rPr>
          <w:rFonts w:ascii="Calibri" w:hAnsi="Calibri" w:cs="Calibri"/>
          <w:sz w:val="22"/>
          <w:szCs w:val="22"/>
        </w:rPr>
        <w:t xml:space="preserve">125.000 </w:t>
      </w:r>
      <w:r w:rsidRPr="00415FD3">
        <w:rPr>
          <w:rFonts w:ascii="Calibri" w:hAnsi="Calibri" w:cs="Calibri"/>
          <w:sz w:val="22"/>
          <w:szCs w:val="22"/>
        </w:rPr>
        <w:t>Kč</w:t>
      </w:r>
      <w:r w:rsidRPr="00415FD3">
        <w:rPr>
          <w:rFonts w:ascii="Calibri" w:hAnsi="Calibri" w:cs="Calibri"/>
          <w:sz w:val="22"/>
          <w:szCs w:val="22"/>
        </w:rPr>
        <w:tab/>
      </w:r>
      <w:r w:rsidRPr="00415FD3">
        <w:rPr>
          <w:rFonts w:ascii="Calibri" w:hAnsi="Calibri" w:cs="Calibri"/>
          <w:sz w:val="22"/>
          <w:szCs w:val="22"/>
        </w:rPr>
        <w:tab/>
        <w:t xml:space="preserve">do </w:t>
      </w:r>
      <w:proofErr w:type="gramStart"/>
      <w:r w:rsidRPr="00415FD3">
        <w:rPr>
          <w:rFonts w:ascii="Calibri" w:hAnsi="Calibri" w:cs="Calibri"/>
          <w:sz w:val="22"/>
          <w:szCs w:val="22"/>
        </w:rPr>
        <w:t>10.0</w:t>
      </w:r>
      <w:r w:rsidR="00B6531C">
        <w:rPr>
          <w:rFonts w:ascii="Calibri" w:hAnsi="Calibri" w:cs="Calibri"/>
          <w:sz w:val="22"/>
          <w:szCs w:val="22"/>
        </w:rPr>
        <w:t>3.2019</w:t>
      </w:r>
      <w:proofErr w:type="gramEnd"/>
    </w:p>
    <w:p w:rsidR="003B7B6A" w:rsidRDefault="00415FD3" w:rsidP="00415FD3">
      <w:pPr>
        <w:jc w:val="both"/>
        <w:rPr>
          <w:rFonts w:ascii="Calibri" w:hAnsi="Calibri" w:cs="Calibri"/>
          <w:sz w:val="22"/>
          <w:szCs w:val="22"/>
        </w:rPr>
      </w:pPr>
      <w:r w:rsidRPr="00415FD3">
        <w:rPr>
          <w:rFonts w:ascii="Calibri" w:hAnsi="Calibri" w:cs="Calibri"/>
          <w:sz w:val="22"/>
          <w:szCs w:val="22"/>
        </w:rPr>
        <w:t>•</w:t>
      </w:r>
      <w:r w:rsidRPr="00415FD3">
        <w:rPr>
          <w:rFonts w:ascii="Calibri" w:hAnsi="Calibri" w:cs="Calibri"/>
          <w:sz w:val="22"/>
          <w:szCs w:val="22"/>
        </w:rPr>
        <w:tab/>
      </w:r>
      <w:r w:rsidR="007B0088">
        <w:rPr>
          <w:rFonts w:ascii="Calibri" w:hAnsi="Calibri" w:cs="Calibri"/>
          <w:sz w:val="22"/>
          <w:szCs w:val="22"/>
        </w:rPr>
        <w:t xml:space="preserve">125.000 </w:t>
      </w:r>
      <w:r w:rsidRPr="00415FD3">
        <w:rPr>
          <w:rFonts w:ascii="Calibri" w:hAnsi="Calibri" w:cs="Calibri"/>
          <w:sz w:val="22"/>
          <w:szCs w:val="22"/>
        </w:rPr>
        <w:t>Kč</w:t>
      </w:r>
      <w:r w:rsidRPr="00415FD3">
        <w:rPr>
          <w:rFonts w:ascii="Calibri" w:hAnsi="Calibri" w:cs="Calibri"/>
          <w:sz w:val="22"/>
          <w:szCs w:val="22"/>
        </w:rPr>
        <w:tab/>
      </w:r>
      <w:r w:rsidRPr="00415FD3">
        <w:rPr>
          <w:rFonts w:ascii="Calibri" w:hAnsi="Calibri" w:cs="Calibri"/>
          <w:sz w:val="22"/>
          <w:szCs w:val="22"/>
        </w:rPr>
        <w:tab/>
        <w:t xml:space="preserve">do </w:t>
      </w:r>
      <w:proofErr w:type="gramStart"/>
      <w:r w:rsidRPr="00415FD3">
        <w:rPr>
          <w:rFonts w:ascii="Calibri" w:hAnsi="Calibri" w:cs="Calibri"/>
          <w:sz w:val="22"/>
          <w:szCs w:val="22"/>
        </w:rPr>
        <w:t>10.0</w:t>
      </w:r>
      <w:r w:rsidR="002C2035">
        <w:rPr>
          <w:rFonts w:ascii="Calibri" w:hAnsi="Calibri" w:cs="Calibri"/>
          <w:sz w:val="22"/>
          <w:szCs w:val="22"/>
        </w:rPr>
        <w:t>6</w:t>
      </w:r>
      <w:r w:rsidRPr="00415FD3">
        <w:rPr>
          <w:rFonts w:ascii="Calibri" w:hAnsi="Calibri" w:cs="Calibri"/>
          <w:sz w:val="22"/>
          <w:szCs w:val="22"/>
        </w:rPr>
        <w:t>.201</w:t>
      </w:r>
      <w:r w:rsidR="00B6531C">
        <w:rPr>
          <w:rFonts w:ascii="Calibri" w:hAnsi="Calibri" w:cs="Calibri"/>
          <w:sz w:val="22"/>
          <w:szCs w:val="22"/>
        </w:rPr>
        <w:t>9</w:t>
      </w:r>
      <w:proofErr w:type="gramEnd"/>
    </w:p>
    <w:p w:rsidR="00415FD3" w:rsidRDefault="00415FD3" w:rsidP="00415FD3">
      <w:pPr>
        <w:jc w:val="both"/>
        <w:rPr>
          <w:rFonts w:ascii="Calibri" w:hAnsi="Calibri" w:cs="Calibri"/>
          <w:sz w:val="22"/>
          <w:szCs w:val="22"/>
        </w:rPr>
      </w:pPr>
      <w:r w:rsidRPr="00415FD3">
        <w:rPr>
          <w:rFonts w:ascii="Calibri" w:hAnsi="Calibri" w:cs="Calibri"/>
          <w:sz w:val="22"/>
          <w:szCs w:val="22"/>
        </w:rPr>
        <w:t>•</w:t>
      </w:r>
      <w:r w:rsidRPr="00415FD3">
        <w:rPr>
          <w:rFonts w:ascii="Calibri" w:hAnsi="Calibri" w:cs="Calibri"/>
          <w:sz w:val="22"/>
          <w:szCs w:val="22"/>
        </w:rPr>
        <w:tab/>
      </w:r>
      <w:r w:rsidR="007B0088">
        <w:rPr>
          <w:rFonts w:ascii="Calibri" w:hAnsi="Calibri" w:cs="Calibri"/>
          <w:sz w:val="22"/>
          <w:szCs w:val="22"/>
        </w:rPr>
        <w:t xml:space="preserve">125.000 </w:t>
      </w:r>
      <w:r w:rsidRPr="00415FD3">
        <w:rPr>
          <w:rFonts w:ascii="Calibri" w:hAnsi="Calibri" w:cs="Calibri"/>
          <w:sz w:val="22"/>
          <w:szCs w:val="22"/>
        </w:rPr>
        <w:t>Kč</w:t>
      </w:r>
      <w:r w:rsidRPr="00415FD3">
        <w:rPr>
          <w:rFonts w:ascii="Calibri" w:hAnsi="Calibri" w:cs="Calibri"/>
          <w:sz w:val="22"/>
          <w:szCs w:val="22"/>
        </w:rPr>
        <w:tab/>
      </w:r>
      <w:r w:rsidRPr="00415FD3">
        <w:rPr>
          <w:rFonts w:ascii="Calibri" w:hAnsi="Calibri" w:cs="Calibri"/>
          <w:sz w:val="22"/>
          <w:szCs w:val="22"/>
        </w:rPr>
        <w:tab/>
        <w:t>do 10.</w:t>
      </w:r>
      <w:r w:rsidR="002C2035">
        <w:rPr>
          <w:rFonts w:ascii="Calibri" w:hAnsi="Calibri" w:cs="Calibri"/>
          <w:sz w:val="22"/>
          <w:szCs w:val="22"/>
        </w:rPr>
        <w:t>1</w:t>
      </w:r>
      <w:r w:rsidRPr="00415FD3">
        <w:rPr>
          <w:rFonts w:ascii="Calibri" w:hAnsi="Calibri" w:cs="Calibri"/>
          <w:sz w:val="22"/>
          <w:szCs w:val="22"/>
        </w:rPr>
        <w:t>0.201</w:t>
      </w:r>
      <w:r w:rsidR="00B6531C">
        <w:rPr>
          <w:rFonts w:ascii="Calibri" w:hAnsi="Calibri" w:cs="Calibri"/>
          <w:sz w:val="22"/>
          <w:szCs w:val="22"/>
        </w:rPr>
        <w:t>9</w:t>
      </w:r>
    </w:p>
    <w:p w:rsidR="00243D6A" w:rsidRDefault="00243D6A" w:rsidP="00243D6A">
      <w:pPr>
        <w:jc w:val="both"/>
        <w:rPr>
          <w:rFonts w:ascii="Calibri" w:hAnsi="Calibri" w:cs="Calibri"/>
          <w:b/>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2. Podmínkou poskytnutí finančních prostředků je řádné plnění všech závazků příjemcem.</w:t>
      </w:r>
    </w:p>
    <w:p w:rsidR="00243D6A" w:rsidRDefault="00243D6A" w:rsidP="00243D6A">
      <w:pPr>
        <w:jc w:val="center"/>
        <w:rPr>
          <w:rFonts w:ascii="Calibri" w:hAnsi="Calibri" w:cs="Calibri"/>
          <w:b/>
          <w:bCs/>
          <w:sz w:val="22"/>
          <w:szCs w:val="22"/>
        </w:rPr>
      </w:pPr>
    </w:p>
    <w:p w:rsidR="00243D6A" w:rsidRDefault="00243D6A" w:rsidP="00243D6A">
      <w:pPr>
        <w:jc w:val="center"/>
        <w:rPr>
          <w:rFonts w:ascii="Calibri" w:hAnsi="Calibri" w:cs="Calibri"/>
          <w:b/>
          <w:bCs/>
          <w:sz w:val="22"/>
          <w:szCs w:val="22"/>
        </w:rPr>
      </w:pPr>
    </w:p>
    <w:p w:rsidR="00314D21" w:rsidRPr="00C326FF" w:rsidRDefault="00314D21" w:rsidP="00314D21">
      <w:pPr>
        <w:jc w:val="center"/>
        <w:rPr>
          <w:rFonts w:ascii="Calibri" w:hAnsi="Calibri" w:cs="Calibri"/>
          <w:b/>
          <w:bCs/>
          <w:sz w:val="22"/>
          <w:szCs w:val="22"/>
        </w:rPr>
      </w:pPr>
      <w:r w:rsidRPr="00C326FF">
        <w:rPr>
          <w:rFonts w:ascii="Calibri" w:hAnsi="Calibri" w:cs="Calibri"/>
          <w:b/>
          <w:bCs/>
          <w:sz w:val="22"/>
          <w:szCs w:val="22"/>
        </w:rPr>
        <w:t>V.</w:t>
      </w:r>
    </w:p>
    <w:p w:rsidR="00314D21" w:rsidRDefault="00314D21" w:rsidP="00314D21">
      <w:pPr>
        <w:jc w:val="center"/>
        <w:rPr>
          <w:rFonts w:ascii="Calibri" w:hAnsi="Calibri" w:cs="Calibri"/>
          <w:b/>
          <w:bCs/>
          <w:sz w:val="22"/>
          <w:szCs w:val="22"/>
        </w:rPr>
      </w:pPr>
      <w:r w:rsidRPr="00C326FF">
        <w:rPr>
          <w:rFonts w:ascii="Calibri" w:hAnsi="Calibri" w:cs="Calibri"/>
          <w:b/>
          <w:bCs/>
          <w:sz w:val="22"/>
          <w:szCs w:val="22"/>
        </w:rPr>
        <w:t>Ustanovení o DPH</w:t>
      </w:r>
    </w:p>
    <w:p w:rsidR="00314D21" w:rsidRPr="00C326FF" w:rsidRDefault="00314D21" w:rsidP="00314D21">
      <w:pPr>
        <w:jc w:val="center"/>
        <w:rPr>
          <w:rFonts w:ascii="Calibri" w:hAnsi="Calibri" w:cs="Calibri"/>
          <w:b/>
          <w:bCs/>
          <w:sz w:val="22"/>
          <w:szCs w:val="22"/>
        </w:rPr>
      </w:pPr>
    </w:p>
    <w:p w:rsidR="00314D21" w:rsidRPr="00D64C29" w:rsidRDefault="00314D21" w:rsidP="00314D21">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314D21" w:rsidRPr="00C326FF" w:rsidRDefault="00314D21" w:rsidP="00314D21">
      <w:pPr>
        <w:jc w:val="both"/>
        <w:rPr>
          <w:rFonts w:ascii="Calibri" w:hAnsi="Calibri" w:cs="Calibri"/>
          <w:b/>
          <w:bCs/>
          <w:sz w:val="22"/>
          <w:szCs w:val="22"/>
        </w:rPr>
      </w:pPr>
    </w:p>
    <w:p w:rsidR="00314D21" w:rsidRPr="00C326FF" w:rsidRDefault="00314D21" w:rsidP="00314D21">
      <w:pPr>
        <w:jc w:val="center"/>
        <w:rPr>
          <w:rFonts w:ascii="Calibri" w:hAnsi="Calibri" w:cs="Calibri"/>
          <w:b/>
          <w:bCs/>
          <w:sz w:val="22"/>
          <w:szCs w:val="22"/>
        </w:rPr>
      </w:pPr>
      <w:r w:rsidRPr="00C326FF">
        <w:rPr>
          <w:rFonts w:ascii="Calibri" w:hAnsi="Calibri" w:cs="Calibri"/>
          <w:b/>
          <w:bCs/>
          <w:sz w:val="22"/>
          <w:szCs w:val="22"/>
        </w:rPr>
        <w:t>VI.</w:t>
      </w:r>
    </w:p>
    <w:p w:rsidR="00314D21" w:rsidRDefault="00314D21" w:rsidP="00314D21">
      <w:pPr>
        <w:jc w:val="center"/>
        <w:rPr>
          <w:rFonts w:ascii="Calibri" w:hAnsi="Calibri" w:cs="Calibri"/>
          <w:b/>
          <w:bCs/>
          <w:sz w:val="22"/>
          <w:szCs w:val="22"/>
        </w:rPr>
      </w:pPr>
      <w:r w:rsidRPr="00C326FF">
        <w:rPr>
          <w:rFonts w:ascii="Calibri" w:hAnsi="Calibri" w:cs="Calibri"/>
          <w:b/>
          <w:bCs/>
          <w:sz w:val="22"/>
          <w:szCs w:val="22"/>
        </w:rPr>
        <w:t xml:space="preserve">Uznatelné </w:t>
      </w:r>
      <w:r>
        <w:rPr>
          <w:rFonts w:ascii="Calibri" w:hAnsi="Calibri" w:cs="Calibri"/>
          <w:b/>
          <w:bCs/>
          <w:sz w:val="22"/>
          <w:szCs w:val="22"/>
        </w:rPr>
        <w:t>náklady</w:t>
      </w:r>
    </w:p>
    <w:p w:rsidR="00314D21" w:rsidRPr="00C326FF" w:rsidRDefault="00314D21" w:rsidP="00314D21">
      <w:pPr>
        <w:jc w:val="center"/>
        <w:rPr>
          <w:rFonts w:ascii="Calibri" w:hAnsi="Calibri" w:cs="Calibri"/>
          <w:b/>
          <w:bCs/>
          <w:sz w:val="22"/>
          <w:szCs w:val="22"/>
        </w:rPr>
      </w:pPr>
    </w:p>
    <w:p w:rsidR="00314D21" w:rsidRDefault="00314D21" w:rsidP="00314D21">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Pr>
          <w:rFonts w:ascii="Calibri" w:hAnsi="Calibri" w:cs="Calibri"/>
          <w:bCs/>
          <w:sz w:val="22"/>
          <w:szCs w:val="22"/>
        </w:rPr>
        <w:t xml:space="preserve">náklady podle této smlouvy jsou: </w:t>
      </w:r>
    </w:p>
    <w:p w:rsidR="003B7B6A" w:rsidRDefault="006A2A63" w:rsidP="003B7B6A">
      <w:pPr>
        <w:jc w:val="both"/>
        <w:textAlignment w:val="auto"/>
        <w:rPr>
          <w:rFonts w:ascii="Calibri" w:hAnsi="Calibri" w:cs="Calibri"/>
          <w:b/>
          <w:bCs/>
          <w:sz w:val="22"/>
          <w:szCs w:val="22"/>
        </w:rPr>
      </w:pPr>
      <w:r>
        <w:rPr>
          <w:rFonts w:ascii="Calibri" w:hAnsi="Calibri" w:cs="Calibri"/>
          <w:b/>
          <w:bCs/>
          <w:sz w:val="22"/>
          <w:szCs w:val="22"/>
        </w:rPr>
        <w:t>Docela velké divadlo, o.p.s.:</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 xml:space="preserve">umělecké návrhy dekorací, kostýmů, masek, programů, plakátů </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lastRenderedPageBreak/>
        <w:t>výrobu, pořizování, opravy a údržba dekorací, rekvizit, kostýmů a kostýmních doplňků, paruk, vlasových doplňků, odličovadel a líčidel na představení, nákup železa, dřeva, barev, látek, lepidla, šicích potřeb, galanterie, punčoch a ponožek a dalších materiálů potřebných k výrobě a realizaci divadelních představení pro děti a dospělé</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provozní náklady: výlep plakátů, nákup čist</w:t>
      </w:r>
      <w:r>
        <w:rPr>
          <w:rFonts w:ascii="Calibri" w:hAnsi="Calibri" w:cs="Calibri"/>
          <w:bCs/>
          <w:sz w:val="22"/>
          <w:szCs w:val="22"/>
        </w:rPr>
        <w:t>i</w:t>
      </w:r>
      <w:r w:rsidRPr="006A2A63">
        <w:rPr>
          <w:rFonts w:ascii="Calibri" w:hAnsi="Calibri" w:cs="Calibri"/>
          <w:bCs/>
          <w:sz w:val="22"/>
          <w:szCs w:val="22"/>
        </w:rPr>
        <w:t xml:space="preserve">cích prostředků, nákup žárovek do reflektorů, baterií do mikroportů, </w:t>
      </w:r>
      <w:proofErr w:type="gramStart"/>
      <w:r w:rsidRPr="006A2A63">
        <w:rPr>
          <w:rFonts w:ascii="Calibri" w:hAnsi="Calibri" w:cs="Calibri"/>
          <w:bCs/>
          <w:sz w:val="22"/>
          <w:szCs w:val="22"/>
        </w:rPr>
        <w:t>lepící</w:t>
      </w:r>
      <w:proofErr w:type="gramEnd"/>
      <w:r w:rsidRPr="006A2A63">
        <w:rPr>
          <w:rFonts w:ascii="Calibri" w:hAnsi="Calibri" w:cs="Calibri"/>
          <w:bCs/>
          <w:sz w:val="22"/>
          <w:szCs w:val="22"/>
        </w:rPr>
        <w:t xml:space="preserve"> pásky, šrouby, matky, vruty a další drobný technický jevištní materiál</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 xml:space="preserve">nákup toaletního papíru a kancelářských potřeb nutných k provozu divadla </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opravy kostýmů, rekvizit a dekorací včetně nákupu barev, štětců a dalších výtvarných potřeb, opravy technického jevištního zařízení, které není součástí budovy a je majetkem o.p.s.</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nastudování choreografie, tvorba a nahrávky hudby pro představení včetně nosičů (CD, DVD, datové karty)</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korepetice pěvecké a pohybové</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 xml:space="preserve">poplatky OSA, </w:t>
      </w:r>
      <w:proofErr w:type="spellStart"/>
      <w:r w:rsidRPr="006A2A63">
        <w:rPr>
          <w:rFonts w:ascii="Calibri" w:hAnsi="Calibri" w:cs="Calibri"/>
          <w:bCs/>
          <w:sz w:val="22"/>
          <w:szCs w:val="22"/>
        </w:rPr>
        <w:t>Dilia</w:t>
      </w:r>
      <w:proofErr w:type="spellEnd"/>
      <w:r w:rsidRPr="006A2A63">
        <w:rPr>
          <w:rFonts w:ascii="Calibri" w:hAnsi="Calibri" w:cs="Calibri"/>
          <w:bCs/>
          <w:sz w:val="22"/>
          <w:szCs w:val="22"/>
        </w:rPr>
        <w:t xml:space="preserve">, Aura-Pont, </w:t>
      </w:r>
      <w:proofErr w:type="spellStart"/>
      <w:r w:rsidRPr="006A2A63">
        <w:rPr>
          <w:rFonts w:ascii="Calibri" w:hAnsi="Calibri" w:cs="Calibri"/>
          <w:bCs/>
          <w:sz w:val="22"/>
          <w:szCs w:val="22"/>
        </w:rPr>
        <w:t>Intergram</w:t>
      </w:r>
      <w:proofErr w:type="spellEnd"/>
      <w:r w:rsidRPr="006A2A63">
        <w:rPr>
          <w:rFonts w:ascii="Calibri" w:hAnsi="Calibri" w:cs="Calibri"/>
          <w:bCs/>
          <w:sz w:val="22"/>
          <w:szCs w:val="22"/>
        </w:rPr>
        <w:t xml:space="preserve"> a ostatním zastupujícím organizacím umělců a uměleckých děl</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 xml:space="preserve">platby za uměleckotechnické služby během představení o.p.s., </w:t>
      </w:r>
    </w:p>
    <w:p w:rsidR="006A2A63" w:rsidRPr="006A2A63" w:rsidRDefault="006A2A63" w:rsidP="006A2A63">
      <w:pPr>
        <w:pStyle w:val="Odstavecseseznamem"/>
        <w:numPr>
          <w:ilvl w:val="0"/>
          <w:numId w:val="3"/>
        </w:numPr>
        <w:jc w:val="both"/>
        <w:textAlignment w:val="auto"/>
        <w:rPr>
          <w:rFonts w:ascii="Calibri" w:hAnsi="Calibri" w:cs="Calibri"/>
          <w:bCs/>
          <w:sz w:val="22"/>
          <w:szCs w:val="22"/>
        </w:rPr>
      </w:pPr>
      <w:r w:rsidRPr="006A2A63">
        <w:rPr>
          <w:rFonts w:ascii="Calibri" w:hAnsi="Calibri" w:cs="Calibri"/>
          <w:bCs/>
          <w:sz w:val="22"/>
          <w:szCs w:val="22"/>
        </w:rPr>
        <w:t>poštovné</w:t>
      </w:r>
    </w:p>
    <w:p w:rsidR="006A2A63" w:rsidRDefault="006A2A63" w:rsidP="006A2A63">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 xml:space="preserve">částečná úhrada </w:t>
      </w:r>
      <w:r w:rsidRPr="006A2A63">
        <w:rPr>
          <w:rFonts w:ascii="Calibri" w:hAnsi="Calibri" w:cs="Calibri"/>
          <w:bCs/>
          <w:sz w:val="22"/>
          <w:szCs w:val="22"/>
        </w:rPr>
        <w:t>poplatk</w:t>
      </w:r>
      <w:r>
        <w:rPr>
          <w:rFonts w:ascii="Calibri" w:hAnsi="Calibri" w:cs="Calibri"/>
          <w:bCs/>
          <w:sz w:val="22"/>
          <w:szCs w:val="22"/>
        </w:rPr>
        <w:t>ů</w:t>
      </w:r>
      <w:r w:rsidRPr="006A2A63">
        <w:rPr>
          <w:rFonts w:ascii="Calibri" w:hAnsi="Calibri" w:cs="Calibri"/>
          <w:bCs/>
          <w:sz w:val="22"/>
          <w:szCs w:val="22"/>
        </w:rPr>
        <w:t xml:space="preserve"> za telefon a internet, </w:t>
      </w:r>
    </w:p>
    <w:p w:rsidR="003B7B6A" w:rsidRPr="006A2A63" w:rsidRDefault="006A2A63" w:rsidP="006A2A63">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 xml:space="preserve">částečná </w:t>
      </w:r>
      <w:r w:rsidRPr="006A2A63">
        <w:rPr>
          <w:rFonts w:ascii="Calibri" w:hAnsi="Calibri" w:cs="Calibri"/>
          <w:bCs/>
          <w:sz w:val="22"/>
          <w:szCs w:val="22"/>
        </w:rPr>
        <w:t xml:space="preserve">úhrada poměrné části energií pro provoz divadla – teplo, el. </w:t>
      </w:r>
      <w:proofErr w:type="gramStart"/>
      <w:r w:rsidRPr="006A2A63">
        <w:rPr>
          <w:rFonts w:ascii="Calibri" w:hAnsi="Calibri" w:cs="Calibri"/>
          <w:bCs/>
          <w:sz w:val="22"/>
          <w:szCs w:val="22"/>
        </w:rPr>
        <w:t>energie</w:t>
      </w:r>
      <w:proofErr w:type="gramEnd"/>
      <w:r w:rsidRPr="006A2A63">
        <w:rPr>
          <w:rFonts w:ascii="Calibri" w:hAnsi="Calibri" w:cs="Calibri"/>
          <w:bCs/>
          <w:sz w:val="22"/>
          <w:szCs w:val="22"/>
        </w:rPr>
        <w:t xml:space="preserve"> a voda </w:t>
      </w:r>
      <w:r>
        <w:rPr>
          <w:rFonts w:ascii="Calibri" w:hAnsi="Calibri" w:cs="Calibri"/>
          <w:bCs/>
          <w:sz w:val="22"/>
          <w:szCs w:val="22"/>
        </w:rPr>
        <w:t xml:space="preserve">na základě </w:t>
      </w:r>
      <w:r w:rsidRPr="006A2A63">
        <w:rPr>
          <w:rFonts w:ascii="Calibri" w:hAnsi="Calibri" w:cs="Calibri"/>
          <w:bCs/>
          <w:sz w:val="22"/>
          <w:szCs w:val="22"/>
        </w:rPr>
        <w:t xml:space="preserve">faktur </w:t>
      </w:r>
      <w:r>
        <w:rPr>
          <w:rFonts w:ascii="Calibri" w:hAnsi="Calibri" w:cs="Calibri"/>
          <w:bCs/>
          <w:sz w:val="22"/>
          <w:szCs w:val="22"/>
        </w:rPr>
        <w:t xml:space="preserve">od </w:t>
      </w:r>
      <w:r w:rsidRPr="006A2A63">
        <w:rPr>
          <w:rFonts w:ascii="Calibri" w:hAnsi="Calibri" w:cs="Calibri"/>
          <w:bCs/>
          <w:sz w:val="22"/>
          <w:szCs w:val="22"/>
        </w:rPr>
        <w:t>dodavatelů</w:t>
      </w:r>
    </w:p>
    <w:p w:rsidR="006A2A63" w:rsidRPr="003B7B6A" w:rsidRDefault="006A2A63" w:rsidP="006A2A63">
      <w:pPr>
        <w:pStyle w:val="Odstavecseseznamem"/>
        <w:ind w:left="1428"/>
        <w:jc w:val="both"/>
        <w:textAlignment w:val="auto"/>
        <w:rPr>
          <w:rFonts w:ascii="Calibri" w:hAnsi="Calibri" w:cs="Calibri"/>
          <w:bCs/>
          <w:sz w:val="22"/>
          <w:szCs w:val="22"/>
        </w:rPr>
      </w:pPr>
    </w:p>
    <w:p w:rsidR="00314D21" w:rsidRPr="00735984" w:rsidRDefault="00314D21" w:rsidP="00314D21">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náklady podle této smlouvy jsou všechny ostatní náklady, které by nesouvisely s projekty v článku III odstavec 1 této smlouvy, případně náklady, které by změnily charakter projektu na investici.</w:t>
      </w:r>
    </w:p>
    <w:p w:rsidR="00314D21" w:rsidRDefault="00314D21" w:rsidP="00314D21">
      <w:pPr>
        <w:jc w:val="both"/>
        <w:rPr>
          <w:rFonts w:ascii="Calibri" w:hAnsi="Calibri" w:cs="Calibri"/>
          <w:bCs/>
          <w:sz w:val="22"/>
          <w:szCs w:val="22"/>
        </w:rPr>
      </w:pPr>
    </w:p>
    <w:p w:rsidR="00314D21" w:rsidRDefault="00314D21" w:rsidP="00314D21">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314D21" w:rsidRPr="00CC620E" w:rsidRDefault="00314D21" w:rsidP="00314D21">
      <w:pPr>
        <w:jc w:val="both"/>
        <w:rPr>
          <w:rFonts w:asciiTheme="minorHAnsi" w:hAnsiTheme="minorHAnsi" w:cstheme="minorHAnsi"/>
          <w:sz w:val="22"/>
          <w:szCs w:val="22"/>
        </w:rPr>
      </w:pPr>
    </w:p>
    <w:p w:rsidR="00314D21" w:rsidRPr="00735984" w:rsidRDefault="00314D21" w:rsidP="00314D21">
      <w:pPr>
        <w:jc w:val="both"/>
        <w:rPr>
          <w:rFonts w:ascii="Calibri" w:hAnsi="Calibri" w:cs="Calibri"/>
          <w:bCs/>
          <w:sz w:val="22"/>
          <w:szCs w:val="22"/>
        </w:rPr>
      </w:pPr>
      <w:r>
        <w:rPr>
          <w:rFonts w:ascii="Calibri" w:hAnsi="Calibri" w:cs="Calibri"/>
          <w:bCs/>
          <w:sz w:val="22"/>
          <w:szCs w:val="22"/>
        </w:rPr>
        <w:t>4. Příjemce je povinen tuto dotaci použít jako dotaci neinvestiční. Porušení této povinnosti bude poskytovatelem posuzováno jako porušení rozpočtové kázně.</w:t>
      </w:r>
    </w:p>
    <w:p w:rsidR="00314D21" w:rsidRPr="00C326FF" w:rsidRDefault="00314D21" w:rsidP="00314D21">
      <w:pPr>
        <w:rPr>
          <w:rFonts w:ascii="Calibri" w:hAnsi="Calibri" w:cs="Calibri"/>
          <w:b/>
          <w:bCs/>
          <w:sz w:val="22"/>
          <w:szCs w:val="22"/>
        </w:rPr>
      </w:pPr>
    </w:p>
    <w:p w:rsidR="00314D21" w:rsidRDefault="00314D21" w:rsidP="00314D21">
      <w:pPr>
        <w:jc w:val="center"/>
        <w:rPr>
          <w:rFonts w:ascii="Calibri" w:hAnsi="Calibri" w:cs="Calibri"/>
          <w:b/>
          <w:bCs/>
          <w:sz w:val="22"/>
          <w:szCs w:val="22"/>
        </w:rPr>
      </w:pPr>
    </w:p>
    <w:p w:rsidR="00314D21" w:rsidRPr="00C326FF" w:rsidRDefault="00314D21" w:rsidP="00314D21">
      <w:pPr>
        <w:jc w:val="center"/>
        <w:rPr>
          <w:rFonts w:ascii="Calibri" w:hAnsi="Calibri" w:cs="Calibri"/>
          <w:b/>
          <w:bCs/>
          <w:sz w:val="22"/>
          <w:szCs w:val="22"/>
        </w:rPr>
      </w:pPr>
      <w:r w:rsidRPr="00C326FF">
        <w:rPr>
          <w:rFonts w:ascii="Calibri" w:hAnsi="Calibri" w:cs="Calibri"/>
          <w:b/>
          <w:bCs/>
          <w:sz w:val="22"/>
          <w:szCs w:val="22"/>
        </w:rPr>
        <w:t>VII.</w:t>
      </w:r>
    </w:p>
    <w:p w:rsidR="00314D21" w:rsidRPr="00C326FF" w:rsidRDefault="00314D21" w:rsidP="00314D21">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314D21" w:rsidRPr="00C326FF" w:rsidRDefault="00314D21" w:rsidP="00314D21">
      <w:pPr>
        <w:rPr>
          <w:rFonts w:ascii="Calibri" w:hAnsi="Calibri" w:cs="Calibri"/>
          <w:b/>
          <w:bCs/>
          <w:sz w:val="22"/>
          <w:szCs w:val="22"/>
        </w:rPr>
      </w:pPr>
    </w:p>
    <w:p w:rsidR="00314D21" w:rsidRPr="00DB0988" w:rsidRDefault="00314D21" w:rsidP="00314D21">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31. 3. 2020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314D21" w:rsidRPr="00DB0988" w:rsidRDefault="00314D21" w:rsidP="00314D21">
      <w:pPr>
        <w:rPr>
          <w:rFonts w:ascii="Calibri" w:hAnsi="Calibri" w:cs="Calibri"/>
          <w:bCs/>
          <w:sz w:val="22"/>
          <w:szCs w:val="22"/>
        </w:rPr>
      </w:pPr>
    </w:p>
    <w:p w:rsidR="00314D21" w:rsidRPr="00DB0988" w:rsidRDefault="00314D21" w:rsidP="00314D21">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včetně výpisů z bankovního účtu, popřípadě výdajových dokladů při platbě v hotovosti, účtovou osnovu.</w:t>
      </w:r>
    </w:p>
    <w:p w:rsidR="00314D21" w:rsidRPr="00DB0988" w:rsidRDefault="00314D21" w:rsidP="00314D21">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314D21" w:rsidRPr="00DB0988" w:rsidRDefault="00314D21" w:rsidP="00314D21">
      <w:pPr>
        <w:rPr>
          <w:rFonts w:ascii="Calibri" w:hAnsi="Calibri" w:cs="Calibri"/>
          <w:bCs/>
          <w:sz w:val="22"/>
          <w:szCs w:val="22"/>
        </w:rPr>
      </w:pPr>
    </w:p>
    <w:p w:rsidR="00314D21" w:rsidRPr="00DB0988" w:rsidRDefault="00314D21" w:rsidP="00314D21">
      <w:pPr>
        <w:jc w:val="both"/>
        <w:rPr>
          <w:rFonts w:ascii="Calibri" w:hAnsi="Calibri" w:cs="Calibri"/>
          <w:bCs/>
          <w:sz w:val="22"/>
          <w:szCs w:val="22"/>
        </w:rPr>
      </w:pPr>
      <w:r w:rsidRPr="00DB0988">
        <w:rPr>
          <w:rFonts w:ascii="Calibri" w:hAnsi="Calibri" w:cs="Calibri"/>
          <w:bCs/>
          <w:sz w:val="22"/>
          <w:szCs w:val="22"/>
        </w:rPr>
        <w:lastRenderedPageBreak/>
        <w:t>3. Příjemce je povinen na originále účetního dokladu uvést, že úhrada byla financována z dotace města Litvínova s odkazem na příslušný smluvní vztah (dle smlouvy číslo KT/</w:t>
      </w:r>
      <w:r w:rsidR="000F6259">
        <w:rPr>
          <w:rFonts w:ascii="Calibri" w:hAnsi="Calibri" w:cs="Calibri"/>
          <w:bCs/>
          <w:sz w:val="22"/>
          <w:szCs w:val="22"/>
        </w:rPr>
        <w:t>10077</w:t>
      </w:r>
      <w:r>
        <w:rPr>
          <w:rFonts w:ascii="Calibri" w:hAnsi="Calibri" w:cs="Calibri"/>
          <w:bCs/>
          <w:sz w:val="22"/>
          <w:szCs w:val="22"/>
        </w:rPr>
        <w:t>/18</w:t>
      </w:r>
      <w:r w:rsidRPr="00DB0988">
        <w:rPr>
          <w:rFonts w:ascii="Calibri" w:hAnsi="Calibri" w:cs="Calibri"/>
          <w:bCs/>
          <w:sz w:val="22"/>
          <w:szCs w:val="22"/>
        </w:rPr>
        <w:t>). Splnění této podmínky doloží příjemce dotace při vyúčtování kopií účetního dokladu.</w:t>
      </w:r>
    </w:p>
    <w:p w:rsidR="00314D21" w:rsidRPr="00DB0988" w:rsidRDefault="00314D21" w:rsidP="00314D21">
      <w:pPr>
        <w:rPr>
          <w:rFonts w:ascii="Calibri" w:hAnsi="Calibri" w:cs="Calibri"/>
          <w:bCs/>
          <w:sz w:val="22"/>
          <w:szCs w:val="22"/>
        </w:rPr>
      </w:pPr>
    </w:p>
    <w:p w:rsidR="00314D21" w:rsidRDefault="00314D21" w:rsidP="00314D21">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314D21" w:rsidRDefault="00314D21" w:rsidP="00314D21">
      <w:pPr>
        <w:jc w:val="both"/>
        <w:rPr>
          <w:rFonts w:ascii="Calibri" w:hAnsi="Calibri" w:cs="Calibri"/>
          <w:bCs/>
          <w:sz w:val="22"/>
          <w:szCs w:val="22"/>
        </w:rPr>
      </w:pPr>
    </w:p>
    <w:p w:rsidR="00314D21" w:rsidRDefault="00314D21" w:rsidP="00314D21">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 zajistí ve svém účetnictví nebo daňové evidenci, v souladu s platnými obecně závaznými právními předpisy, zejména se zákonem 563/1991 sb. o účetnictví, v platném znění, řádné a prokazatelně oddělené sledování poskytnuté neinvestiční dotace.</w:t>
      </w:r>
    </w:p>
    <w:p w:rsidR="00314D21" w:rsidRDefault="00314D21" w:rsidP="00314D21">
      <w:pPr>
        <w:jc w:val="both"/>
        <w:rPr>
          <w:rFonts w:ascii="Calibri" w:hAnsi="Calibri" w:cs="Calibri"/>
          <w:bCs/>
          <w:sz w:val="22"/>
          <w:szCs w:val="22"/>
        </w:rPr>
      </w:pPr>
    </w:p>
    <w:p w:rsidR="00314D21" w:rsidRPr="00DB0988" w:rsidRDefault="00314D21" w:rsidP="00314D21">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2019.</w:t>
      </w:r>
    </w:p>
    <w:p w:rsidR="00314D21" w:rsidRDefault="00314D21" w:rsidP="00314D21">
      <w:pPr>
        <w:rPr>
          <w:rFonts w:ascii="Calibri" w:hAnsi="Calibri" w:cs="Calibri"/>
          <w:b/>
          <w:bCs/>
          <w:sz w:val="22"/>
          <w:szCs w:val="22"/>
        </w:rPr>
      </w:pPr>
    </w:p>
    <w:p w:rsidR="00314D21" w:rsidRDefault="00314D21" w:rsidP="00314D21">
      <w:pPr>
        <w:rPr>
          <w:rFonts w:ascii="Calibri" w:hAnsi="Calibri" w:cs="Calibri"/>
          <w:b/>
          <w:bCs/>
          <w:sz w:val="22"/>
          <w:szCs w:val="22"/>
        </w:rPr>
      </w:pPr>
    </w:p>
    <w:p w:rsidR="00314D21" w:rsidRPr="00C326FF" w:rsidRDefault="00314D21" w:rsidP="00314D21">
      <w:pPr>
        <w:jc w:val="center"/>
        <w:rPr>
          <w:rFonts w:ascii="Calibri" w:hAnsi="Calibri" w:cs="Calibri"/>
          <w:b/>
          <w:bCs/>
          <w:sz w:val="22"/>
          <w:szCs w:val="22"/>
        </w:rPr>
      </w:pPr>
      <w:r w:rsidRPr="00C326FF">
        <w:rPr>
          <w:rFonts w:ascii="Calibri" w:hAnsi="Calibri" w:cs="Calibri"/>
          <w:b/>
          <w:bCs/>
          <w:sz w:val="22"/>
          <w:szCs w:val="22"/>
        </w:rPr>
        <w:t>VIII.</w:t>
      </w:r>
    </w:p>
    <w:p w:rsidR="00314D21" w:rsidRDefault="00314D21" w:rsidP="00314D2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314D21" w:rsidRDefault="00314D21" w:rsidP="00314D21">
      <w:pPr>
        <w:jc w:val="center"/>
        <w:rPr>
          <w:rFonts w:ascii="Calibri" w:hAnsi="Calibri" w:cs="Calibri"/>
          <w:b/>
          <w:bCs/>
          <w:sz w:val="22"/>
          <w:szCs w:val="22"/>
        </w:rPr>
      </w:pPr>
    </w:p>
    <w:p w:rsidR="00314D21" w:rsidRPr="00181747" w:rsidRDefault="00314D21" w:rsidP="00314D21">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314D21" w:rsidRPr="00181747" w:rsidRDefault="00314D21" w:rsidP="00314D21">
      <w:pPr>
        <w:jc w:val="both"/>
        <w:rPr>
          <w:rFonts w:ascii="Calibri" w:hAnsi="Calibri" w:cs="Calibri"/>
          <w:bCs/>
          <w:sz w:val="22"/>
          <w:szCs w:val="22"/>
        </w:rPr>
      </w:pPr>
    </w:p>
    <w:p w:rsidR="00314D21" w:rsidRPr="00181747" w:rsidRDefault="00314D21" w:rsidP="00314D21">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314D21" w:rsidRPr="00181747" w:rsidRDefault="00314D21" w:rsidP="00314D21">
      <w:pPr>
        <w:jc w:val="both"/>
        <w:rPr>
          <w:rFonts w:ascii="Calibri" w:hAnsi="Calibri" w:cs="Calibri"/>
          <w:bCs/>
          <w:sz w:val="22"/>
          <w:szCs w:val="22"/>
        </w:rPr>
      </w:pPr>
    </w:p>
    <w:p w:rsidR="00314D21" w:rsidRPr="00181747" w:rsidRDefault="00314D21" w:rsidP="00314D21">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314D21" w:rsidRPr="00181747" w:rsidRDefault="00314D21" w:rsidP="00314D21">
      <w:pPr>
        <w:jc w:val="both"/>
        <w:rPr>
          <w:rFonts w:ascii="Calibri" w:hAnsi="Calibri" w:cs="Calibri"/>
          <w:bCs/>
          <w:sz w:val="22"/>
          <w:szCs w:val="22"/>
        </w:rPr>
      </w:pPr>
    </w:p>
    <w:p w:rsidR="00314D21" w:rsidRPr="00181747" w:rsidRDefault="00314D21" w:rsidP="00314D21">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314D21" w:rsidRPr="00181747" w:rsidRDefault="00314D21" w:rsidP="00314D21">
      <w:pPr>
        <w:jc w:val="both"/>
        <w:rPr>
          <w:rFonts w:ascii="Calibri" w:hAnsi="Calibri" w:cs="Calibri"/>
          <w:bCs/>
          <w:sz w:val="22"/>
          <w:szCs w:val="22"/>
        </w:rPr>
      </w:pPr>
    </w:p>
    <w:p w:rsidR="00314D21" w:rsidRPr="00181747" w:rsidRDefault="00314D21" w:rsidP="00314D21">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w:t>
      </w:r>
      <w:proofErr w:type="gramStart"/>
      <w:r>
        <w:rPr>
          <w:rFonts w:ascii="Calibri" w:hAnsi="Calibri" w:cs="Calibri"/>
          <w:bCs/>
          <w:sz w:val="22"/>
          <w:szCs w:val="22"/>
        </w:rPr>
        <w:t xml:space="preserve">článku  </w:t>
      </w:r>
      <w:r w:rsidRPr="00181747">
        <w:rPr>
          <w:rFonts w:ascii="Calibri" w:hAnsi="Calibri" w:cs="Calibri"/>
          <w:bCs/>
          <w:sz w:val="22"/>
          <w:szCs w:val="22"/>
        </w:rPr>
        <w:t xml:space="preserve"> (doložení</w:t>
      </w:r>
      <w:proofErr w:type="gramEnd"/>
      <w:r w:rsidRPr="00181747">
        <w:rPr>
          <w:rFonts w:ascii="Calibri" w:hAnsi="Calibri" w:cs="Calibri"/>
          <w:bCs/>
          <w:sz w:val="22"/>
          <w:szCs w:val="22"/>
        </w:rPr>
        <w:t xml:space="preserve">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314D21" w:rsidRPr="00181747" w:rsidRDefault="00314D21" w:rsidP="00314D21">
      <w:pPr>
        <w:jc w:val="both"/>
        <w:rPr>
          <w:rFonts w:ascii="Calibri" w:hAnsi="Calibri" w:cs="Calibri"/>
          <w:bCs/>
          <w:sz w:val="22"/>
          <w:szCs w:val="22"/>
        </w:rPr>
      </w:pPr>
    </w:p>
    <w:p w:rsidR="00314D21" w:rsidRPr="00181747" w:rsidRDefault="00314D21" w:rsidP="00314D21">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314D21" w:rsidRPr="00181747" w:rsidRDefault="00314D21" w:rsidP="00314D21">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w:t>
      </w:r>
      <w:r w:rsidRPr="00181747">
        <w:rPr>
          <w:rFonts w:ascii="Calibri" w:hAnsi="Calibri" w:cs="Calibri"/>
          <w:bCs/>
          <w:sz w:val="22"/>
          <w:szCs w:val="22"/>
        </w:rPr>
        <w:lastRenderedPageBreak/>
        <w:t xml:space="preserve">bezodkladně oznámit insolvenčnímu správci či likvidátorovi příjemce, že tento přijal dotaci z rozpočtu poskytovatele a váže ho povinnost vyplacenou dotaci vrátit zpět do rozpočtu poskytovatele. </w:t>
      </w:r>
    </w:p>
    <w:p w:rsidR="00314D21" w:rsidRPr="00C326FF" w:rsidRDefault="00314D21" w:rsidP="00314D21">
      <w:pPr>
        <w:rPr>
          <w:rFonts w:ascii="Calibri" w:hAnsi="Calibri" w:cs="Calibri"/>
          <w:b/>
          <w:bCs/>
          <w:sz w:val="22"/>
          <w:szCs w:val="22"/>
        </w:rPr>
      </w:pPr>
    </w:p>
    <w:p w:rsidR="00314D21" w:rsidRPr="00C326FF" w:rsidRDefault="00314D21" w:rsidP="00314D21">
      <w:pPr>
        <w:rPr>
          <w:rFonts w:ascii="Calibri" w:hAnsi="Calibri" w:cs="Calibri"/>
          <w:b/>
          <w:bCs/>
          <w:sz w:val="22"/>
          <w:szCs w:val="22"/>
        </w:rPr>
      </w:pPr>
    </w:p>
    <w:p w:rsidR="00314D21" w:rsidRPr="00C326FF" w:rsidRDefault="00314D21" w:rsidP="00314D21">
      <w:pPr>
        <w:jc w:val="center"/>
        <w:rPr>
          <w:rFonts w:ascii="Calibri" w:hAnsi="Calibri" w:cs="Calibri"/>
          <w:b/>
          <w:bCs/>
          <w:sz w:val="22"/>
          <w:szCs w:val="22"/>
        </w:rPr>
      </w:pPr>
      <w:r w:rsidRPr="00C326FF">
        <w:rPr>
          <w:rFonts w:ascii="Calibri" w:hAnsi="Calibri" w:cs="Calibri"/>
          <w:b/>
          <w:bCs/>
          <w:sz w:val="22"/>
          <w:szCs w:val="22"/>
        </w:rPr>
        <w:t>IX.</w:t>
      </w:r>
    </w:p>
    <w:p w:rsidR="00314D21" w:rsidRDefault="00314D21" w:rsidP="00314D2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314D21" w:rsidRPr="00C326FF" w:rsidRDefault="00314D21" w:rsidP="00314D21">
      <w:pPr>
        <w:jc w:val="center"/>
        <w:rPr>
          <w:rFonts w:ascii="Calibri" w:hAnsi="Calibri" w:cs="Calibri"/>
          <w:b/>
          <w:bCs/>
          <w:sz w:val="22"/>
          <w:szCs w:val="22"/>
        </w:rPr>
      </w:pPr>
    </w:p>
    <w:p w:rsidR="00314D21" w:rsidRPr="006335FD" w:rsidRDefault="00314D21" w:rsidP="00314D21">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314D21" w:rsidRPr="006335FD" w:rsidRDefault="00314D21" w:rsidP="00314D21">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314D21" w:rsidRPr="006335FD" w:rsidRDefault="00314D21" w:rsidP="00314D21">
      <w:pPr>
        <w:jc w:val="both"/>
        <w:rPr>
          <w:rFonts w:ascii="Calibri" w:hAnsi="Calibri" w:cs="Calibri"/>
          <w:bCs/>
          <w:sz w:val="22"/>
          <w:szCs w:val="22"/>
        </w:rPr>
      </w:pPr>
    </w:p>
    <w:p w:rsidR="00314D21" w:rsidRPr="006335FD" w:rsidRDefault="00314D21" w:rsidP="00314D21">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314D21" w:rsidRPr="006335FD" w:rsidRDefault="00314D21" w:rsidP="00314D21">
      <w:pPr>
        <w:jc w:val="both"/>
        <w:rPr>
          <w:rFonts w:ascii="Calibri" w:hAnsi="Calibri" w:cs="Calibri"/>
          <w:bCs/>
          <w:sz w:val="22"/>
          <w:szCs w:val="22"/>
        </w:rPr>
      </w:pPr>
    </w:p>
    <w:p w:rsidR="00314D21" w:rsidRPr="006335FD" w:rsidRDefault="00314D21" w:rsidP="00314D21">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314D21" w:rsidRPr="006335FD" w:rsidRDefault="00314D21" w:rsidP="00314D21">
      <w:pPr>
        <w:jc w:val="both"/>
        <w:rPr>
          <w:rFonts w:ascii="Calibri" w:hAnsi="Calibri" w:cs="Calibri"/>
          <w:bCs/>
          <w:sz w:val="22"/>
          <w:szCs w:val="22"/>
        </w:rPr>
      </w:pPr>
    </w:p>
    <w:p w:rsidR="00314D21" w:rsidRPr="006335FD" w:rsidRDefault="00314D21" w:rsidP="00314D21">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w:t>
      </w:r>
      <w:r>
        <w:rPr>
          <w:rFonts w:ascii="Calibri" w:hAnsi="Calibri" w:cs="Calibri"/>
          <w:bCs/>
          <w:sz w:val="22"/>
          <w:szCs w:val="22"/>
        </w:rPr>
        <w:t>7</w:t>
      </w:r>
      <w:r w:rsidRPr="006335FD">
        <w:rPr>
          <w:rFonts w:ascii="Calibri" w:hAnsi="Calibri" w:cs="Calibri"/>
          <w:bCs/>
          <w:sz w:val="22"/>
          <w:szCs w:val="22"/>
        </w:rPr>
        <w:t xml:space="preserve">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314D21" w:rsidRPr="006335FD" w:rsidRDefault="00314D21" w:rsidP="00314D21">
      <w:pPr>
        <w:rPr>
          <w:rFonts w:ascii="Calibri" w:hAnsi="Calibri" w:cs="Calibri"/>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w:t>
      </w:r>
      <w:r>
        <w:rPr>
          <w:rFonts w:ascii="Calibri" w:hAnsi="Calibri" w:cs="Calibri"/>
          <w:bCs/>
          <w:sz w:val="22"/>
          <w:szCs w:val="22"/>
        </w:rPr>
        <w:t xml:space="preserve">ustanovení </w:t>
      </w:r>
      <w:r w:rsidRPr="00557E4C">
        <w:rPr>
          <w:rFonts w:ascii="Calibri" w:hAnsi="Calibri" w:cs="Calibri"/>
          <w:bCs/>
          <w:sz w:val="22"/>
          <w:szCs w:val="22"/>
        </w:rPr>
        <w:t xml:space="preserve">§ 22 odst. 1 až 3 zákona č. 250/2000 Sb.). V případě, že se příjemce dopustí porušení rozpočtové kázně tím, že neoprávněně použije nebo zadrží poskytnutou dotaci, bude poskytovatel postupovat dle </w:t>
      </w:r>
      <w:r>
        <w:rPr>
          <w:rFonts w:ascii="Calibri" w:hAnsi="Calibri" w:cs="Calibri"/>
          <w:bCs/>
          <w:sz w:val="22"/>
          <w:szCs w:val="22"/>
        </w:rPr>
        <w:t xml:space="preserve">ustanovení </w:t>
      </w:r>
      <w:r w:rsidRPr="00557E4C">
        <w:rPr>
          <w:rFonts w:ascii="Calibri" w:hAnsi="Calibri" w:cs="Calibri"/>
          <w:bCs/>
          <w:sz w:val="22"/>
          <w:szCs w:val="22"/>
        </w:rPr>
        <w:t>§ 22 zákona č. 250/2000 Sb. a bude příjemci uložen odvod včetně penále za prodlení s odvodem ve výši stanovené platnými právními předpisy a touto smlouvou.</w:t>
      </w:r>
    </w:p>
    <w:p w:rsidR="00314D21" w:rsidRDefault="00314D21" w:rsidP="00314D21">
      <w:pPr>
        <w:jc w:val="both"/>
        <w:rPr>
          <w:rFonts w:ascii="Calibri" w:hAnsi="Calibri" w:cs="Calibri"/>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314D21" w:rsidRPr="00557E4C" w:rsidRDefault="00314D21" w:rsidP="00314D21">
      <w:pPr>
        <w:jc w:val="both"/>
        <w:rPr>
          <w:rFonts w:ascii="Calibri" w:hAnsi="Calibri" w:cs="Calibri"/>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314D21" w:rsidRPr="00557E4C" w:rsidRDefault="00314D21" w:rsidP="00314D21">
      <w:pPr>
        <w:rPr>
          <w:rFonts w:ascii="Calibri" w:hAnsi="Calibri" w:cs="Calibri"/>
          <w:b/>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314D21" w:rsidRPr="00557E4C" w:rsidRDefault="00314D21" w:rsidP="00314D21">
      <w:pPr>
        <w:jc w:val="both"/>
        <w:rPr>
          <w:rFonts w:ascii="Calibri" w:hAnsi="Calibri" w:cs="Calibri"/>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314D21" w:rsidRPr="00557E4C" w:rsidRDefault="00314D21" w:rsidP="00314D21">
      <w:pPr>
        <w:jc w:val="both"/>
        <w:rPr>
          <w:rFonts w:ascii="Calibri" w:hAnsi="Calibri" w:cs="Calibri"/>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314D21" w:rsidRPr="00557E4C" w:rsidRDefault="00314D21" w:rsidP="00314D21">
      <w:pPr>
        <w:jc w:val="both"/>
        <w:rPr>
          <w:rFonts w:ascii="Calibri" w:hAnsi="Calibri" w:cs="Calibri"/>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lastRenderedPageBreak/>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314D21" w:rsidRPr="00557E4C" w:rsidRDefault="00314D21" w:rsidP="00314D21">
      <w:pPr>
        <w:jc w:val="both"/>
        <w:rPr>
          <w:rFonts w:ascii="Calibri" w:hAnsi="Calibri" w:cs="Calibri"/>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314D21" w:rsidRPr="00557E4C" w:rsidRDefault="00314D21" w:rsidP="00314D21">
      <w:pPr>
        <w:jc w:val="both"/>
        <w:rPr>
          <w:rFonts w:ascii="Calibri" w:hAnsi="Calibri" w:cs="Calibri"/>
          <w:bCs/>
          <w:sz w:val="22"/>
          <w:szCs w:val="22"/>
        </w:rPr>
      </w:pPr>
    </w:p>
    <w:p w:rsidR="00314D21" w:rsidRPr="00557E4C" w:rsidRDefault="00314D21" w:rsidP="00314D2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314D21" w:rsidRPr="00557E4C" w:rsidRDefault="00314D21" w:rsidP="00314D21">
      <w:pPr>
        <w:rPr>
          <w:rFonts w:ascii="Calibri" w:hAnsi="Calibri" w:cs="Calibri"/>
          <w:b/>
          <w:bCs/>
          <w:sz w:val="22"/>
          <w:szCs w:val="22"/>
        </w:rPr>
      </w:pPr>
    </w:p>
    <w:p w:rsidR="00314D21" w:rsidRPr="0014298D" w:rsidRDefault="00314D21" w:rsidP="00314D21">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w:t>
      </w:r>
      <w:proofErr w:type="spellStart"/>
      <w:r>
        <w:rPr>
          <w:rFonts w:ascii="Calibri" w:hAnsi="Calibri" w:cs="Calibri"/>
          <w:bCs/>
          <w:sz w:val="22"/>
          <w:szCs w:val="22"/>
        </w:rPr>
        <w:t>ust</w:t>
      </w:r>
      <w:proofErr w:type="spellEnd"/>
      <w:r>
        <w:rPr>
          <w:rFonts w:ascii="Calibri" w:hAnsi="Calibri" w:cs="Calibri"/>
          <w:bCs/>
          <w:sz w:val="22"/>
          <w:szCs w:val="22"/>
        </w:rPr>
        <w:t xml:space="preserve">. </w:t>
      </w:r>
      <w:r w:rsidRPr="0014298D">
        <w:rPr>
          <w:rFonts w:ascii="Calibri" w:hAnsi="Calibri" w:cs="Calibri"/>
          <w:bCs/>
          <w:sz w:val="22"/>
          <w:szCs w:val="22"/>
        </w:rPr>
        <w:t xml:space="preserve">§ 22 odst. 2 písm. a) nebo b) zákona č. 250/2000 Sb., odpovídá odvod za porušení rozpočtové kázně výši poskytovaných prostředků, mimo případů, kdy se podle této smlouvy (odst. </w:t>
      </w:r>
      <w:r>
        <w:rPr>
          <w:rFonts w:ascii="Calibri" w:hAnsi="Calibri" w:cs="Calibri"/>
          <w:bCs/>
          <w:sz w:val="22"/>
          <w:szCs w:val="22"/>
        </w:rPr>
        <w:t>4</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314D21" w:rsidRPr="0014298D" w:rsidRDefault="00314D21" w:rsidP="00314D21">
      <w:pPr>
        <w:jc w:val="both"/>
        <w:rPr>
          <w:rFonts w:ascii="Calibri" w:hAnsi="Calibri" w:cs="Calibri"/>
          <w:bCs/>
          <w:sz w:val="22"/>
          <w:szCs w:val="22"/>
        </w:rPr>
      </w:pPr>
    </w:p>
    <w:p w:rsidR="00314D21" w:rsidRPr="0014298D" w:rsidRDefault="00314D21" w:rsidP="00314D21">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314D21" w:rsidRPr="00C326FF" w:rsidRDefault="00314D21" w:rsidP="00314D21">
      <w:pPr>
        <w:rPr>
          <w:rFonts w:ascii="Calibri" w:hAnsi="Calibri" w:cs="Calibri"/>
          <w:b/>
          <w:bCs/>
          <w:sz w:val="22"/>
          <w:szCs w:val="22"/>
        </w:rPr>
      </w:pPr>
    </w:p>
    <w:p w:rsidR="005874FD" w:rsidRDefault="005874FD" w:rsidP="005874FD">
      <w:pPr>
        <w:jc w:val="center"/>
        <w:rPr>
          <w:rFonts w:ascii="Calibri" w:hAnsi="Calibri" w:cs="Calibri"/>
          <w:b/>
          <w:bCs/>
          <w:sz w:val="22"/>
          <w:szCs w:val="22"/>
        </w:rPr>
      </w:pPr>
      <w:r>
        <w:rPr>
          <w:rFonts w:ascii="Calibri" w:hAnsi="Calibri" w:cs="Calibri"/>
          <w:b/>
          <w:bCs/>
          <w:sz w:val="22"/>
          <w:szCs w:val="22"/>
        </w:rPr>
        <w:t>X.</w:t>
      </w:r>
    </w:p>
    <w:p w:rsidR="005874FD" w:rsidRDefault="005874FD" w:rsidP="005874FD">
      <w:pPr>
        <w:jc w:val="center"/>
        <w:rPr>
          <w:rFonts w:ascii="Calibri" w:hAnsi="Calibri" w:cs="Calibri"/>
          <w:b/>
          <w:bCs/>
          <w:sz w:val="22"/>
          <w:szCs w:val="22"/>
        </w:rPr>
      </w:pPr>
      <w:r>
        <w:rPr>
          <w:rFonts w:ascii="Calibri" w:hAnsi="Calibri" w:cs="Calibri"/>
          <w:b/>
          <w:bCs/>
          <w:sz w:val="22"/>
          <w:szCs w:val="22"/>
        </w:rPr>
        <w:t>Ostatní ujednání</w:t>
      </w:r>
    </w:p>
    <w:p w:rsidR="005874FD" w:rsidRDefault="005874FD" w:rsidP="005874FD">
      <w:pPr>
        <w:rPr>
          <w:rFonts w:ascii="Calibri" w:hAnsi="Calibri" w:cs="Calibri"/>
          <w:b/>
          <w:bCs/>
          <w:sz w:val="22"/>
          <w:szCs w:val="22"/>
        </w:rPr>
      </w:pPr>
    </w:p>
    <w:p w:rsidR="00E0031D" w:rsidRDefault="00E0031D" w:rsidP="00E0031D">
      <w:pPr>
        <w:jc w:val="both"/>
        <w:rPr>
          <w:rFonts w:ascii="Calibri" w:hAnsi="Calibri" w:cs="Calibri"/>
          <w:bCs/>
          <w:sz w:val="22"/>
          <w:szCs w:val="22"/>
        </w:rPr>
      </w:pPr>
      <w:r>
        <w:rPr>
          <w:rFonts w:ascii="Calibri" w:hAnsi="Calibri" w:cs="Calibri"/>
          <w:bCs/>
          <w:sz w:val="22"/>
          <w:szCs w:val="22"/>
        </w:rPr>
        <w:t xml:space="preserve">1. Finanční podpora poskytovaná na základě této smlouvy naplňuje kritéria veřejné podpory. </w:t>
      </w:r>
    </w:p>
    <w:p w:rsidR="00E0031D" w:rsidRDefault="00E0031D" w:rsidP="00E0031D">
      <w:pPr>
        <w:jc w:val="both"/>
        <w:rPr>
          <w:rFonts w:ascii="Calibri" w:hAnsi="Calibri" w:cs="Calibri"/>
          <w:bCs/>
          <w:sz w:val="22"/>
          <w:szCs w:val="22"/>
        </w:rPr>
      </w:pPr>
      <w:r>
        <w:rPr>
          <w:rFonts w:ascii="Calibri" w:hAnsi="Calibri" w:cs="Calibri"/>
          <w:bCs/>
          <w:sz w:val="22"/>
          <w:szCs w:val="22"/>
        </w:rPr>
        <w:t xml:space="preserve">Příjemce bere na vědomí, že poskytnutí této investiční/neinvestiční dotace spadá pod režim de </w:t>
      </w:r>
      <w:proofErr w:type="spellStart"/>
      <w:r>
        <w:rPr>
          <w:rFonts w:ascii="Calibri" w:hAnsi="Calibri" w:cs="Calibri"/>
          <w:bCs/>
          <w:sz w:val="22"/>
          <w:szCs w:val="22"/>
        </w:rPr>
        <w:t>minimis</w:t>
      </w:r>
      <w:proofErr w:type="spellEnd"/>
      <w:r>
        <w:rPr>
          <w:rFonts w:ascii="Calibri" w:hAnsi="Calibri" w:cs="Calibri"/>
          <w:bCs/>
          <w:sz w:val="22"/>
          <w:szCs w:val="22"/>
        </w:rPr>
        <w:t xml:space="preserve"> v souladu s článkem 2 nařízení Komise (EU) č. 1407/2013, kdy celková výše podpory de </w:t>
      </w:r>
      <w:proofErr w:type="spellStart"/>
      <w:r>
        <w:rPr>
          <w:rFonts w:ascii="Calibri" w:hAnsi="Calibri" w:cs="Calibri"/>
          <w:bCs/>
          <w:sz w:val="22"/>
          <w:szCs w:val="22"/>
        </w:rPr>
        <w:t>minimis</w:t>
      </w:r>
      <w:proofErr w:type="spellEnd"/>
      <w:r>
        <w:rPr>
          <w:rFonts w:ascii="Calibri" w:hAnsi="Calibri" w:cs="Calibri"/>
          <w:bCs/>
          <w:sz w:val="22"/>
          <w:szCs w:val="22"/>
        </w:rPr>
        <w:t xml:space="preserve"> poskytnutá příjemci, nesmí v rozhodném období (v kterémkoliv tříletém období) přesáhnout částku 200.000 EUR, kdy tímto tříletým obdobím se rozumí současné účetní období a dvě předcházející účetní období.</w:t>
      </w:r>
    </w:p>
    <w:p w:rsidR="00E0031D" w:rsidRDefault="00E0031D" w:rsidP="00E0031D">
      <w:pPr>
        <w:jc w:val="both"/>
        <w:rPr>
          <w:rFonts w:ascii="Calibri" w:hAnsi="Calibri" w:cs="Calibri"/>
          <w:bCs/>
          <w:sz w:val="22"/>
          <w:szCs w:val="22"/>
        </w:rPr>
      </w:pPr>
      <w:r>
        <w:rPr>
          <w:rFonts w:ascii="Calibri" w:hAnsi="Calibri" w:cs="Calibri"/>
          <w:bCs/>
          <w:sz w:val="22"/>
          <w:szCs w:val="22"/>
        </w:rPr>
        <w:t xml:space="preserve">Poskytování veřejné podpory se řídí Smlouvou o fungování Evropské unie a příslušnými právními akty Evropské unie, zejména nařízením Komise (ES) č. 1407/2013 o použití článků 107 a 108 Smlouvy o fungování Evropské unie na podporu de </w:t>
      </w:r>
      <w:proofErr w:type="spellStart"/>
      <w:r>
        <w:rPr>
          <w:rFonts w:ascii="Calibri" w:hAnsi="Calibri" w:cs="Calibri"/>
          <w:bCs/>
          <w:sz w:val="22"/>
          <w:szCs w:val="22"/>
        </w:rPr>
        <w:t>minimis</w:t>
      </w:r>
      <w:proofErr w:type="spellEnd"/>
      <w:r>
        <w:rPr>
          <w:rFonts w:ascii="Calibri" w:hAnsi="Calibri" w:cs="Calibri"/>
          <w:bCs/>
          <w:sz w:val="22"/>
          <w:szCs w:val="22"/>
        </w:rPr>
        <w:t xml:space="preserve"> (dále jen „nařízení o </w:t>
      </w:r>
      <w:proofErr w:type="gramStart"/>
      <w:r>
        <w:rPr>
          <w:rFonts w:ascii="Calibri" w:hAnsi="Calibri" w:cs="Calibri"/>
          <w:bCs/>
          <w:sz w:val="22"/>
          <w:szCs w:val="22"/>
        </w:rPr>
        <w:t>de</w:t>
      </w:r>
      <w:proofErr w:type="gramEnd"/>
      <w:r>
        <w:rPr>
          <w:rFonts w:ascii="Calibri" w:hAnsi="Calibri" w:cs="Calibri"/>
          <w:bCs/>
          <w:sz w:val="22"/>
          <w:szCs w:val="22"/>
        </w:rPr>
        <w:t xml:space="preserve"> </w:t>
      </w:r>
      <w:proofErr w:type="spellStart"/>
      <w:r>
        <w:rPr>
          <w:rFonts w:ascii="Calibri" w:hAnsi="Calibri" w:cs="Calibri"/>
          <w:bCs/>
          <w:sz w:val="22"/>
          <w:szCs w:val="22"/>
        </w:rPr>
        <w:t>minimis</w:t>
      </w:r>
      <w:proofErr w:type="spellEnd"/>
      <w:r>
        <w:rPr>
          <w:rFonts w:ascii="Calibri" w:hAnsi="Calibri" w:cs="Calibri"/>
          <w:bCs/>
          <w:sz w:val="22"/>
          <w:szCs w:val="22"/>
        </w:rPr>
        <w:t xml:space="preserve">“) ze dne 18. 12. 2013, publikovaného v Úředním věstníku Evropské unie pod číslem L 352 ze dne 24. 12. 2013 a zákonem č. 215/2004, o úpravě některých vztahů v oblasti veřejné podpory. Datem poskytnutí podpory de </w:t>
      </w:r>
      <w:proofErr w:type="spellStart"/>
      <w:r>
        <w:rPr>
          <w:rFonts w:ascii="Calibri" w:hAnsi="Calibri" w:cs="Calibri"/>
          <w:bCs/>
          <w:sz w:val="22"/>
          <w:szCs w:val="22"/>
        </w:rPr>
        <w:t>minimis</w:t>
      </w:r>
      <w:proofErr w:type="spellEnd"/>
      <w:r>
        <w:rPr>
          <w:rFonts w:ascii="Calibri" w:hAnsi="Calibri" w:cs="Calibri"/>
          <w:bCs/>
          <w:sz w:val="22"/>
          <w:szCs w:val="22"/>
        </w:rPr>
        <w:t xml:space="preserve"> je den následující po zveřejnění smlouvy v registru smluv. </w:t>
      </w:r>
    </w:p>
    <w:p w:rsidR="00314D21" w:rsidRPr="00F54955" w:rsidRDefault="00314D21" w:rsidP="00314D21">
      <w:pPr>
        <w:jc w:val="both"/>
        <w:rPr>
          <w:rFonts w:ascii="Calibri" w:hAnsi="Calibri" w:cs="Calibri"/>
          <w:bCs/>
          <w:sz w:val="22"/>
          <w:szCs w:val="22"/>
        </w:rPr>
      </w:pPr>
    </w:p>
    <w:p w:rsidR="00314D21" w:rsidRPr="0014298D" w:rsidRDefault="00314D21" w:rsidP="00314D21">
      <w:pPr>
        <w:jc w:val="both"/>
        <w:rPr>
          <w:rFonts w:ascii="Calibri" w:hAnsi="Calibri" w:cs="Calibri"/>
          <w:bCs/>
          <w:sz w:val="22"/>
          <w:szCs w:val="22"/>
        </w:rPr>
      </w:pPr>
      <w:r w:rsidRPr="00F54955">
        <w:rPr>
          <w:rFonts w:ascii="Calibri" w:hAnsi="Calibri" w:cs="Calibri"/>
          <w:bCs/>
          <w:sz w:val="22"/>
          <w:szCs w:val="22"/>
        </w:rPr>
        <w:t>2</w:t>
      </w:r>
      <w:r>
        <w:rPr>
          <w:rFonts w:ascii="Calibri" w:hAnsi="Calibri" w:cs="Calibri"/>
          <w:bCs/>
          <w:sz w:val="22"/>
          <w:szCs w:val="22"/>
        </w:rPr>
        <w:t xml:space="preserve">. </w:t>
      </w:r>
      <w:r w:rsidRPr="00F54955">
        <w:rPr>
          <w:rFonts w:ascii="Calibri" w:hAnsi="Calibri" w:cs="Calibri"/>
          <w:bCs/>
          <w:sz w:val="22"/>
          <w:szCs w:val="22"/>
        </w:rPr>
        <w:t xml:space="preserve">Poskytnutí této neinvestiční dotace poskytovatelem příjemci předcházelo </w:t>
      </w:r>
      <w:r w:rsidRPr="0014298D">
        <w:rPr>
          <w:rFonts w:ascii="Calibri" w:hAnsi="Calibri" w:cs="Calibri"/>
          <w:bCs/>
          <w:sz w:val="22"/>
          <w:szCs w:val="22"/>
        </w:rPr>
        <w:t>ověřen</w:t>
      </w:r>
      <w:r>
        <w:rPr>
          <w:rFonts w:ascii="Calibri" w:hAnsi="Calibri" w:cs="Calibri"/>
          <w:bCs/>
          <w:sz w:val="22"/>
          <w:szCs w:val="22"/>
        </w:rPr>
        <w:t>í</w:t>
      </w:r>
      <w:r w:rsidRPr="0014298D">
        <w:rPr>
          <w:rFonts w:ascii="Calibri" w:hAnsi="Calibri" w:cs="Calibri"/>
          <w:bCs/>
          <w:sz w:val="22"/>
          <w:szCs w:val="22"/>
        </w:rPr>
        <w:t xml:space="preserve"> poskytovatelem v Registru podpor de </w:t>
      </w:r>
      <w:proofErr w:type="spellStart"/>
      <w:r w:rsidRPr="0014298D">
        <w:rPr>
          <w:rFonts w:ascii="Calibri" w:hAnsi="Calibri" w:cs="Calibri"/>
          <w:bCs/>
          <w:sz w:val="22"/>
          <w:szCs w:val="22"/>
        </w:rPr>
        <w:t>minimis</w:t>
      </w:r>
      <w:proofErr w:type="spellEnd"/>
      <w:r>
        <w:rPr>
          <w:rFonts w:ascii="Calibri" w:hAnsi="Calibri" w:cs="Calibri"/>
          <w:bCs/>
          <w:sz w:val="22"/>
          <w:szCs w:val="22"/>
        </w:rPr>
        <w:t xml:space="preserve">, že nedošlo k překročení zákonného limitu </w:t>
      </w:r>
      <w:r w:rsidRPr="0014298D">
        <w:rPr>
          <w:rFonts w:ascii="Calibri" w:hAnsi="Calibri" w:cs="Calibri"/>
          <w:bCs/>
          <w:sz w:val="22"/>
          <w:szCs w:val="22"/>
        </w:rPr>
        <w:t xml:space="preserve">a podpisem smlouvy příjemce garantuje jeho nepřekročení. </w:t>
      </w:r>
    </w:p>
    <w:p w:rsidR="00314D21" w:rsidRPr="00F54955" w:rsidRDefault="00314D21" w:rsidP="00314D21">
      <w:pPr>
        <w:jc w:val="both"/>
        <w:rPr>
          <w:rFonts w:ascii="Calibri" w:hAnsi="Calibri" w:cs="Calibri"/>
          <w:bCs/>
          <w:sz w:val="22"/>
          <w:szCs w:val="22"/>
        </w:rPr>
      </w:pPr>
    </w:p>
    <w:p w:rsidR="00314D21" w:rsidRPr="00F54955" w:rsidRDefault="00314D21" w:rsidP="00314D21">
      <w:pPr>
        <w:jc w:val="both"/>
        <w:rPr>
          <w:rFonts w:ascii="Calibri" w:hAnsi="Calibri" w:cs="Calibri"/>
          <w:bCs/>
          <w:sz w:val="22"/>
          <w:szCs w:val="22"/>
        </w:rPr>
      </w:pPr>
      <w:r>
        <w:rPr>
          <w:rFonts w:ascii="Calibri" w:hAnsi="Calibri" w:cs="Calibri"/>
          <w:bCs/>
          <w:sz w:val="22"/>
          <w:szCs w:val="22"/>
        </w:rPr>
        <w:t xml:space="preserve">3. </w:t>
      </w:r>
      <w:r w:rsidRPr="00F54955">
        <w:rPr>
          <w:rFonts w:ascii="Calibri" w:hAnsi="Calibri" w:cs="Calibri"/>
          <w:bCs/>
          <w:sz w:val="22"/>
          <w:szCs w:val="22"/>
        </w:rPr>
        <w:t xml:space="preserve">Příjemce také bere na vědomí a souhlasí s tím, že údaje o poskytnutí této neinvestiční dotace budou vedeny v centrálním registru podpor de </w:t>
      </w:r>
      <w:proofErr w:type="spellStart"/>
      <w:r w:rsidRPr="00F54955">
        <w:rPr>
          <w:rFonts w:ascii="Calibri" w:hAnsi="Calibri" w:cs="Calibri"/>
          <w:bCs/>
          <w:sz w:val="22"/>
          <w:szCs w:val="22"/>
        </w:rPr>
        <w:t>minimis</w:t>
      </w:r>
      <w:proofErr w:type="spellEnd"/>
      <w:r w:rsidRPr="00F54955">
        <w:rPr>
          <w:rFonts w:ascii="Calibri" w:hAnsi="Calibri" w:cs="Calibri"/>
          <w:bCs/>
          <w:sz w:val="22"/>
          <w:szCs w:val="22"/>
        </w:rPr>
        <w:t xml:space="preserve">. </w:t>
      </w:r>
    </w:p>
    <w:p w:rsidR="00314D21" w:rsidRPr="00F54955" w:rsidRDefault="00314D21" w:rsidP="00314D21">
      <w:pPr>
        <w:jc w:val="both"/>
        <w:rPr>
          <w:rFonts w:ascii="Calibri" w:hAnsi="Calibri" w:cs="Calibri"/>
          <w:bCs/>
          <w:sz w:val="22"/>
          <w:szCs w:val="22"/>
        </w:rPr>
      </w:pPr>
      <w:r w:rsidRPr="00F54955">
        <w:rPr>
          <w:rFonts w:ascii="Calibri" w:hAnsi="Calibri" w:cs="Calibri"/>
          <w:bCs/>
          <w:sz w:val="22"/>
          <w:szCs w:val="22"/>
        </w:rPr>
        <w:tab/>
      </w:r>
    </w:p>
    <w:p w:rsidR="00314D21" w:rsidRPr="00F54955" w:rsidRDefault="00314D21" w:rsidP="00314D21">
      <w:pPr>
        <w:jc w:val="both"/>
        <w:rPr>
          <w:rFonts w:ascii="Calibri" w:hAnsi="Calibri" w:cs="Calibri"/>
          <w:bCs/>
          <w:sz w:val="22"/>
          <w:szCs w:val="22"/>
        </w:rPr>
      </w:pPr>
      <w:r>
        <w:rPr>
          <w:rFonts w:ascii="Calibri" w:hAnsi="Calibri" w:cs="Calibri"/>
          <w:bCs/>
          <w:sz w:val="22"/>
          <w:szCs w:val="22"/>
        </w:rPr>
        <w:t xml:space="preserve">4. </w:t>
      </w:r>
      <w:r w:rsidRPr="00F54955">
        <w:rPr>
          <w:rFonts w:ascii="Calibri" w:hAnsi="Calibri" w:cs="Calibri"/>
          <w:bCs/>
          <w:sz w:val="22"/>
          <w:szCs w:val="22"/>
        </w:rPr>
        <w:t xml:space="preserve">Dále příjemce bere na vědomí, že v případě, že by poskytnutím podpory došlo k překročení celkové stanovené výše, je poskytovatel povinen takovou podporu příjemci nepřidělit, nebo v případě, že již </w:t>
      </w:r>
      <w:r w:rsidRPr="00F54955">
        <w:rPr>
          <w:rFonts w:ascii="Calibri" w:hAnsi="Calibri" w:cs="Calibri"/>
          <w:bCs/>
          <w:sz w:val="22"/>
          <w:szCs w:val="22"/>
        </w:rPr>
        <w:lastRenderedPageBreak/>
        <w:t>byla vyplacena, zajistit její navrácení. V opačném případě musí být opatření, v jehož důsledku se celková výše překračuje, oznámeno Evropské komisi.</w:t>
      </w:r>
    </w:p>
    <w:p w:rsidR="00314D21" w:rsidRPr="00F54955" w:rsidRDefault="00314D21" w:rsidP="00314D21">
      <w:pPr>
        <w:jc w:val="both"/>
        <w:rPr>
          <w:rFonts w:ascii="Calibri" w:hAnsi="Calibri" w:cs="Calibri"/>
          <w:bCs/>
          <w:sz w:val="22"/>
          <w:szCs w:val="22"/>
        </w:rPr>
      </w:pPr>
    </w:p>
    <w:p w:rsidR="00314D21" w:rsidRPr="00F54955" w:rsidRDefault="00314D21" w:rsidP="00314D21">
      <w:pPr>
        <w:jc w:val="both"/>
        <w:rPr>
          <w:rFonts w:ascii="Calibri" w:hAnsi="Calibri" w:cs="Calibri"/>
          <w:bCs/>
          <w:sz w:val="22"/>
          <w:szCs w:val="22"/>
        </w:rPr>
      </w:pPr>
      <w:r>
        <w:rPr>
          <w:rFonts w:ascii="Calibri" w:hAnsi="Calibri" w:cs="Calibri"/>
          <w:bCs/>
          <w:sz w:val="22"/>
          <w:szCs w:val="22"/>
        </w:rPr>
        <w:t xml:space="preserve">5. </w:t>
      </w:r>
      <w:r w:rsidRPr="00F54955">
        <w:rPr>
          <w:rFonts w:ascii="Calibri" w:hAnsi="Calibri" w:cs="Calibri"/>
          <w:bCs/>
          <w:sz w:val="22"/>
          <w:szCs w:val="22"/>
        </w:rPr>
        <w:t>Příjemce má povinnost bezodkladně po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r>
        <w:rPr>
          <w:rFonts w:ascii="Calibri" w:hAnsi="Calibri" w:cs="Calibri"/>
          <w:bCs/>
          <w:sz w:val="22"/>
          <w:szCs w:val="22"/>
        </w:rPr>
        <w:t>.</w:t>
      </w:r>
    </w:p>
    <w:p w:rsidR="00314D21" w:rsidRPr="00F54955" w:rsidRDefault="00314D21" w:rsidP="00314D21">
      <w:pPr>
        <w:jc w:val="both"/>
        <w:rPr>
          <w:rFonts w:ascii="Calibri" w:hAnsi="Calibri" w:cs="Calibri"/>
          <w:bCs/>
          <w:sz w:val="22"/>
          <w:szCs w:val="22"/>
        </w:rPr>
      </w:pPr>
    </w:p>
    <w:p w:rsidR="00314D21" w:rsidRPr="00F54955" w:rsidRDefault="00314D21" w:rsidP="00314D21">
      <w:pPr>
        <w:jc w:val="both"/>
        <w:rPr>
          <w:rFonts w:ascii="Calibri" w:hAnsi="Calibri" w:cs="Calibri"/>
          <w:bCs/>
          <w:sz w:val="22"/>
          <w:szCs w:val="22"/>
        </w:rPr>
      </w:pPr>
      <w:r>
        <w:rPr>
          <w:rFonts w:ascii="Calibri" w:hAnsi="Calibri" w:cs="Calibri"/>
          <w:bCs/>
          <w:sz w:val="22"/>
          <w:szCs w:val="22"/>
        </w:rPr>
        <w:t xml:space="preserve">6. </w:t>
      </w:r>
      <w:r w:rsidRPr="00F54955">
        <w:rPr>
          <w:rFonts w:ascii="Calibri" w:hAnsi="Calibri" w:cs="Calibri"/>
          <w:bCs/>
          <w:sz w:val="22"/>
          <w:szCs w:val="22"/>
        </w:rPr>
        <w:t xml:space="preserve">Podpisem této smlouvy příjemce stvrzuje, že byl seznámen s charakterem poskytované neinvestiční dotace jakožto podpory de </w:t>
      </w:r>
      <w:proofErr w:type="spellStart"/>
      <w:r w:rsidRPr="00F54955">
        <w:rPr>
          <w:rFonts w:ascii="Calibri" w:hAnsi="Calibri" w:cs="Calibri"/>
          <w:bCs/>
          <w:sz w:val="22"/>
          <w:szCs w:val="22"/>
        </w:rPr>
        <w:t>minimis</w:t>
      </w:r>
      <w:proofErr w:type="spellEnd"/>
      <w:r w:rsidRPr="00F54955">
        <w:rPr>
          <w:rFonts w:ascii="Calibri" w:hAnsi="Calibri" w:cs="Calibri"/>
          <w:bCs/>
          <w:sz w:val="22"/>
          <w:szCs w:val="22"/>
        </w:rPr>
        <w:t xml:space="preserve"> a s následky vyplývajícími z nedodržení ustanovení této smlouvy a obecně závazných, platných právních předpisů.</w:t>
      </w:r>
    </w:p>
    <w:p w:rsidR="00314D21" w:rsidRDefault="00314D21" w:rsidP="00314D21">
      <w:pPr>
        <w:jc w:val="both"/>
        <w:rPr>
          <w:rFonts w:ascii="Calibri" w:hAnsi="Calibri" w:cs="Calibri"/>
          <w:bCs/>
          <w:sz w:val="22"/>
          <w:szCs w:val="22"/>
        </w:rPr>
      </w:pPr>
    </w:p>
    <w:p w:rsidR="00314D21" w:rsidRPr="0014298D" w:rsidRDefault="00314D21" w:rsidP="00314D21">
      <w:pPr>
        <w:jc w:val="both"/>
        <w:rPr>
          <w:rFonts w:ascii="Calibri" w:hAnsi="Calibri" w:cs="Calibri"/>
          <w:bCs/>
          <w:sz w:val="22"/>
          <w:szCs w:val="22"/>
        </w:rPr>
      </w:pPr>
      <w:r>
        <w:rPr>
          <w:rFonts w:ascii="Calibri" w:hAnsi="Calibri" w:cs="Calibri"/>
          <w:bCs/>
          <w:sz w:val="22"/>
          <w:szCs w:val="22"/>
        </w:rPr>
        <w:t xml:space="preserve">7. </w:t>
      </w:r>
      <w:r w:rsidRPr="0014298D">
        <w:rPr>
          <w:rFonts w:ascii="Calibri" w:hAnsi="Calibri" w:cs="Calibri"/>
          <w:bCs/>
          <w:sz w:val="22"/>
          <w:szCs w:val="22"/>
        </w:rPr>
        <w:t>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314D21" w:rsidRPr="00C326FF" w:rsidRDefault="00314D21" w:rsidP="00314D21">
      <w:pPr>
        <w:rPr>
          <w:rFonts w:ascii="Calibri" w:hAnsi="Calibri" w:cs="Calibri"/>
          <w:b/>
          <w:bCs/>
          <w:sz w:val="22"/>
          <w:szCs w:val="22"/>
        </w:rPr>
      </w:pPr>
    </w:p>
    <w:p w:rsidR="00314D21" w:rsidRPr="00066059" w:rsidRDefault="00314D21" w:rsidP="00314D21">
      <w:pPr>
        <w:jc w:val="both"/>
        <w:rPr>
          <w:rFonts w:ascii="Calibri" w:hAnsi="Calibri" w:cs="Calibri"/>
          <w:bCs/>
          <w:sz w:val="22"/>
          <w:szCs w:val="22"/>
        </w:rPr>
      </w:pPr>
      <w:r>
        <w:rPr>
          <w:rFonts w:ascii="Calibri" w:hAnsi="Calibri" w:cs="Calibri"/>
          <w:bCs/>
          <w:sz w:val="22"/>
          <w:szCs w:val="22"/>
        </w:rPr>
        <w:t>8</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314D21" w:rsidRPr="00066059" w:rsidRDefault="00314D21" w:rsidP="00314D21">
      <w:pPr>
        <w:jc w:val="both"/>
        <w:rPr>
          <w:rFonts w:ascii="Calibri" w:hAnsi="Calibri" w:cs="Calibri"/>
          <w:bCs/>
          <w:sz w:val="22"/>
          <w:szCs w:val="22"/>
        </w:rPr>
      </w:pPr>
    </w:p>
    <w:p w:rsidR="00314D21" w:rsidRPr="00066059" w:rsidRDefault="00314D21" w:rsidP="00314D21">
      <w:pPr>
        <w:jc w:val="both"/>
        <w:rPr>
          <w:rFonts w:ascii="Calibri" w:hAnsi="Calibri" w:cs="Calibri"/>
          <w:bCs/>
          <w:sz w:val="22"/>
          <w:szCs w:val="22"/>
        </w:rPr>
      </w:pPr>
      <w:r>
        <w:rPr>
          <w:rFonts w:ascii="Calibri" w:hAnsi="Calibri" w:cs="Calibri"/>
          <w:bCs/>
          <w:sz w:val="22"/>
          <w:szCs w:val="22"/>
        </w:rPr>
        <w:t>9</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314D21" w:rsidRPr="00C326FF" w:rsidRDefault="00314D21" w:rsidP="00314D21">
      <w:pPr>
        <w:rPr>
          <w:rFonts w:ascii="Calibri" w:hAnsi="Calibri" w:cs="Calibri"/>
          <w:b/>
          <w:bCs/>
          <w:sz w:val="22"/>
          <w:szCs w:val="22"/>
        </w:rPr>
      </w:pPr>
    </w:p>
    <w:p w:rsidR="00314D21" w:rsidRPr="00C326FF" w:rsidRDefault="00314D21" w:rsidP="00314D21">
      <w:pPr>
        <w:rPr>
          <w:rFonts w:ascii="Calibri" w:hAnsi="Calibri" w:cs="Calibri"/>
          <w:b/>
          <w:bCs/>
          <w:sz w:val="22"/>
          <w:szCs w:val="22"/>
        </w:rPr>
      </w:pPr>
      <w:r w:rsidRPr="00C326FF">
        <w:rPr>
          <w:rFonts w:ascii="Calibri" w:hAnsi="Calibri" w:cs="Calibri"/>
          <w:b/>
          <w:bCs/>
          <w:sz w:val="22"/>
          <w:szCs w:val="22"/>
        </w:rPr>
        <w:t> </w:t>
      </w:r>
    </w:p>
    <w:p w:rsidR="00922685" w:rsidRDefault="00922685" w:rsidP="00922685">
      <w:pPr>
        <w:jc w:val="center"/>
        <w:rPr>
          <w:rFonts w:ascii="Calibri" w:hAnsi="Calibri" w:cs="Calibri"/>
          <w:b/>
          <w:bCs/>
          <w:sz w:val="22"/>
          <w:szCs w:val="22"/>
        </w:rPr>
      </w:pPr>
      <w:r>
        <w:rPr>
          <w:rFonts w:ascii="Calibri" w:hAnsi="Calibri" w:cs="Calibri"/>
          <w:b/>
          <w:bCs/>
          <w:sz w:val="22"/>
          <w:szCs w:val="22"/>
        </w:rPr>
        <w:t>XI.</w:t>
      </w:r>
    </w:p>
    <w:p w:rsidR="00922685" w:rsidRDefault="00922685" w:rsidP="00922685">
      <w:pPr>
        <w:jc w:val="center"/>
        <w:rPr>
          <w:rFonts w:ascii="Calibri" w:hAnsi="Calibri" w:cs="Calibri"/>
          <w:b/>
          <w:bCs/>
          <w:sz w:val="22"/>
          <w:szCs w:val="22"/>
        </w:rPr>
      </w:pPr>
      <w:r>
        <w:rPr>
          <w:rFonts w:ascii="Calibri" w:hAnsi="Calibri" w:cs="Calibri"/>
          <w:b/>
          <w:bCs/>
          <w:sz w:val="22"/>
          <w:szCs w:val="22"/>
        </w:rPr>
        <w:t>Závěrečná ujednání</w:t>
      </w:r>
    </w:p>
    <w:p w:rsidR="00922685" w:rsidRDefault="00922685" w:rsidP="00922685">
      <w:pPr>
        <w:jc w:val="both"/>
        <w:rPr>
          <w:rFonts w:asciiTheme="minorHAnsi" w:hAnsiTheme="minorHAnsi" w:cstheme="minorHAnsi"/>
          <w:bCs/>
          <w:sz w:val="22"/>
          <w:szCs w:val="22"/>
        </w:rPr>
      </w:pPr>
    </w:p>
    <w:p w:rsidR="00922685" w:rsidRDefault="00922685" w:rsidP="00922685">
      <w:pPr>
        <w:jc w:val="both"/>
        <w:rPr>
          <w:rFonts w:asciiTheme="minorHAnsi" w:hAnsiTheme="minorHAnsi" w:cstheme="minorHAnsi"/>
          <w:sz w:val="22"/>
          <w:szCs w:val="22"/>
        </w:rPr>
      </w:pPr>
      <w:r w:rsidRPr="00C42060">
        <w:rPr>
          <w:rFonts w:asciiTheme="minorHAnsi" w:hAnsiTheme="minorHAnsi" w:cstheme="minorHAnsi"/>
          <w:sz w:val="22"/>
          <w:szCs w:val="22"/>
        </w:rPr>
        <w:t>1. Tato smlouva byla schválena usnesením ZM č. Z/</w:t>
      </w:r>
      <w:r w:rsidR="00C42060">
        <w:rPr>
          <w:rFonts w:asciiTheme="minorHAnsi" w:hAnsiTheme="minorHAnsi" w:cstheme="minorHAnsi"/>
          <w:sz w:val="22"/>
          <w:szCs w:val="22"/>
        </w:rPr>
        <w:t>1057/3</w:t>
      </w:r>
      <w:r w:rsidRPr="00C42060">
        <w:rPr>
          <w:rFonts w:asciiTheme="minorHAnsi" w:hAnsiTheme="minorHAnsi" w:cstheme="minorHAnsi"/>
          <w:sz w:val="22"/>
          <w:szCs w:val="22"/>
        </w:rPr>
        <w:t xml:space="preserve"> na jednání dne </w:t>
      </w:r>
      <w:proofErr w:type="gramStart"/>
      <w:r w:rsidR="00984334" w:rsidRPr="00C42060">
        <w:rPr>
          <w:rFonts w:asciiTheme="minorHAnsi" w:hAnsiTheme="minorHAnsi" w:cstheme="minorHAnsi"/>
          <w:sz w:val="22"/>
          <w:szCs w:val="22"/>
        </w:rPr>
        <w:t>13.12.2018</w:t>
      </w:r>
      <w:proofErr w:type="gramEnd"/>
      <w:r w:rsidRPr="00C42060">
        <w:rPr>
          <w:rFonts w:asciiTheme="minorHAnsi" w:hAnsiTheme="minorHAnsi" w:cstheme="minorHAnsi"/>
          <w:sz w:val="22"/>
          <w:szCs w:val="22"/>
        </w:rPr>
        <w:t>.</w:t>
      </w:r>
      <w:r>
        <w:rPr>
          <w:rFonts w:asciiTheme="minorHAnsi" w:hAnsiTheme="minorHAnsi" w:cstheme="minorHAnsi"/>
          <w:sz w:val="22"/>
          <w:szCs w:val="22"/>
        </w:rPr>
        <w:t xml:space="preserve"> </w:t>
      </w:r>
    </w:p>
    <w:p w:rsidR="00922685" w:rsidRDefault="00922685" w:rsidP="00922685">
      <w:pPr>
        <w:jc w:val="both"/>
        <w:rPr>
          <w:rFonts w:asciiTheme="minorHAnsi" w:hAnsiTheme="minorHAnsi" w:cstheme="minorHAnsi"/>
          <w:sz w:val="22"/>
          <w:szCs w:val="22"/>
        </w:rPr>
      </w:pPr>
    </w:p>
    <w:p w:rsidR="00922685" w:rsidRDefault="00922685" w:rsidP="00922685">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922685" w:rsidRDefault="00922685" w:rsidP="00922685">
      <w:pPr>
        <w:jc w:val="both"/>
        <w:rPr>
          <w:rFonts w:asciiTheme="minorHAnsi" w:hAnsiTheme="minorHAnsi" w:cstheme="minorHAnsi"/>
          <w:bCs/>
          <w:sz w:val="22"/>
          <w:szCs w:val="22"/>
        </w:rPr>
      </w:pPr>
    </w:p>
    <w:p w:rsidR="00922685" w:rsidRDefault="00922685" w:rsidP="00922685">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922685" w:rsidRDefault="00922685" w:rsidP="00922685">
      <w:pPr>
        <w:jc w:val="both"/>
        <w:rPr>
          <w:rFonts w:asciiTheme="minorHAnsi" w:hAnsiTheme="minorHAnsi" w:cstheme="minorHAnsi"/>
          <w:bCs/>
          <w:sz w:val="22"/>
          <w:szCs w:val="22"/>
        </w:rPr>
      </w:pPr>
    </w:p>
    <w:p w:rsidR="00922685" w:rsidRDefault="00922685" w:rsidP="00922685">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4E1A6C">
        <w:rPr>
          <w:rFonts w:asciiTheme="minorHAnsi" w:hAnsiTheme="minorHAnsi" w:cstheme="minorHAnsi"/>
          <w:sz w:val="22"/>
          <w:szCs w:val="22"/>
        </w:rPr>
        <w:t>smlouva č. KT/</w:t>
      </w:r>
      <w:r w:rsidR="000F6259">
        <w:rPr>
          <w:rFonts w:asciiTheme="minorHAnsi" w:hAnsiTheme="minorHAnsi" w:cstheme="minorHAnsi"/>
          <w:sz w:val="22"/>
          <w:szCs w:val="22"/>
        </w:rPr>
        <w:t>10077</w:t>
      </w:r>
      <w:r>
        <w:rPr>
          <w:rFonts w:asciiTheme="minorHAnsi" w:hAnsiTheme="minorHAnsi" w:cstheme="minorHAnsi"/>
          <w:sz w:val="22"/>
          <w:szCs w:val="22"/>
        </w:rPr>
        <w:t xml:space="preserve">/18 byla vedena v evidenci smluv vedené městem Litvínov, která bude přístupná dle zákona č. 106/1999 Sb., o svobodném přístupu k informacím v platném znění, a která obsahuje údaje o smluvních stranách, předmětu smlouvy, číselné označení a datum jejího uzavření. </w:t>
      </w:r>
    </w:p>
    <w:p w:rsidR="00922685" w:rsidRDefault="00922685" w:rsidP="00922685">
      <w:pPr>
        <w:jc w:val="both"/>
        <w:rPr>
          <w:rFonts w:asciiTheme="minorHAnsi" w:hAnsiTheme="minorHAnsi" w:cstheme="minorHAnsi"/>
          <w:sz w:val="22"/>
          <w:szCs w:val="22"/>
        </w:rPr>
      </w:pPr>
    </w:p>
    <w:p w:rsidR="00922685" w:rsidRDefault="00922685" w:rsidP="00922685">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v platném znění. </w:t>
      </w:r>
    </w:p>
    <w:p w:rsidR="00922685" w:rsidRDefault="00922685" w:rsidP="00922685">
      <w:pPr>
        <w:jc w:val="both"/>
        <w:rPr>
          <w:rFonts w:asciiTheme="minorHAnsi" w:hAnsiTheme="minorHAnsi" w:cstheme="minorHAnsi"/>
          <w:sz w:val="22"/>
          <w:szCs w:val="22"/>
        </w:rPr>
      </w:pPr>
    </w:p>
    <w:p w:rsidR="000F6259" w:rsidRDefault="000F6259" w:rsidP="00922685">
      <w:pPr>
        <w:jc w:val="both"/>
        <w:rPr>
          <w:rFonts w:asciiTheme="minorHAnsi" w:hAnsiTheme="minorHAnsi" w:cstheme="minorHAnsi"/>
          <w:sz w:val="22"/>
          <w:szCs w:val="22"/>
        </w:rPr>
      </w:pPr>
    </w:p>
    <w:p w:rsidR="000F6259" w:rsidRDefault="000F6259" w:rsidP="00922685">
      <w:pPr>
        <w:jc w:val="both"/>
        <w:rPr>
          <w:rFonts w:asciiTheme="minorHAnsi" w:hAnsiTheme="minorHAnsi" w:cstheme="minorHAnsi"/>
          <w:sz w:val="22"/>
          <w:szCs w:val="22"/>
        </w:rPr>
      </w:pPr>
    </w:p>
    <w:p w:rsidR="00922685" w:rsidRDefault="00922685" w:rsidP="00922685">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 platném znění, poskytovatelem zveřejněna na úřední desce po stanovenou dobu.</w:t>
      </w:r>
    </w:p>
    <w:p w:rsidR="00922685" w:rsidRDefault="00922685" w:rsidP="00922685">
      <w:pPr>
        <w:jc w:val="both"/>
        <w:rPr>
          <w:rFonts w:asciiTheme="minorHAnsi" w:hAnsiTheme="minorHAnsi" w:cstheme="minorHAnsi"/>
          <w:sz w:val="22"/>
          <w:szCs w:val="22"/>
        </w:rPr>
      </w:pPr>
    </w:p>
    <w:p w:rsidR="00922685" w:rsidRDefault="00922685" w:rsidP="00922685">
      <w:pPr>
        <w:jc w:val="both"/>
        <w:rPr>
          <w:rFonts w:asciiTheme="minorHAnsi" w:hAnsiTheme="minorHAnsi" w:cstheme="minorHAnsi"/>
          <w:sz w:val="22"/>
          <w:szCs w:val="22"/>
        </w:rPr>
      </w:pPr>
      <w:r>
        <w:rPr>
          <w:rFonts w:asciiTheme="minorHAnsi" w:hAnsiTheme="minorHAnsi" w:cstheme="minorHAnsi"/>
          <w:sz w:val="22"/>
          <w:szCs w:val="22"/>
        </w:rPr>
        <w:t xml:space="preserve">7. Tato smlouva nabývá platnosti dnem podpisu smluvních stran a nabývá účinnosti dnem, kdy město Litvínov uveřejní smlouvu v informačním systému registru smluv dle podmínek ustanovení zákona č. 340/2015 Sb., o registru </w:t>
      </w:r>
      <w:proofErr w:type="gramStart"/>
      <w:r>
        <w:rPr>
          <w:rFonts w:asciiTheme="minorHAnsi" w:hAnsiTheme="minorHAnsi" w:cstheme="minorHAnsi"/>
          <w:sz w:val="22"/>
          <w:szCs w:val="22"/>
        </w:rPr>
        <w:t>smluv  v platném</w:t>
      </w:r>
      <w:proofErr w:type="gramEnd"/>
      <w:r>
        <w:rPr>
          <w:rFonts w:asciiTheme="minorHAnsi" w:hAnsiTheme="minorHAnsi" w:cstheme="minorHAnsi"/>
          <w:sz w:val="22"/>
          <w:szCs w:val="22"/>
        </w:rPr>
        <w:t xml:space="preserve"> znění.</w:t>
      </w:r>
    </w:p>
    <w:p w:rsidR="00922685" w:rsidRDefault="00922685" w:rsidP="00922685">
      <w:pPr>
        <w:jc w:val="both"/>
        <w:rPr>
          <w:rFonts w:asciiTheme="minorHAnsi" w:hAnsiTheme="minorHAnsi" w:cstheme="minorHAnsi"/>
          <w:sz w:val="22"/>
          <w:szCs w:val="22"/>
        </w:rPr>
      </w:pPr>
      <w:r>
        <w:rPr>
          <w:rFonts w:asciiTheme="minorHAnsi" w:hAnsiTheme="minorHAnsi" w:cstheme="minorHAnsi"/>
          <w:sz w:val="22"/>
          <w:szCs w:val="22"/>
        </w:rPr>
        <w:t xml:space="preserve"> </w:t>
      </w:r>
    </w:p>
    <w:p w:rsidR="00922685" w:rsidRDefault="00922685" w:rsidP="00922685">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 rozpočtu města.</w:t>
      </w:r>
    </w:p>
    <w:p w:rsidR="00922685" w:rsidRDefault="00922685" w:rsidP="00922685">
      <w:pPr>
        <w:jc w:val="both"/>
        <w:rPr>
          <w:rFonts w:asciiTheme="minorHAnsi" w:hAnsiTheme="minorHAnsi" w:cstheme="minorHAnsi"/>
          <w:bCs/>
          <w:sz w:val="22"/>
          <w:szCs w:val="22"/>
        </w:rPr>
      </w:pPr>
    </w:p>
    <w:p w:rsidR="00922685" w:rsidRDefault="00922685" w:rsidP="00922685">
      <w:pPr>
        <w:jc w:val="both"/>
        <w:rPr>
          <w:rFonts w:asciiTheme="minorHAnsi" w:hAnsiTheme="minorHAnsi" w:cstheme="minorHAnsi"/>
          <w:bCs/>
          <w:sz w:val="22"/>
          <w:szCs w:val="22"/>
        </w:rPr>
      </w:pPr>
      <w:r>
        <w:rPr>
          <w:rFonts w:asciiTheme="minorHAnsi" w:hAnsiTheme="minorHAnsi" w:cstheme="minorHAnsi"/>
          <w:bCs/>
          <w:sz w:val="22"/>
          <w:szCs w:val="22"/>
        </w:rPr>
        <w:t>9. Na důkaz výslovného souhlasu s obsahem a všemi ustanoveními této smlouvy a své pravé, svobodné a vážné vůle, je tato smlouva po jejím přečtení smluvními stranami vlastnoručně podepsána.</w:t>
      </w:r>
    </w:p>
    <w:p w:rsidR="00243D6A" w:rsidRDefault="00B163ED" w:rsidP="00243D6A">
      <w:pPr>
        <w:rPr>
          <w:rFonts w:ascii="Calibri" w:hAnsi="Calibri" w:cs="Calibri"/>
          <w:b/>
          <w:bCs/>
          <w:sz w:val="22"/>
          <w:szCs w:val="22"/>
        </w:rPr>
      </w:pPr>
      <w:r>
        <w:rPr>
          <w:rFonts w:ascii="Calibri" w:hAnsi="Calibri" w:cs="Calibri"/>
          <w:b/>
          <w:bCs/>
          <w:sz w:val="22"/>
          <w:szCs w:val="22"/>
        </w:rPr>
        <w:t xml:space="preserve"> </w:t>
      </w:r>
    </w:p>
    <w:p w:rsidR="00243D6A" w:rsidRPr="00C326FF" w:rsidRDefault="00243D6A" w:rsidP="00243D6A">
      <w:pPr>
        <w:rPr>
          <w:rFonts w:ascii="Calibri" w:hAnsi="Calibri" w:cs="Calibri"/>
          <w:b/>
          <w:bCs/>
          <w:sz w:val="22"/>
          <w:szCs w:val="22"/>
        </w:rPr>
      </w:pPr>
    </w:p>
    <w:p w:rsidR="00243D6A" w:rsidRPr="009679B4" w:rsidRDefault="00243D6A" w:rsidP="00243D6A">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w:t>
      </w:r>
      <w:r w:rsidR="003C47A5">
        <w:rPr>
          <w:rFonts w:ascii="Calibri" w:hAnsi="Calibri" w:cs="Calibri"/>
          <w:sz w:val="22"/>
          <w:szCs w:val="22"/>
        </w:rPr>
        <w:t xml:space="preserve">   </w:t>
      </w:r>
      <w:r w:rsidRPr="009679B4">
        <w:rPr>
          <w:rFonts w:ascii="Calibri" w:hAnsi="Calibri" w:cs="Calibri"/>
          <w:sz w:val="22"/>
          <w:szCs w:val="22"/>
        </w:rPr>
        <w:t>V Litvínově dne ……………</w:t>
      </w:r>
    </w:p>
    <w:p w:rsidR="00243D6A" w:rsidRPr="009679B4" w:rsidRDefault="00243D6A" w:rsidP="00243D6A">
      <w:pPr>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p>
    <w:p w:rsidR="00243D6A" w:rsidRDefault="00243D6A" w:rsidP="00243D6A">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243D6A" w:rsidRDefault="00F42AF7" w:rsidP="00243D6A">
      <w:pPr>
        <w:jc w:val="both"/>
        <w:rPr>
          <w:rFonts w:ascii="Calibri" w:hAnsi="Calibri" w:cs="Calibri"/>
          <w:sz w:val="22"/>
          <w:szCs w:val="22"/>
        </w:rPr>
      </w:pPr>
      <w:r>
        <w:rPr>
          <w:rFonts w:asciiTheme="minorHAnsi" w:hAnsiTheme="minorHAnsi" w:cstheme="minorHAnsi"/>
          <w:sz w:val="22"/>
          <w:szCs w:val="22"/>
        </w:rPr>
        <w:t xml:space="preserve">Mgr. Jana </w:t>
      </w:r>
      <w:proofErr w:type="spellStart"/>
      <w:r>
        <w:rPr>
          <w:rFonts w:asciiTheme="minorHAnsi" w:hAnsiTheme="minorHAnsi" w:cstheme="minorHAnsi"/>
          <w:sz w:val="22"/>
          <w:szCs w:val="22"/>
        </w:rPr>
        <w:t>Galinová</w:t>
      </w:r>
      <w:proofErr w:type="spellEnd"/>
      <w:r>
        <w:rPr>
          <w:rFonts w:asciiTheme="minorHAnsi" w:hAnsiTheme="minorHAnsi" w:cstheme="minorHAnsi"/>
          <w:sz w:val="22"/>
          <w:szCs w:val="22"/>
        </w:rPr>
        <w:tab/>
      </w:r>
      <w:r w:rsidR="00243D6A">
        <w:rPr>
          <w:rFonts w:asciiTheme="minorHAnsi" w:hAnsiTheme="minorHAnsi" w:cstheme="minorHAnsi"/>
          <w:sz w:val="22"/>
          <w:szCs w:val="22"/>
        </w:rPr>
        <w:tab/>
      </w:r>
      <w:r w:rsidR="00243D6A">
        <w:rPr>
          <w:rFonts w:asciiTheme="minorHAnsi" w:hAnsiTheme="minorHAnsi" w:cstheme="minorHAnsi"/>
          <w:sz w:val="22"/>
          <w:szCs w:val="22"/>
        </w:rPr>
        <w:tab/>
      </w:r>
      <w:r w:rsidR="00243D6A">
        <w:rPr>
          <w:rFonts w:asciiTheme="minorHAnsi" w:hAnsiTheme="minorHAnsi" w:cstheme="minorHAnsi"/>
          <w:sz w:val="22"/>
          <w:szCs w:val="22"/>
        </w:rPr>
        <w:tab/>
        <w:t xml:space="preserve">             </w:t>
      </w:r>
      <w:r w:rsidR="00243D6A">
        <w:rPr>
          <w:rFonts w:ascii="Calibri" w:hAnsi="Calibri" w:cs="Calibri"/>
          <w:sz w:val="22"/>
          <w:szCs w:val="22"/>
        </w:rPr>
        <w:t>Mgr. Kamila Bláhová</w:t>
      </w:r>
    </w:p>
    <w:p w:rsidR="00243D6A" w:rsidRDefault="00243D6A" w:rsidP="00243D6A">
      <w:pPr>
        <w:jc w:val="both"/>
        <w:rPr>
          <w:rFonts w:ascii="Calibri" w:hAnsi="Calibri" w:cs="Calibri"/>
          <w:sz w:val="22"/>
          <w:szCs w:val="22"/>
        </w:rPr>
      </w:pPr>
      <w:r>
        <w:rPr>
          <w:rFonts w:ascii="Calibri" w:hAnsi="Calibri" w:cs="Calibri"/>
          <w:sz w:val="22"/>
          <w:szCs w:val="22"/>
        </w:rPr>
        <w:t>řed</w:t>
      </w:r>
      <w:r w:rsidR="00BA7AF8">
        <w:rPr>
          <w:rFonts w:ascii="Calibri" w:hAnsi="Calibri" w:cs="Calibri"/>
          <w:sz w:val="22"/>
          <w:szCs w:val="22"/>
        </w:rPr>
        <w:t>itelka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starostka města                 </w:t>
      </w:r>
    </w:p>
    <w:p w:rsidR="00F42AF7" w:rsidRDefault="00BA7AF8" w:rsidP="00243D6A">
      <w:pPr>
        <w:rPr>
          <w:rFonts w:ascii="Arial" w:hAnsi="Arial" w:cs="Arial"/>
        </w:rPr>
      </w:pPr>
      <w:r>
        <w:rPr>
          <w:rFonts w:ascii="Arial" w:hAnsi="Arial" w:cs="Arial"/>
        </w:rPr>
        <w:tab/>
      </w:r>
      <w:r>
        <w:rPr>
          <w:rFonts w:ascii="Arial" w:hAnsi="Arial" w:cs="Arial"/>
        </w:rPr>
        <w:tab/>
      </w:r>
      <w:r w:rsidR="00243D6A">
        <w:rPr>
          <w:rFonts w:ascii="Arial" w:hAnsi="Arial" w:cs="Arial"/>
        </w:rPr>
        <w:tab/>
      </w:r>
      <w:r w:rsidR="00243D6A">
        <w:rPr>
          <w:rFonts w:ascii="Arial" w:hAnsi="Arial" w:cs="Arial"/>
        </w:rPr>
        <w:tab/>
      </w:r>
    </w:p>
    <w:p w:rsidR="00F42AF7" w:rsidRDefault="00F42AF7" w:rsidP="00243D6A">
      <w:pPr>
        <w:rPr>
          <w:rFonts w:ascii="Arial" w:hAnsi="Arial" w:cs="Arial"/>
        </w:rPr>
      </w:pPr>
    </w:p>
    <w:p w:rsidR="00243D6A" w:rsidRPr="003C47A5" w:rsidRDefault="00F42AF7" w:rsidP="00243D6A">
      <w:pPr>
        <w:rPr>
          <w:rFonts w:asciiTheme="minorHAnsi" w:hAnsiTheme="minorHAnsi" w:cs="Arial"/>
        </w:rPr>
      </w:pPr>
      <w:r w:rsidRPr="003C47A5">
        <w:rPr>
          <w:rFonts w:asciiTheme="minorHAnsi" w:hAnsiTheme="minorHAnsi" w:cs="Arial"/>
        </w:rPr>
        <w:tab/>
      </w:r>
      <w:r w:rsidRPr="003C47A5">
        <w:rPr>
          <w:rFonts w:asciiTheme="minorHAnsi" w:hAnsiTheme="minorHAnsi" w:cs="Arial"/>
        </w:rPr>
        <w:tab/>
      </w:r>
      <w:r w:rsidRPr="003C47A5">
        <w:rPr>
          <w:rFonts w:asciiTheme="minorHAnsi" w:hAnsiTheme="minorHAnsi" w:cs="Arial"/>
        </w:rPr>
        <w:tab/>
      </w:r>
      <w:r w:rsidRPr="003C47A5">
        <w:rPr>
          <w:rFonts w:asciiTheme="minorHAnsi" w:hAnsiTheme="minorHAnsi" w:cs="Arial"/>
        </w:rPr>
        <w:tab/>
      </w:r>
      <w:r w:rsidR="00243D6A" w:rsidRPr="003C47A5">
        <w:rPr>
          <w:rFonts w:asciiTheme="minorHAnsi" w:hAnsiTheme="minorHAnsi" w:cs="Arial"/>
        </w:rPr>
        <w:tab/>
      </w:r>
      <w:r w:rsidR="00243D6A" w:rsidRPr="003C47A5">
        <w:rPr>
          <w:rFonts w:asciiTheme="minorHAnsi" w:hAnsiTheme="minorHAnsi" w:cs="Arial"/>
        </w:rPr>
        <w:tab/>
        <w:t xml:space="preserve">                                       Smlouva číslo: KT/</w:t>
      </w:r>
      <w:r w:rsidR="000F6259">
        <w:rPr>
          <w:rFonts w:asciiTheme="minorHAnsi" w:hAnsiTheme="minorHAnsi" w:cs="Arial"/>
        </w:rPr>
        <w:t>10077/18</w:t>
      </w:r>
      <w:r w:rsidR="00243D6A" w:rsidRPr="003C47A5">
        <w:rPr>
          <w:rFonts w:asciiTheme="minorHAnsi" w:hAnsiTheme="minorHAnsi"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243D6A" w:rsidRPr="003C47A5"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lang w:eastAsia="en-US"/>
              </w:rPr>
            </w:pPr>
            <w:r w:rsidRPr="003C47A5">
              <w:rPr>
                <w:rFonts w:asciiTheme="minorHAnsi" w:hAnsiTheme="minorHAnsi"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jc w:val="center"/>
              <w:rPr>
                <w:rFonts w:asciiTheme="minorHAnsi" w:hAnsiTheme="minorHAnsi" w:cs="Arial"/>
                <w:b/>
                <w:lang w:eastAsia="en-US"/>
              </w:rPr>
            </w:pPr>
            <w:r w:rsidRPr="003C47A5">
              <w:rPr>
                <w:rFonts w:asciiTheme="minorHAnsi" w:hAnsiTheme="minorHAnsi"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jc w:val="center"/>
              <w:rPr>
                <w:rFonts w:asciiTheme="minorHAnsi" w:hAnsiTheme="minorHAnsi" w:cs="Arial"/>
                <w:b/>
                <w:lang w:eastAsia="en-US"/>
              </w:rPr>
            </w:pPr>
            <w:r w:rsidRPr="003C47A5">
              <w:rPr>
                <w:rFonts w:asciiTheme="minorHAnsi" w:hAnsiTheme="minorHAnsi"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jc w:val="center"/>
              <w:rPr>
                <w:rFonts w:asciiTheme="minorHAnsi" w:hAnsiTheme="minorHAnsi" w:cs="Arial"/>
                <w:b/>
                <w:lang w:eastAsia="en-US"/>
              </w:rPr>
            </w:pPr>
            <w:r w:rsidRPr="003C47A5">
              <w:rPr>
                <w:rFonts w:asciiTheme="minorHAnsi" w:hAnsiTheme="minorHAnsi"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jc w:val="center"/>
              <w:rPr>
                <w:rFonts w:asciiTheme="minorHAnsi" w:hAnsiTheme="minorHAnsi" w:cs="Arial"/>
                <w:b/>
                <w:lang w:eastAsia="en-US"/>
              </w:rPr>
            </w:pPr>
            <w:r w:rsidRPr="003C47A5">
              <w:rPr>
                <w:rFonts w:asciiTheme="minorHAnsi" w:hAnsiTheme="minorHAnsi" w:cs="Arial"/>
                <w:b/>
                <w:lang w:eastAsia="en-US"/>
              </w:rPr>
              <w:t>Podpis</w:t>
            </w:r>
          </w:p>
        </w:tc>
      </w:tr>
      <w:tr w:rsidR="00243D6A" w:rsidRPr="003C47A5" w:rsidTr="007E7FE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lang w:eastAsia="en-US"/>
              </w:rPr>
            </w:pPr>
            <w:r w:rsidRPr="003C47A5">
              <w:rPr>
                <w:rFonts w:asciiTheme="minorHAnsi" w:hAnsiTheme="minorHAnsi"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3C47A5" w:rsidRDefault="008B6FFB" w:rsidP="00BA7AF8">
            <w:pPr>
              <w:spacing w:line="276" w:lineRule="auto"/>
              <w:rPr>
                <w:rFonts w:asciiTheme="minorHAnsi" w:hAnsiTheme="minorHAnsi" w:cs="Arial"/>
                <w:lang w:eastAsia="en-US"/>
              </w:rPr>
            </w:pPr>
            <w:proofErr w:type="gramStart"/>
            <w:r w:rsidRPr="003C47A5">
              <w:rPr>
                <w:rFonts w:asciiTheme="minorHAnsi" w:hAnsiTheme="minorHAnsi" w:cs="Arial"/>
                <w:lang w:eastAsia="en-US"/>
              </w:rPr>
              <w:t>20.10.2018</w:t>
            </w:r>
            <w:proofErr w:type="gramEnd"/>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lang w:eastAsia="en-US"/>
              </w:rPr>
            </w:pPr>
            <w:r w:rsidRPr="003C47A5">
              <w:rPr>
                <w:rFonts w:asciiTheme="minorHAnsi" w:hAnsiTheme="minorHAnsi" w:cs="Arial"/>
                <w:lang w:eastAsia="en-US"/>
              </w:rPr>
              <w:t xml:space="preserve">Kateřina </w:t>
            </w:r>
            <w:proofErr w:type="spellStart"/>
            <w:r w:rsidRPr="003C47A5">
              <w:rPr>
                <w:rFonts w:asciiTheme="minorHAnsi" w:hAnsiTheme="minorHAnsi" w:cs="Arial"/>
                <w:lang w:eastAsia="en-US"/>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sz w:val="16"/>
                <w:szCs w:val="16"/>
                <w:lang w:eastAsia="en-US"/>
              </w:rPr>
            </w:pPr>
            <w:r w:rsidRPr="003C47A5">
              <w:rPr>
                <w:rFonts w:asciiTheme="minorHAnsi" w:hAnsiTheme="minorHAnsi" w:cs="Arial"/>
                <w:sz w:val="16"/>
                <w:szCs w:val="16"/>
                <w:lang w:eastAsia="en-US"/>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3C47A5" w:rsidRDefault="00243D6A" w:rsidP="009C1B86">
            <w:pPr>
              <w:spacing w:line="276" w:lineRule="auto"/>
              <w:rPr>
                <w:rFonts w:asciiTheme="minorHAnsi" w:hAnsiTheme="minorHAnsi" w:cs="Arial"/>
                <w:lang w:eastAsia="en-US"/>
              </w:rPr>
            </w:pPr>
          </w:p>
        </w:tc>
      </w:tr>
      <w:tr w:rsidR="00243D6A" w:rsidRPr="003C47A5"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lang w:eastAsia="en-US"/>
              </w:rPr>
            </w:pPr>
            <w:r w:rsidRPr="003C47A5">
              <w:rPr>
                <w:rFonts w:asciiTheme="minorHAnsi" w:hAnsiTheme="minorHAnsi"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3C47A5" w:rsidRDefault="003C47A5" w:rsidP="009C1B86">
            <w:pPr>
              <w:spacing w:line="276" w:lineRule="auto"/>
              <w:rPr>
                <w:rFonts w:asciiTheme="minorHAnsi" w:hAnsiTheme="minorHAnsi" w:cs="Arial"/>
                <w:lang w:eastAsia="en-US"/>
              </w:rPr>
            </w:pPr>
            <w:proofErr w:type="gramStart"/>
            <w:r>
              <w:rPr>
                <w:rFonts w:asciiTheme="minorHAnsi" w:hAnsiTheme="minorHAnsi" w:cs="Arial"/>
                <w:lang w:eastAsia="en-US"/>
              </w:rPr>
              <w:t>21.11.2018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lang w:eastAsia="en-US"/>
              </w:rPr>
            </w:pPr>
            <w:r w:rsidRPr="003C47A5">
              <w:rPr>
                <w:rFonts w:asciiTheme="minorHAnsi" w:hAnsiTheme="minorHAnsi" w:cs="Arial"/>
                <w:lang w:eastAsia="en-US"/>
              </w:rPr>
              <w:t>Mgr. Veronika Knoblochová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lang w:eastAsia="en-US"/>
              </w:rPr>
            </w:pPr>
            <w:r w:rsidRPr="003C47A5">
              <w:rPr>
                <w:rFonts w:asciiTheme="minorHAnsi" w:hAnsiTheme="minorHAnsi" w:cs="Arial"/>
                <w:sz w:val="16"/>
                <w:szCs w:val="16"/>
                <w:lang w:eastAsia="en-US"/>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3C47A5" w:rsidRDefault="00243D6A" w:rsidP="009C1B86">
            <w:pPr>
              <w:spacing w:line="276" w:lineRule="auto"/>
              <w:rPr>
                <w:rFonts w:asciiTheme="minorHAnsi" w:hAnsiTheme="minorHAnsi" w:cs="Arial"/>
                <w:lang w:eastAsia="en-US"/>
              </w:rPr>
            </w:pPr>
          </w:p>
        </w:tc>
      </w:tr>
      <w:tr w:rsidR="00243D6A" w:rsidRPr="003C47A5"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lang w:eastAsia="en-US"/>
              </w:rPr>
            </w:pPr>
            <w:r w:rsidRPr="003C47A5">
              <w:rPr>
                <w:rFonts w:asciiTheme="minorHAnsi" w:hAnsiTheme="minorHAnsi"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3C47A5" w:rsidRDefault="003C47A5" w:rsidP="009C1B86">
            <w:pPr>
              <w:spacing w:line="276" w:lineRule="auto"/>
              <w:rPr>
                <w:rFonts w:asciiTheme="minorHAnsi" w:hAnsiTheme="minorHAnsi" w:cs="Arial"/>
                <w:lang w:eastAsia="en-US"/>
              </w:rPr>
            </w:pPr>
            <w:proofErr w:type="gramStart"/>
            <w:r>
              <w:rPr>
                <w:rFonts w:asciiTheme="minorHAnsi" w:hAnsiTheme="minorHAnsi" w:cs="Arial"/>
                <w:lang w:eastAsia="en-US"/>
              </w:rPr>
              <w:t>21.11.2018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lang w:eastAsia="en-US"/>
              </w:rPr>
            </w:pPr>
            <w:r w:rsidRPr="003C47A5">
              <w:rPr>
                <w:rFonts w:asciiTheme="minorHAnsi" w:hAnsiTheme="minorHAnsi" w:cs="Arial"/>
                <w:lang w:eastAsia="en-US"/>
              </w:rPr>
              <w:t>Libuše Eichlerová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lang w:eastAsia="en-US"/>
              </w:rPr>
            </w:pPr>
            <w:r w:rsidRPr="003C47A5">
              <w:rPr>
                <w:rFonts w:asciiTheme="minorHAnsi" w:hAnsiTheme="minorHAnsi" w:cs="Arial"/>
                <w:sz w:val="16"/>
                <w:szCs w:val="16"/>
                <w:lang w:eastAsia="en-US"/>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243D6A" w:rsidRPr="003C47A5" w:rsidRDefault="00243D6A" w:rsidP="009C1B86">
            <w:pPr>
              <w:spacing w:line="276" w:lineRule="auto"/>
              <w:rPr>
                <w:rFonts w:asciiTheme="minorHAnsi" w:hAnsiTheme="minorHAnsi" w:cs="Arial"/>
                <w:lang w:eastAsia="en-US"/>
              </w:rPr>
            </w:pPr>
          </w:p>
        </w:tc>
      </w:tr>
      <w:tr w:rsidR="00243D6A" w:rsidRPr="003C47A5"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lang w:eastAsia="en-US"/>
              </w:rPr>
            </w:pPr>
            <w:r w:rsidRPr="003C47A5">
              <w:rPr>
                <w:rFonts w:asciiTheme="minorHAnsi" w:hAnsiTheme="minorHAnsi"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3C47A5" w:rsidRDefault="00243D6A" w:rsidP="009C1B86">
            <w:pPr>
              <w:spacing w:line="276" w:lineRule="auto"/>
              <w:rPr>
                <w:rFonts w:asciiTheme="minorHAnsi" w:hAnsiTheme="minorHAnsi"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7E7FE1" w:rsidP="009C1B86">
            <w:pPr>
              <w:spacing w:line="276" w:lineRule="auto"/>
              <w:rPr>
                <w:rFonts w:asciiTheme="minorHAnsi" w:hAnsiTheme="minorHAnsi" w:cs="Arial"/>
                <w:lang w:eastAsia="en-US"/>
              </w:rPr>
            </w:pPr>
            <w:r w:rsidRPr="003C47A5">
              <w:rPr>
                <w:rFonts w:asciiTheme="minorHAnsi" w:hAnsiTheme="minorHAnsi" w:cs="Arial"/>
                <w:lang w:eastAsia="en-US"/>
              </w:rPr>
              <w:t xml:space="preserve">Mgr. Pavla </w:t>
            </w:r>
            <w:proofErr w:type="spellStart"/>
            <w:r w:rsidRPr="003C47A5">
              <w:rPr>
                <w:rFonts w:asciiTheme="minorHAnsi" w:hAnsiTheme="minorHAnsi" w:cs="Arial"/>
                <w:lang w:eastAsia="en-US"/>
              </w:rPr>
              <w:t>Schniererová</w:t>
            </w:r>
            <w:proofErr w:type="spellEnd"/>
            <w:r w:rsidRPr="003C47A5">
              <w:rPr>
                <w:rFonts w:asciiTheme="minorHAnsi" w:hAnsiTheme="minorHAnsi" w:cs="Arial"/>
                <w:lang w:eastAsia="en-US"/>
              </w:rPr>
              <w:t xml:space="preserve"> </w:t>
            </w:r>
            <w:proofErr w:type="spellStart"/>
            <w:r w:rsidRPr="003C47A5">
              <w:rPr>
                <w:rFonts w:asciiTheme="minorHAnsi" w:hAnsiTheme="minorHAnsi" w:cs="Arial"/>
                <w:lang w:eastAsia="en-US"/>
              </w:rPr>
              <w:t>Masičová</w:t>
            </w:r>
            <w:proofErr w:type="spellEnd"/>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lang w:eastAsia="en-US"/>
              </w:rPr>
            </w:pPr>
            <w:r w:rsidRPr="003C47A5">
              <w:rPr>
                <w:rFonts w:asciiTheme="minorHAnsi" w:hAnsiTheme="minorHAnsi"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Pr="003C47A5" w:rsidRDefault="00243D6A" w:rsidP="009C1B86">
            <w:pPr>
              <w:spacing w:line="276" w:lineRule="auto"/>
              <w:rPr>
                <w:rFonts w:asciiTheme="minorHAnsi" w:hAnsiTheme="minorHAnsi" w:cs="Arial"/>
                <w:lang w:eastAsia="en-US"/>
              </w:rPr>
            </w:pPr>
          </w:p>
        </w:tc>
      </w:tr>
      <w:tr w:rsidR="00243D6A" w:rsidRPr="003C47A5"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lang w:eastAsia="en-US"/>
              </w:rPr>
            </w:pPr>
            <w:r w:rsidRPr="003C47A5">
              <w:rPr>
                <w:rFonts w:asciiTheme="minorHAnsi" w:hAnsiTheme="minorHAnsi"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3C47A5" w:rsidRDefault="003C47A5" w:rsidP="009C1B86">
            <w:pPr>
              <w:spacing w:line="276" w:lineRule="auto"/>
              <w:rPr>
                <w:rFonts w:asciiTheme="minorHAnsi" w:hAnsiTheme="minorHAnsi" w:cs="Arial"/>
                <w:lang w:eastAsia="en-US"/>
              </w:rPr>
            </w:pPr>
            <w:proofErr w:type="gramStart"/>
            <w:r>
              <w:rPr>
                <w:rFonts w:asciiTheme="minorHAnsi" w:hAnsiTheme="minorHAnsi" w:cs="Arial"/>
                <w:lang w:eastAsia="en-US"/>
              </w:rPr>
              <w:t>05.12.2018</w:t>
            </w:r>
            <w:proofErr w:type="gramEnd"/>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sz w:val="18"/>
                <w:szCs w:val="18"/>
                <w:lang w:eastAsia="en-US"/>
              </w:rPr>
            </w:pPr>
            <w:r w:rsidRPr="003C47A5">
              <w:rPr>
                <w:rFonts w:asciiTheme="minorHAnsi" w:hAnsiTheme="minorHAnsi"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Pr="003C47A5" w:rsidRDefault="00984334" w:rsidP="009C1B86">
            <w:pPr>
              <w:spacing w:line="276" w:lineRule="auto"/>
              <w:rPr>
                <w:rFonts w:asciiTheme="minorHAnsi" w:hAnsiTheme="minorHAnsi" w:cs="Arial"/>
                <w:b/>
                <w:sz w:val="18"/>
                <w:szCs w:val="18"/>
                <w:lang w:eastAsia="en-US"/>
              </w:rPr>
            </w:pPr>
            <w:r>
              <w:rPr>
                <w:rFonts w:asciiTheme="minorHAnsi" w:hAnsiTheme="minorHAnsi" w:cs="Arial"/>
                <w:b/>
                <w:sz w:val="18"/>
                <w:szCs w:val="18"/>
              </w:rPr>
              <w:t>R/2875/2</w:t>
            </w:r>
          </w:p>
        </w:tc>
        <w:tc>
          <w:tcPr>
            <w:tcW w:w="2272" w:type="dxa"/>
          </w:tcPr>
          <w:p w:rsidR="00243D6A" w:rsidRPr="003C47A5" w:rsidRDefault="00243D6A" w:rsidP="009C1B86">
            <w:pPr>
              <w:spacing w:line="276" w:lineRule="auto"/>
              <w:rPr>
                <w:rFonts w:asciiTheme="minorHAnsi" w:hAnsiTheme="minorHAnsi" w:cs="Arial"/>
                <w:b/>
                <w:sz w:val="18"/>
                <w:szCs w:val="18"/>
                <w:lang w:eastAsia="en-US"/>
              </w:rPr>
            </w:pPr>
          </w:p>
        </w:tc>
      </w:tr>
      <w:tr w:rsidR="00243D6A" w:rsidRPr="003C47A5"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lang w:eastAsia="en-US"/>
              </w:rPr>
            </w:pPr>
            <w:r w:rsidRPr="003C47A5">
              <w:rPr>
                <w:rFonts w:asciiTheme="minorHAnsi" w:hAnsiTheme="minorHAnsi"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243D6A" w:rsidRPr="003C47A5" w:rsidRDefault="003C47A5" w:rsidP="009C1B86">
            <w:pPr>
              <w:spacing w:line="276" w:lineRule="auto"/>
              <w:rPr>
                <w:rFonts w:asciiTheme="minorHAnsi" w:hAnsiTheme="minorHAnsi" w:cs="Arial"/>
                <w:lang w:eastAsia="en-US"/>
              </w:rPr>
            </w:pPr>
            <w:r>
              <w:rPr>
                <w:rFonts w:asciiTheme="minorHAnsi" w:hAnsiTheme="minorHAnsi" w:cs="Arial"/>
                <w:lang w:eastAsia="en-US"/>
              </w:rPr>
              <w:t>13.12.2018</w:t>
            </w: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sz w:val="18"/>
                <w:szCs w:val="18"/>
                <w:lang w:eastAsia="en-US"/>
              </w:rPr>
            </w:pPr>
            <w:r w:rsidRPr="003C47A5">
              <w:rPr>
                <w:rFonts w:asciiTheme="minorHAnsi" w:hAnsiTheme="minorHAnsi"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sz w:val="18"/>
                <w:szCs w:val="18"/>
                <w:lang w:eastAsia="en-US"/>
              </w:rPr>
            </w:pPr>
            <w:r w:rsidRPr="003C47A5">
              <w:rPr>
                <w:rFonts w:asciiTheme="minorHAnsi" w:hAnsiTheme="minorHAnsi" w:cs="Arial"/>
                <w:b/>
                <w:sz w:val="18"/>
                <w:szCs w:val="18"/>
                <w:lang w:eastAsia="en-US"/>
              </w:rPr>
              <w:t>Z/</w:t>
            </w:r>
            <w:r w:rsidR="00C42060">
              <w:rPr>
                <w:rFonts w:asciiTheme="minorHAnsi" w:hAnsiTheme="minorHAnsi" w:cs="Arial"/>
                <w:b/>
                <w:sz w:val="18"/>
                <w:szCs w:val="18"/>
                <w:lang w:eastAsia="en-US"/>
              </w:rPr>
              <w:t>1057/3</w:t>
            </w:r>
          </w:p>
        </w:tc>
        <w:tc>
          <w:tcPr>
            <w:tcW w:w="2272" w:type="dxa"/>
          </w:tcPr>
          <w:p w:rsidR="00243D6A" w:rsidRPr="003C47A5" w:rsidRDefault="00243D6A" w:rsidP="009C1B86">
            <w:pPr>
              <w:spacing w:line="276" w:lineRule="auto"/>
              <w:rPr>
                <w:rFonts w:asciiTheme="minorHAnsi" w:hAnsiTheme="minorHAnsi" w:cs="Arial"/>
                <w:b/>
                <w:sz w:val="18"/>
                <w:szCs w:val="18"/>
                <w:lang w:eastAsia="en-US"/>
              </w:rPr>
            </w:pPr>
          </w:p>
        </w:tc>
      </w:tr>
      <w:tr w:rsidR="00243D6A" w:rsidRPr="003C47A5" w:rsidTr="009C1B8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lang w:eastAsia="en-US"/>
              </w:rPr>
            </w:pPr>
            <w:r w:rsidRPr="003C47A5">
              <w:rPr>
                <w:rFonts w:asciiTheme="minorHAnsi" w:hAnsiTheme="minorHAnsi"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sz w:val="18"/>
                <w:szCs w:val="18"/>
                <w:lang w:eastAsia="en-US"/>
              </w:rPr>
            </w:pPr>
            <w:proofErr w:type="gramStart"/>
            <w:r w:rsidRPr="003C47A5">
              <w:rPr>
                <w:rFonts w:asciiTheme="minorHAnsi" w:hAnsiTheme="minorHAnsi" w:cs="Arial"/>
                <w:b/>
                <w:sz w:val="18"/>
                <w:szCs w:val="18"/>
                <w:lang w:eastAsia="en-US"/>
              </w:rPr>
              <w:t>Od</w:t>
            </w:r>
            <w:proofErr w:type="gramEnd"/>
            <w:r w:rsidRPr="003C47A5">
              <w:rPr>
                <w:rFonts w:asciiTheme="minorHAnsi" w:hAnsiTheme="minorHAnsi" w:cs="Arial"/>
                <w:b/>
                <w:sz w:val="18"/>
                <w:szCs w:val="18"/>
                <w:lang w:eastAsia="en-US"/>
              </w:rPr>
              <w:t>:</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sz w:val="18"/>
                <w:szCs w:val="18"/>
                <w:lang w:eastAsia="en-US"/>
              </w:rPr>
            </w:pPr>
            <w:proofErr w:type="gramStart"/>
            <w:r w:rsidRPr="003C47A5">
              <w:rPr>
                <w:rFonts w:asciiTheme="minorHAnsi" w:hAnsiTheme="minorHAnsi" w:cs="Arial"/>
                <w:b/>
                <w:sz w:val="18"/>
                <w:szCs w:val="18"/>
                <w:lang w:eastAsia="en-US"/>
              </w:rPr>
              <w:t>Do</w:t>
            </w:r>
            <w:proofErr w:type="gramEnd"/>
            <w:r w:rsidRPr="003C47A5">
              <w:rPr>
                <w:rFonts w:asciiTheme="minorHAnsi" w:hAnsiTheme="minorHAnsi" w:cs="Arial"/>
                <w:b/>
                <w:sz w:val="18"/>
                <w:szCs w:val="18"/>
                <w:lang w:eastAsia="en-US"/>
              </w:rPr>
              <w:t>:</w:t>
            </w:r>
          </w:p>
        </w:tc>
        <w:tc>
          <w:tcPr>
            <w:tcW w:w="1758" w:type="dxa"/>
          </w:tcPr>
          <w:p w:rsidR="00243D6A" w:rsidRPr="003C47A5" w:rsidRDefault="00243D6A" w:rsidP="009C1B86">
            <w:pPr>
              <w:spacing w:line="276" w:lineRule="auto"/>
              <w:rPr>
                <w:rFonts w:asciiTheme="minorHAnsi" w:hAnsiTheme="minorHAnsi" w:cs="Arial"/>
                <w:b/>
                <w:sz w:val="18"/>
                <w:szCs w:val="18"/>
                <w:lang w:eastAsia="en-US"/>
              </w:rPr>
            </w:pPr>
          </w:p>
        </w:tc>
        <w:tc>
          <w:tcPr>
            <w:tcW w:w="2272" w:type="dxa"/>
          </w:tcPr>
          <w:p w:rsidR="00243D6A" w:rsidRPr="003C47A5" w:rsidRDefault="00243D6A" w:rsidP="009C1B86">
            <w:pPr>
              <w:spacing w:line="276" w:lineRule="auto"/>
              <w:rPr>
                <w:rFonts w:asciiTheme="minorHAnsi" w:hAnsiTheme="minorHAnsi" w:cs="Arial"/>
                <w:b/>
                <w:sz w:val="18"/>
                <w:szCs w:val="18"/>
                <w:lang w:eastAsia="en-US"/>
              </w:rPr>
            </w:pPr>
          </w:p>
        </w:tc>
      </w:tr>
      <w:tr w:rsidR="00243D6A" w:rsidRPr="003C47A5" w:rsidTr="007E7FE1">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243D6A" w:rsidRPr="003C47A5" w:rsidRDefault="00243D6A" w:rsidP="009C1B86">
            <w:pPr>
              <w:spacing w:line="276" w:lineRule="auto"/>
              <w:rPr>
                <w:rFonts w:asciiTheme="minorHAnsi" w:hAnsiTheme="minorHAnsi" w:cs="Arial"/>
                <w:b/>
                <w:lang w:eastAsia="en-US"/>
              </w:rPr>
            </w:pPr>
            <w:r w:rsidRPr="003C47A5">
              <w:rPr>
                <w:rFonts w:asciiTheme="minorHAnsi" w:hAnsiTheme="minorHAnsi"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243D6A" w:rsidRPr="003C47A5" w:rsidRDefault="00243D6A" w:rsidP="009C1B86">
            <w:pPr>
              <w:spacing w:line="276" w:lineRule="auto"/>
              <w:rPr>
                <w:rFonts w:asciiTheme="minorHAnsi" w:hAnsiTheme="minorHAnsi"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243D6A" w:rsidRPr="003C47A5" w:rsidRDefault="008B6FFB" w:rsidP="009C1B86">
            <w:pPr>
              <w:spacing w:line="276" w:lineRule="auto"/>
              <w:rPr>
                <w:rFonts w:asciiTheme="minorHAnsi" w:hAnsiTheme="minorHAnsi" w:cs="Arial"/>
                <w:lang w:eastAsia="en-US"/>
              </w:rPr>
            </w:pPr>
            <w:r w:rsidRPr="003C47A5">
              <w:rPr>
                <w:rFonts w:asciiTheme="minorHAnsi" w:hAnsiTheme="minorHAnsi" w:cs="Arial"/>
                <w:lang w:eastAsia="en-US"/>
              </w:rPr>
              <w:t>Erika Sedláčková</w:t>
            </w: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hideMark/>
          </w:tcPr>
          <w:p w:rsidR="00243D6A" w:rsidRPr="003C47A5" w:rsidRDefault="008B6FFB" w:rsidP="009C1B86">
            <w:pPr>
              <w:spacing w:line="276" w:lineRule="auto"/>
              <w:rPr>
                <w:rFonts w:asciiTheme="minorHAnsi" w:hAnsiTheme="minorHAnsi" w:cs="Arial"/>
                <w:lang w:eastAsia="en-US"/>
              </w:rPr>
            </w:pPr>
            <w:r w:rsidRPr="003C47A5">
              <w:rPr>
                <w:rFonts w:asciiTheme="minorHAnsi" w:hAnsiTheme="minorHAnsi" w:cs="Arial"/>
                <w:lang w:eastAsia="en-US"/>
              </w:rPr>
              <w:t xml:space="preserve">1. </w:t>
            </w:r>
            <w:r w:rsidR="00243D6A" w:rsidRPr="003C47A5">
              <w:rPr>
                <w:rFonts w:asciiTheme="minorHAnsi" w:hAnsiTheme="minorHAnsi" w:cs="Arial"/>
                <w:lang w:eastAsia="en-US"/>
              </w:rPr>
              <w:t>místostarostka</w:t>
            </w: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243D6A" w:rsidRPr="003C47A5" w:rsidRDefault="00243D6A" w:rsidP="009C1B86">
            <w:pPr>
              <w:spacing w:line="276" w:lineRule="auto"/>
              <w:rPr>
                <w:rFonts w:asciiTheme="minorHAnsi" w:hAnsiTheme="minorHAnsi" w:cs="Arial"/>
                <w:lang w:eastAsia="en-US"/>
              </w:rPr>
            </w:pPr>
          </w:p>
        </w:tc>
      </w:tr>
    </w:tbl>
    <w:p w:rsidR="00BD4490" w:rsidRPr="003C47A5" w:rsidRDefault="00BD4490">
      <w:pPr>
        <w:rPr>
          <w:rFonts w:asciiTheme="minorHAnsi" w:hAnsiTheme="minorHAnsi"/>
        </w:rPr>
      </w:pPr>
    </w:p>
    <w:sectPr w:rsidR="00BD4490" w:rsidRPr="003C47A5">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4C" w:rsidRDefault="001A004C" w:rsidP="003B7B6A">
      <w:r>
        <w:separator/>
      </w:r>
    </w:p>
  </w:endnote>
  <w:endnote w:type="continuationSeparator" w:id="0">
    <w:p w:rsidR="001A004C" w:rsidRDefault="001A004C" w:rsidP="003B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415FD3">
    <w:pPr>
      <w:pStyle w:val="Zpat"/>
      <w:jc w:val="right"/>
    </w:pPr>
    <w:r>
      <w:t>Docela velké divadlo</w:t>
    </w:r>
    <w:r w:rsidR="003B7B6A">
      <w:t>, o.p.s.</w:t>
    </w:r>
    <w:r w:rsidR="00EA06BD">
      <w:t xml:space="preserve"> - o poskytnutí </w:t>
    </w:r>
    <w:r w:rsidR="00471200">
      <w:t xml:space="preserve">neinvestiční </w:t>
    </w:r>
    <w:proofErr w:type="gramStart"/>
    <w:r w:rsidR="00471200">
      <w:t>dotace  na</w:t>
    </w:r>
    <w:proofErr w:type="gramEnd"/>
    <w:r w:rsidR="00471200">
      <w:t xml:space="preserve"> rok 2019</w:t>
    </w:r>
  </w:p>
  <w:p w:rsidR="00936E05" w:rsidRDefault="00EA06BD">
    <w:pPr>
      <w:pStyle w:val="Zpat"/>
      <w:jc w:val="right"/>
    </w:pPr>
    <w:r>
      <w:fldChar w:fldCharType="begin"/>
    </w:r>
    <w:r>
      <w:instrText xml:space="preserve"> PAGE </w:instrText>
    </w:r>
    <w:r>
      <w:fldChar w:fldCharType="separate"/>
    </w:r>
    <w:r w:rsidR="00820507">
      <w:rPr>
        <w:noProof/>
      </w:rPr>
      <w:t>1</w:t>
    </w:r>
    <w:r>
      <w:fldChar w:fldCharType="end"/>
    </w:r>
  </w:p>
  <w:p w:rsidR="00936E05" w:rsidRDefault="001A004C">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4C" w:rsidRDefault="001A004C" w:rsidP="003B7B6A">
      <w:r>
        <w:separator/>
      </w:r>
    </w:p>
  </w:footnote>
  <w:footnote w:type="continuationSeparator" w:id="0">
    <w:p w:rsidR="001A004C" w:rsidRDefault="001A004C" w:rsidP="003B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EA06BD">
    <w:pPr>
      <w:pStyle w:val="Zhlav"/>
    </w:pPr>
    <w:r>
      <w:tab/>
    </w:r>
    <w:r>
      <w:tab/>
      <w:t>KT/</w:t>
    </w:r>
    <w:r w:rsidR="000F6259">
      <w:t>10077/18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6149"/>
    <w:multiLevelType w:val="hybridMultilevel"/>
    <w:tmpl w:val="E6840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C5D8F"/>
    <w:multiLevelType w:val="hybridMultilevel"/>
    <w:tmpl w:val="E814F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3EF01B0"/>
    <w:multiLevelType w:val="hybridMultilevel"/>
    <w:tmpl w:val="DEEEC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E7132E5"/>
    <w:multiLevelType w:val="hybridMultilevel"/>
    <w:tmpl w:val="840652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1"/>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6A"/>
    <w:rsid w:val="00005C2C"/>
    <w:rsid w:val="000115B4"/>
    <w:rsid w:val="00027D74"/>
    <w:rsid w:val="00032F6D"/>
    <w:rsid w:val="00074EEF"/>
    <w:rsid w:val="000F6259"/>
    <w:rsid w:val="0010072B"/>
    <w:rsid w:val="00114912"/>
    <w:rsid w:val="001310A0"/>
    <w:rsid w:val="001A004C"/>
    <w:rsid w:val="0020425B"/>
    <w:rsid w:val="00243D6A"/>
    <w:rsid w:val="00265D65"/>
    <w:rsid w:val="002C2035"/>
    <w:rsid w:val="00314D21"/>
    <w:rsid w:val="00386D39"/>
    <w:rsid w:val="003A6F91"/>
    <w:rsid w:val="003B7B6A"/>
    <w:rsid w:val="003C47A5"/>
    <w:rsid w:val="00415FD3"/>
    <w:rsid w:val="00453E65"/>
    <w:rsid w:val="00471200"/>
    <w:rsid w:val="0056576A"/>
    <w:rsid w:val="005874FD"/>
    <w:rsid w:val="006A2A63"/>
    <w:rsid w:val="007A2DF5"/>
    <w:rsid w:val="007A560C"/>
    <w:rsid w:val="007A57CB"/>
    <w:rsid w:val="007B0088"/>
    <w:rsid w:val="007E5FA3"/>
    <w:rsid w:val="007E7FE1"/>
    <w:rsid w:val="00820507"/>
    <w:rsid w:val="00882B11"/>
    <w:rsid w:val="008B41F5"/>
    <w:rsid w:val="008B6FFB"/>
    <w:rsid w:val="008E089B"/>
    <w:rsid w:val="00910AC1"/>
    <w:rsid w:val="00922685"/>
    <w:rsid w:val="009337E5"/>
    <w:rsid w:val="009348BB"/>
    <w:rsid w:val="00984334"/>
    <w:rsid w:val="00A655B2"/>
    <w:rsid w:val="00AB67CF"/>
    <w:rsid w:val="00B163ED"/>
    <w:rsid w:val="00B6531C"/>
    <w:rsid w:val="00BA7AF8"/>
    <w:rsid w:val="00BB11CB"/>
    <w:rsid w:val="00BD4490"/>
    <w:rsid w:val="00C01C66"/>
    <w:rsid w:val="00C06EB4"/>
    <w:rsid w:val="00C144F8"/>
    <w:rsid w:val="00C42060"/>
    <w:rsid w:val="00D617B5"/>
    <w:rsid w:val="00D73919"/>
    <w:rsid w:val="00E0031D"/>
    <w:rsid w:val="00EA06BD"/>
    <w:rsid w:val="00F42AF7"/>
    <w:rsid w:val="00FC5912"/>
    <w:rsid w:val="00FD2F6F"/>
    <w:rsid w:val="00FE1FE5"/>
    <w:rsid w:val="00FF0C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3D6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243D6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243D6A"/>
    <w:rPr>
      <w:rFonts w:ascii="Times New Roman" w:eastAsia="Times New Roman" w:hAnsi="Times New Roman" w:cs="Times New Roman"/>
      <w:szCs w:val="24"/>
      <w:lang w:eastAsia="cs-CZ"/>
    </w:rPr>
  </w:style>
  <w:style w:type="paragraph" w:styleId="Zpat">
    <w:name w:val="footer"/>
    <w:basedOn w:val="Normln"/>
    <w:link w:val="ZpatChar"/>
    <w:rsid w:val="00243D6A"/>
    <w:pPr>
      <w:tabs>
        <w:tab w:val="center" w:pos="4536"/>
        <w:tab w:val="right" w:pos="9072"/>
      </w:tabs>
    </w:pPr>
  </w:style>
  <w:style w:type="character" w:customStyle="1" w:styleId="ZpatChar">
    <w:name w:val="Zápatí Char"/>
    <w:basedOn w:val="Standardnpsmoodstavce"/>
    <w:link w:val="Zpat"/>
    <w:rsid w:val="00243D6A"/>
    <w:rPr>
      <w:rFonts w:ascii="Times New Roman" w:eastAsia="Times New Roman" w:hAnsi="Times New Roman" w:cs="Times New Roman"/>
      <w:sz w:val="20"/>
      <w:szCs w:val="20"/>
      <w:lang w:eastAsia="cs-CZ"/>
    </w:rPr>
  </w:style>
  <w:style w:type="paragraph" w:styleId="Zhlav">
    <w:name w:val="header"/>
    <w:basedOn w:val="Normln"/>
    <w:link w:val="ZhlavChar"/>
    <w:rsid w:val="00243D6A"/>
    <w:pPr>
      <w:tabs>
        <w:tab w:val="center" w:pos="4536"/>
        <w:tab w:val="right" w:pos="9072"/>
      </w:tabs>
    </w:pPr>
  </w:style>
  <w:style w:type="character" w:customStyle="1" w:styleId="ZhlavChar">
    <w:name w:val="Záhlaví Char"/>
    <w:basedOn w:val="Standardnpsmoodstavce"/>
    <w:link w:val="Zhlav"/>
    <w:rsid w:val="00243D6A"/>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43D6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243D6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243D6A"/>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243D6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17276">
      <w:bodyDiv w:val="1"/>
      <w:marLeft w:val="0"/>
      <w:marRight w:val="0"/>
      <w:marTop w:val="0"/>
      <w:marBottom w:val="0"/>
      <w:divBdr>
        <w:top w:val="none" w:sz="0" w:space="0" w:color="auto"/>
        <w:left w:val="none" w:sz="0" w:space="0" w:color="auto"/>
        <w:bottom w:val="none" w:sz="0" w:space="0" w:color="auto"/>
        <w:right w:val="none" w:sz="0" w:space="0" w:color="auto"/>
      </w:divBdr>
    </w:div>
    <w:div w:id="852962717">
      <w:bodyDiv w:val="1"/>
      <w:marLeft w:val="0"/>
      <w:marRight w:val="0"/>
      <w:marTop w:val="0"/>
      <w:marBottom w:val="0"/>
      <w:divBdr>
        <w:top w:val="none" w:sz="0" w:space="0" w:color="auto"/>
        <w:left w:val="none" w:sz="0" w:space="0" w:color="auto"/>
        <w:bottom w:val="none" w:sz="0" w:space="0" w:color="auto"/>
        <w:right w:val="none" w:sz="0" w:space="0" w:color="auto"/>
      </w:divBdr>
    </w:div>
    <w:div w:id="1060446446">
      <w:bodyDiv w:val="1"/>
      <w:marLeft w:val="0"/>
      <w:marRight w:val="0"/>
      <w:marTop w:val="0"/>
      <w:marBottom w:val="0"/>
      <w:divBdr>
        <w:top w:val="none" w:sz="0" w:space="0" w:color="auto"/>
        <w:left w:val="none" w:sz="0" w:space="0" w:color="auto"/>
        <w:bottom w:val="none" w:sz="0" w:space="0" w:color="auto"/>
        <w:right w:val="none" w:sz="0" w:space="0" w:color="auto"/>
      </w:divBdr>
    </w:div>
    <w:div w:id="1106773337">
      <w:bodyDiv w:val="1"/>
      <w:marLeft w:val="0"/>
      <w:marRight w:val="0"/>
      <w:marTop w:val="0"/>
      <w:marBottom w:val="0"/>
      <w:divBdr>
        <w:top w:val="none" w:sz="0" w:space="0" w:color="auto"/>
        <w:left w:val="none" w:sz="0" w:space="0" w:color="auto"/>
        <w:bottom w:val="none" w:sz="0" w:space="0" w:color="auto"/>
        <w:right w:val="none" w:sz="0" w:space="0" w:color="auto"/>
      </w:divBdr>
    </w:div>
    <w:div w:id="1455058730">
      <w:bodyDiv w:val="1"/>
      <w:marLeft w:val="0"/>
      <w:marRight w:val="0"/>
      <w:marTop w:val="0"/>
      <w:marBottom w:val="0"/>
      <w:divBdr>
        <w:top w:val="none" w:sz="0" w:space="0" w:color="auto"/>
        <w:left w:val="none" w:sz="0" w:space="0" w:color="auto"/>
        <w:bottom w:val="none" w:sz="0" w:space="0" w:color="auto"/>
        <w:right w:val="none" w:sz="0" w:space="0" w:color="auto"/>
      </w:divBdr>
    </w:div>
    <w:div w:id="18383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19418</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2019-01-10T12:33:00Z</dcterms:created>
  <dcterms:modified xsi:type="dcterms:W3CDTF">2019-01-10T12:33:00Z</dcterms:modified>
</cp:coreProperties>
</file>