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AB" w:rsidRPr="002C7CB3" w:rsidRDefault="00DF01AB" w:rsidP="0004290A">
      <w:pPr>
        <w:pStyle w:val="Nadpis2-BS"/>
        <w:numPr>
          <w:ilvl w:val="0"/>
          <w:numId w:val="0"/>
        </w:numPr>
        <w:rPr>
          <w:rFonts w:asciiTheme="majorBidi" w:hAnsiTheme="majorBidi" w:cstheme="majorBidi"/>
        </w:rPr>
      </w:pPr>
    </w:p>
    <w:p w:rsidR="00DF01AB" w:rsidRPr="00EB6B92" w:rsidRDefault="00DF01AB" w:rsidP="00EB6B92">
      <w:pPr>
        <w:spacing w:after="0" w:line="240" w:lineRule="auto"/>
        <w:jc w:val="right"/>
        <w:rPr>
          <w:rFonts w:asciiTheme="majorBidi" w:hAnsiTheme="majorBidi" w:cstheme="majorBidi"/>
          <w:color w:val="0D0D0D"/>
          <w:sz w:val="16"/>
          <w:szCs w:val="16"/>
        </w:rPr>
      </w:pPr>
    </w:p>
    <w:p w:rsidR="00DF01AB" w:rsidRPr="00EB6B92" w:rsidRDefault="00EB6B92" w:rsidP="00EB6B92">
      <w:pPr>
        <w:tabs>
          <w:tab w:val="left" w:pos="8257"/>
        </w:tabs>
        <w:spacing w:after="0" w:line="240" w:lineRule="auto"/>
        <w:jc w:val="right"/>
        <w:rPr>
          <w:rFonts w:asciiTheme="majorBidi" w:hAnsiTheme="majorBidi" w:cstheme="majorBidi"/>
          <w:color w:val="0D0D0D"/>
          <w:sz w:val="20"/>
          <w:szCs w:val="20"/>
        </w:rPr>
      </w:pPr>
      <w:r w:rsidRPr="00EB6B92">
        <w:rPr>
          <w:rFonts w:asciiTheme="majorBidi" w:hAnsiTheme="majorBidi" w:cstheme="majorBidi"/>
          <w:color w:val="0D0D0D"/>
          <w:sz w:val="20"/>
          <w:szCs w:val="20"/>
        </w:rPr>
        <w:t>č. smlouvy 2019-00002/ORI</w:t>
      </w:r>
    </w:p>
    <w:tbl>
      <w:tblPr>
        <w:tblpPr w:leftFromText="142" w:rightFromText="142" w:vertAnchor="text" w:horzAnchor="margin" w:tblpY="284"/>
        <w:tblW w:w="0" w:type="auto"/>
        <w:tblLook w:val="00A0"/>
      </w:tblPr>
      <w:tblGrid>
        <w:gridCol w:w="9212"/>
      </w:tblGrid>
      <w:tr w:rsidR="00DF01AB" w:rsidRPr="002C7CB3" w:rsidTr="00E121FB">
        <w:trPr>
          <w:trHeight w:val="8369"/>
        </w:trPr>
        <w:tc>
          <w:tcPr>
            <w:tcW w:w="9212" w:type="dxa"/>
          </w:tcPr>
          <w:p w:rsidR="00DF01AB" w:rsidRPr="002C7CB3" w:rsidRDefault="00DF01AB" w:rsidP="00E121FB">
            <w:pPr>
              <w:spacing w:after="0" w:line="240" w:lineRule="auto"/>
              <w:jc w:val="center"/>
              <w:rPr>
                <w:rFonts w:asciiTheme="majorBidi" w:hAnsiTheme="majorBidi" w:cstheme="majorBidi"/>
                <w:color w:val="0D0D0D"/>
                <w:sz w:val="40"/>
                <w:szCs w:val="19"/>
              </w:rPr>
            </w:pPr>
          </w:p>
          <w:p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rsidTr="00E121FB">
        <w:trPr>
          <w:trHeight w:val="2522"/>
        </w:trPr>
        <w:tc>
          <w:tcPr>
            <w:tcW w:w="9212" w:type="dxa"/>
            <w:vAlign w:val="bottom"/>
          </w:tcPr>
          <w:p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lastRenderedPageBreak/>
              <w:drawing>
                <wp:inline distT="0" distB="0" distL="0" distR="0">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3659" cy="702955"/>
                          </a:xfrm>
                          <a:prstGeom prst="rect">
                            <a:avLst/>
                          </a:prstGeom>
                        </pic:spPr>
                      </pic:pic>
                    </a:graphicData>
                  </a:graphic>
                </wp:inline>
              </w:drawing>
            </w:r>
          </w:p>
          <w:p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rsidR="00DF01AB" w:rsidRPr="002C7CB3" w:rsidRDefault="00DF01AB" w:rsidP="0064176A">
      <w:pPr>
        <w:spacing w:after="0" w:line="240" w:lineRule="auto"/>
        <w:jc w:val="center"/>
        <w:rPr>
          <w:rFonts w:asciiTheme="majorBidi" w:hAnsiTheme="majorBidi" w:cstheme="majorBidi"/>
          <w:smallCaps/>
          <w:color w:val="0D0D0D"/>
          <w:sz w:val="4"/>
          <w:szCs w:val="4"/>
        </w:rPr>
      </w:pPr>
    </w:p>
    <w:p w:rsidR="00DF01AB" w:rsidRPr="002C7CB3" w:rsidRDefault="00DF01AB" w:rsidP="00A3244D">
      <w:pPr>
        <w:spacing w:after="0"/>
        <w:rPr>
          <w:rFonts w:asciiTheme="majorBidi" w:hAnsiTheme="majorBidi" w:cstheme="majorBidi"/>
          <w:smallCaps/>
          <w:sz w:val="20"/>
          <w:szCs w:val="20"/>
        </w:rPr>
      </w:pPr>
    </w:p>
    <w:p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rsidR="00FC44E2" w:rsidRDefault="0018061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Pr>
            <w:webHidden/>
          </w:rPr>
          <w:fldChar w:fldCharType="begin"/>
        </w:r>
        <w:r w:rsidR="00FC44E2">
          <w:rPr>
            <w:webHidden/>
          </w:rPr>
          <w:instrText xml:space="preserve"> PAGEREF _Toc532217301 \h </w:instrText>
        </w:r>
        <w:r>
          <w:rPr>
            <w:webHidden/>
          </w:rPr>
        </w:r>
        <w:r>
          <w:rPr>
            <w:webHidden/>
          </w:rPr>
          <w:fldChar w:fldCharType="separate"/>
        </w:r>
        <w:r w:rsidR="00EB6B92">
          <w:rPr>
            <w:webHidden/>
          </w:rPr>
          <w:t>3</w:t>
        </w:r>
        <w:r>
          <w:rPr>
            <w:webHidden/>
          </w:rPr>
          <w:fldChar w:fldCharType="end"/>
        </w:r>
      </w:hyperlink>
    </w:p>
    <w:p w:rsidR="00FC44E2" w:rsidRDefault="00180615">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Pr>
            <w:webHidden/>
          </w:rPr>
          <w:fldChar w:fldCharType="begin"/>
        </w:r>
        <w:r w:rsidR="00FC44E2">
          <w:rPr>
            <w:webHidden/>
          </w:rPr>
          <w:instrText xml:space="preserve"> PAGEREF _Toc532217302 \h </w:instrText>
        </w:r>
        <w:r>
          <w:rPr>
            <w:webHidden/>
          </w:rPr>
        </w:r>
        <w:r>
          <w:rPr>
            <w:webHidden/>
          </w:rPr>
          <w:fldChar w:fldCharType="separate"/>
        </w:r>
        <w:r w:rsidR="00EB6B92">
          <w:rPr>
            <w:webHidden/>
          </w:rPr>
          <w:t>4</w:t>
        </w:r>
        <w:r>
          <w:rPr>
            <w:webHidden/>
          </w:rPr>
          <w:fldChar w:fldCharType="end"/>
        </w:r>
      </w:hyperlink>
    </w:p>
    <w:p w:rsidR="00FC44E2" w:rsidRDefault="00180615">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Pr>
            <w:webHidden/>
          </w:rPr>
          <w:fldChar w:fldCharType="begin"/>
        </w:r>
        <w:r w:rsidR="00FC44E2">
          <w:rPr>
            <w:webHidden/>
          </w:rPr>
          <w:instrText xml:space="preserve"> PAGEREF _Toc532217303 \h </w:instrText>
        </w:r>
        <w:r>
          <w:rPr>
            <w:webHidden/>
          </w:rPr>
        </w:r>
        <w:r>
          <w:rPr>
            <w:webHidden/>
          </w:rPr>
          <w:fldChar w:fldCharType="separate"/>
        </w:r>
        <w:r w:rsidR="00EB6B92">
          <w:rPr>
            <w:webHidden/>
          </w:rPr>
          <w:t>5</w:t>
        </w:r>
        <w:r>
          <w:rPr>
            <w:webHidden/>
          </w:rPr>
          <w:fldChar w:fldCharType="end"/>
        </w:r>
      </w:hyperlink>
    </w:p>
    <w:p w:rsidR="00FC44E2" w:rsidRDefault="00180615">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Pr>
            <w:webHidden/>
          </w:rPr>
          <w:fldChar w:fldCharType="begin"/>
        </w:r>
        <w:r w:rsidR="00FC44E2">
          <w:rPr>
            <w:webHidden/>
          </w:rPr>
          <w:instrText xml:space="preserve"> PAGEREF _Toc532217304 \h </w:instrText>
        </w:r>
        <w:r>
          <w:rPr>
            <w:webHidden/>
          </w:rPr>
        </w:r>
        <w:r>
          <w:rPr>
            <w:webHidden/>
          </w:rPr>
          <w:fldChar w:fldCharType="separate"/>
        </w:r>
        <w:r w:rsidR="00EB6B92">
          <w:rPr>
            <w:webHidden/>
          </w:rPr>
          <w:t>6</w:t>
        </w:r>
        <w:r>
          <w:rPr>
            <w:webHidden/>
          </w:rPr>
          <w:fldChar w:fldCharType="end"/>
        </w:r>
      </w:hyperlink>
    </w:p>
    <w:p w:rsidR="00FC44E2" w:rsidRDefault="00180615">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Pr>
            <w:webHidden/>
          </w:rPr>
          <w:fldChar w:fldCharType="begin"/>
        </w:r>
        <w:r w:rsidR="00FC44E2">
          <w:rPr>
            <w:webHidden/>
          </w:rPr>
          <w:instrText xml:space="preserve"> PAGEREF _Toc532217305 \h </w:instrText>
        </w:r>
        <w:r>
          <w:rPr>
            <w:webHidden/>
          </w:rPr>
        </w:r>
        <w:r>
          <w:rPr>
            <w:webHidden/>
          </w:rPr>
          <w:fldChar w:fldCharType="separate"/>
        </w:r>
        <w:r w:rsidR="00EB6B92">
          <w:rPr>
            <w:webHidden/>
          </w:rPr>
          <w:t>6</w:t>
        </w:r>
        <w:r>
          <w:rPr>
            <w:webHidden/>
          </w:rPr>
          <w:fldChar w:fldCharType="end"/>
        </w:r>
      </w:hyperlink>
    </w:p>
    <w:p w:rsidR="00FC44E2" w:rsidRDefault="00180615">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Pr>
            <w:webHidden/>
          </w:rPr>
          <w:fldChar w:fldCharType="begin"/>
        </w:r>
        <w:r w:rsidR="00FC44E2">
          <w:rPr>
            <w:webHidden/>
          </w:rPr>
          <w:instrText xml:space="preserve"> PAGEREF _Toc532217306 \h </w:instrText>
        </w:r>
        <w:r>
          <w:rPr>
            <w:webHidden/>
          </w:rPr>
        </w:r>
        <w:r>
          <w:rPr>
            <w:webHidden/>
          </w:rPr>
          <w:fldChar w:fldCharType="separate"/>
        </w:r>
        <w:r w:rsidR="00EB6B92">
          <w:rPr>
            <w:webHidden/>
          </w:rPr>
          <w:t>7</w:t>
        </w:r>
        <w:r>
          <w:rPr>
            <w:webHidden/>
          </w:rPr>
          <w:fldChar w:fldCharType="end"/>
        </w:r>
      </w:hyperlink>
    </w:p>
    <w:p w:rsidR="00FC44E2" w:rsidRDefault="00180615">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Pr>
            <w:webHidden/>
          </w:rPr>
          <w:fldChar w:fldCharType="begin"/>
        </w:r>
        <w:r w:rsidR="00FC44E2">
          <w:rPr>
            <w:webHidden/>
          </w:rPr>
          <w:instrText xml:space="preserve"> PAGEREF _Toc532217307 \h </w:instrText>
        </w:r>
        <w:r>
          <w:rPr>
            <w:webHidden/>
          </w:rPr>
        </w:r>
        <w:r>
          <w:rPr>
            <w:webHidden/>
          </w:rPr>
          <w:fldChar w:fldCharType="separate"/>
        </w:r>
        <w:r w:rsidR="00EB6B92">
          <w:rPr>
            <w:webHidden/>
          </w:rPr>
          <w:t>8</w:t>
        </w:r>
        <w:r>
          <w:rPr>
            <w:webHidden/>
          </w:rPr>
          <w:fldChar w:fldCharType="end"/>
        </w:r>
      </w:hyperlink>
    </w:p>
    <w:p w:rsidR="00FC44E2" w:rsidRDefault="00180615">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Pr>
            <w:webHidden/>
          </w:rPr>
          <w:fldChar w:fldCharType="begin"/>
        </w:r>
        <w:r w:rsidR="00FC44E2">
          <w:rPr>
            <w:webHidden/>
          </w:rPr>
          <w:instrText xml:space="preserve"> PAGEREF _Toc532217308 \h </w:instrText>
        </w:r>
        <w:r>
          <w:rPr>
            <w:webHidden/>
          </w:rPr>
        </w:r>
        <w:r>
          <w:rPr>
            <w:webHidden/>
          </w:rPr>
          <w:fldChar w:fldCharType="separate"/>
        </w:r>
        <w:r w:rsidR="00EB6B92">
          <w:rPr>
            <w:webHidden/>
          </w:rPr>
          <w:t>8</w:t>
        </w:r>
        <w:r>
          <w:rPr>
            <w:webHidden/>
          </w:rPr>
          <w:fldChar w:fldCharType="end"/>
        </w:r>
      </w:hyperlink>
    </w:p>
    <w:p w:rsidR="00DF01AB" w:rsidRPr="002C7CB3" w:rsidRDefault="0018061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t>TUTO SMLOUVU O POSKYTOVÁNÍ PRÁVNÍCH SLUŽEB (DÁLE JEN „SMLOUVA“) UZAVÍRAJÍ NÁSLEDUJÍCÍ SMLUVNÍ STRANY:</w:t>
      </w:r>
    </w:p>
    <w:p w:rsidR="0016180D" w:rsidRDefault="0016180D" w:rsidP="00C513AA">
      <w:pPr>
        <w:tabs>
          <w:tab w:val="left" w:pos="567"/>
        </w:tabs>
        <w:spacing w:after="0" w:line="276" w:lineRule="auto"/>
        <w:jc w:val="both"/>
        <w:outlineLvl w:val="0"/>
        <w:rPr>
          <w:rFonts w:asciiTheme="majorBidi" w:hAnsiTheme="majorBidi" w:cstheme="majorBidi"/>
          <w:sz w:val="20"/>
          <w:szCs w:val="20"/>
        </w:rPr>
      </w:pPr>
    </w:p>
    <w:p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Ing. Andreou Pfeffer Ferklovou, MBA</w:t>
      </w:r>
      <w:r w:rsidR="00910B1B">
        <w:rPr>
          <w:rFonts w:ascii="Times New Roman" w:hAnsi="Times New Roman"/>
          <w:sz w:val="20"/>
          <w:szCs w:val="20"/>
        </w:rPr>
        <w:t>.</w:t>
      </w:r>
      <w:r w:rsidR="0016180D" w:rsidRPr="0016180D">
        <w:rPr>
          <w:rFonts w:ascii="Times New Roman" w:hAnsi="Times New Roman"/>
          <w:sz w:val="20"/>
          <w:szCs w:val="20"/>
        </w:rPr>
        <w:t>, primátorkou města</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D708EB" w:rsidRPr="00D708EB">
        <w:rPr>
          <w:rFonts w:asciiTheme="majorBidi" w:hAnsiTheme="majorBidi" w:cstheme="majorBidi"/>
          <w:b/>
          <w:bCs/>
        </w:rPr>
        <w:t>Karlovy Vary – Rekonstrukce Koptova (Čertova) mostu</w:t>
      </w:r>
      <w:r w:rsidRPr="002C7CB3">
        <w:rPr>
          <w:rFonts w:asciiTheme="majorBidi" w:hAnsiTheme="majorBidi" w:cstheme="majorBidi"/>
        </w:rPr>
        <w:t xml:space="preserve">“, s předpokládanou hodnotou </w:t>
      </w:r>
      <w:r w:rsidR="008A486A">
        <w:rPr>
          <w:rFonts w:asciiTheme="majorBidi" w:hAnsiTheme="majorBidi" w:cstheme="majorBidi"/>
        </w:rPr>
        <w:t>7.043.176</w:t>
      </w:r>
      <w:r w:rsidR="00D53929">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t>Práva a povinnosti KGS</w:t>
      </w:r>
      <w:bookmarkEnd w:id="3"/>
      <w:bookmarkEnd w:id="4"/>
      <w:bookmarkEnd w:id="5"/>
      <w:bookmarkEnd w:id="6"/>
    </w:p>
    <w:p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rsidR="00910B1B" w:rsidRDefault="00910B1B" w:rsidP="00910B1B">
      <w:pPr>
        <w:pStyle w:val="Nadpis2-BS"/>
        <w:numPr>
          <w:ilvl w:val="0"/>
          <w:numId w:val="0"/>
        </w:numPr>
        <w:spacing w:before="0" w:after="120" w:line="276" w:lineRule="auto"/>
        <w:ind w:left="567"/>
        <w:rPr>
          <w:rFonts w:asciiTheme="majorBidi" w:hAnsiTheme="majorBidi" w:cstheme="majorBidi"/>
        </w:rPr>
      </w:pPr>
    </w:p>
    <w:p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Svým podpisem dále Klient uděluje KGS a osobám spolupracujícím s KGS v rámci poskytování Právních služeb v souladu se zákonem č. 101/2000 Sb., o ochraně osobních údajů, v platném znění (dále jen „</w:t>
      </w:r>
      <w:r w:rsidRPr="002C7CB3">
        <w:rPr>
          <w:rFonts w:asciiTheme="majorBidi" w:hAnsiTheme="majorBidi" w:cstheme="majorBidi"/>
          <w:b/>
        </w:rPr>
        <w:t>ZOOÚ</w:t>
      </w:r>
      <w:r w:rsidRPr="002C7CB3">
        <w:rPr>
          <w:rFonts w:asciiTheme="majorBidi" w:hAnsiTheme="majorBidi" w:cstheme="majorBidi"/>
        </w:rPr>
        <w:t>“),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ZOOÚ, včetně práva tento souhlas kdykoli písemnou cestou odvolat. KGS oznamuje Klientovi a Klient bere na vědomí, že prostory KGS jsou monitorovány průmyslovými kamerami.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rsidR="00E03487" w:rsidRPr="009967CD"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Smluvní strany se dohodly, že nárok na odměnu za poskytování Služeb sjednanou v odst. 5.1. vzniká KGS následovně:</w:t>
      </w:r>
    </w:p>
    <w:p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t>Oznamování</w:t>
      </w:r>
      <w:bookmarkEnd w:id="27"/>
      <w:bookmarkEnd w:id="28"/>
      <w:bookmarkEnd w:id="29"/>
    </w:p>
    <w:p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532217308"/>
      <w:r w:rsidRPr="002C7CB3">
        <w:rPr>
          <w:rFonts w:asciiTheme="majorBidi" w:hAnsiTheme="majorBidi" w:cstheme="majorBidi"/>
          <w:szCs w:val="20"/>
        </w:rPr>
        <w:t>Závěrečná ustanovení</w:t>
      </w:r>
      <w:bookmarkEnd w:id="32"/>
      <w:bookmarkEnd w:id="33"/>
      <w:bookmarkEnd w:id="34"/>
    </w:p>
    <w:p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ust.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w:t>
      </w:r>
      <w:bookmarkStart w:id="35" w:name="_GoBack"/>
      <w:bookmarkEnd w:id="35"/>
      <w:r w:rsidRPr="00772797">
        <w:rPr>
          <w:rFonts w:asciiTheme="majorBidi" w:hAnsiTheme="majorBidi" w:cstheme="majorBidi"/>
        </w:rPr>
        <w:t xml:space="preserve">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rsidR="005A21E7" w:rsidRPr="00772797" w:rsidRDefault="005A21E7" w:rsidP="005A21E7">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7"/>
        <w:gridCol w:w="680"/>
        <w:gridCol w:w="4455"/>
      </w:tblGrid>
      <w:tr w:rsidR="002C7CB3" w:rsidRPr="002C7CB3" w:rsidTr="0016180D">
        <w:trPr>
          <w:trHeight w:val="294"/>
        </w:trPr>
        <w:tc>
          <w:tcPr>
            <w:tcW w:w="4287"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t xml:space="preserve">V Praze dne </w:t>
            </w:r>
            <w:r w:rsidR="005E0A48">
              <w:rPr>
                <w:rFonts w:asciiTheme="majorBidi" w:hAnsiTheme="majorBidi" w:cstheme="majorBidi"/>
              </w:rPr>
              <w:t>4.1.2019</w:t>
            </w:r>
          </w:p>
        </w:tc>
        <w:tc>
          <w:tcPr>
            <w:tcW w:w="680"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7D5">
              <w:rPr>
                <w:rFonts w:asciiTheme="majorBidi" w:hAnsiTheme="majorBidi" w:cstheme="majorBidi"/>
              </w:rPr>
              <w:t>Karlových Varech</w:t>
            </w:r>
            <w:r w:rsidRPr="002C7CB3">
              <w:rPr>
                <w:rFonts w:asciiTheme="majorBidi" w:hAnsiTheme="majorBidi" w:cstheme="majorBidi"/>
              </w:rPr>
              <w:t xml:space="preserve"> dne </w:t>
            </w:r>
            <w:r w:rsidR="005E0A48">
              <w:rPr>
                <w:rFonts w:asciiTheme="majorBidi" w:hAnsiTheme="majorBidi" w:cstheme="majorBidi"/>
              </w:rPr>
              <w:t>4.1.2019</w:t>
            </w:r>
          </w:p>
        </w:tc>
      </w:tr>
      <w:tr w:rsidR="002C7CB3" w:rsidRPr="002C7CB3" w:rsidTr="0016180D">
        <w:trPr>
          <w:trHeight w:val="979"/>
        </w:trPr>
        <w:tc>
          <w:tcPr>
            <w:tcW w:w="4287" w:type="dxa"/>
            <w:tcBorders>
              <w:top w:val="nil"/>
              <w:left w:val="nil"/>
              <w:bottom w:val="single" w:sz="4" w:space="0" w:color="auto"/>
              <w:right w:val="nil"/>
            </w:tcBorders>
            <w:shd w:val="clear" w:color="auto" w:fill="auto"/>
          </w:tcPr>
          <w:p w:rsidR="00B61617" w:rsidRDefault="00B6161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Default="005A21E7" w:rsidP="00772797">
            <w:pPr>
              <w:pStyle w:val="Nadpis5-BS"/>
              <w:numPr>
                <w:ilvl w:val="0"/>
                <w:numId w:val="0"/>
              </w:numPr>
              <w:spacing w:before="0" w:after="0"/>
              <w:rPr>
                <w:rFonts w:asciiTheme="majorBidi" w:hAnsiTheme="majorBidi" w:cstheme="majorBidi"/>
              </w:rPr>
            </w:pPr>
          </w:p>
          <w:p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rsidTr="0016180D">
        <w:trPr>
          <w:trHeight w:val="295"/>
        </w:trPr>
        <w:tc>
          <w:tcPr>
            <w:tcW w:w="4287" w:type="dxa"/>
            <w:tcBorders>
              <w:top w:val="single" w:sz="4" w:space="0" w:color="auto"/>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rsidTr="0016180D">
        <w:trPr>
          <w:trHeight w:val="295"/>
        </w:trPr>
        <w:tc>
          <w:tcPr>
            <w:tcW w:w="4287" w:type="dxa"/>
            <w:tcBorders>
              <w:top w:val="nil"/>
              <w:left w:val="nil"/>
              <w:bottom w:val="nil"/>
              <w:right w:val="nil"/>
            </w:tcBorders>
            <w:shd w:val="clear" w:color="auto" w:fill="auto"/>
          </w:tcPr>
          <w:p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r w:rsidR="00910B1B">
              <w:rPr>
                <w:rFonts w:ascii="Times New Roman" w:hAnsi="Times New Roman"/>
                <w:sz w:val="20"/>
                <w:szCs w:val="20"/>
              </w:rPr>
              <w:t>.</w:t>
            </w:r>
          </w:p>
        </w:tc>
      </w:tr>
      <w:tr w:rsidR="002C7CB3" w:rsidRPr="002C7CB3" w:rsidTr="0016180D">
        <w:trPr>
          <w:trHeight w:val="254"/>
        </w:trPr>
        <w:tc>
          <w:tcPr>
            <w:tcW w:w="4287" w:type="dxa"/>
            <w:tcBorders>
              <w:top w:val="nil"/>
              <w:left w:val="nil"/>
              <w:bottom w:val="nil"/>
              <w:right w:val="nil"/>
            </w:tcBorders>
            <w:shd w:val="clear" w:color="auto" w:fill="auto"/>
          </w:tcPr>
          <w:p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96E" w:rsidRDefault="000A596E" w:rsidP="00A164F9">
      <w:r>
        <w:separator/>
      </w:r>
    </w:p>
  </w:endnote>
  <w:endnote w:type="continuationSeparator" w:id="0">
    <w:p w:rsidR="000A596E" w:rsidRDefault="000A596E" w:rsidP="00A1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81FEF" w:rsidRDefault="0018061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AE0248">
      <w:rPr>
        <w:rFonts w:ascii="Times New Roman" w:hAnsi="Times New Roman"/>
        <w:noProof/>
        <w:sz w:val="20"/>
        <w:szCs w:val="20"/>
      </w:rPr>
      <w:t>9</w:t>
    </w:r>
    <w:r w:rsidRPr="00381FEF">
      <w:rPr>
        <w:rFonts w:ascii="Times New Roman" w:hAnsi="Times New Roman"/>
        <w:sz w:val="20"/>
        <w:szCs w:val="20"/>
      </w:rPr>
      <w:fldChar w:fldCharType="end"/>
    </w:r>
    <w:r w:rsidR="00DF01AB" w:rsidRPr="00381FEF">
      <w:rPr>
        <w:rFonts w:ascii="Times New Roman" w:hAnsi="Times New Roman"/>
        <w:sz w:val="20"/>
        <w:szCs w:val="20"/>
      </w:rPr>
      <w:t>/</w:t>
    </w:r>
    <w:fldSimple w:instr=" SECTIONPAGES   \* MERGEFORMAT ">
      <w:r w:rsidR="00AE0248" w:rsidRPr="00AE0248">
        <w:rPr>
          <w:rFonts w:ascii="Times New Roman" w:hAnsi="Times New Roman"/>
          <w:noProof/>
          <w:sz w:val="20"/>
          <w:szCs w:val="20"/>
        </w:rPr>
        <w:t>9</w:t>
      </w:r>
    </w:fldSimple>
  </w:p>
  <w:p w:rsidR="00DF01AB" w:rsidRDefault="00DF01AB" w:rsidP="00AD28B7">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529F5" w:rsidRDefault="00DF01AB" w:rsidP="003529F5">
    <w:pPr>
      <w:pStyle w:val="Zpat"/>
      <w:tabs>
        <w:tab w:val="center" w:pos="3756"/>
        <w:tab w:val="left" w:pos="4918"/>
      </w:tabs>
      <w:jc w:val="left"/>
      <w:rPr>
        <w:color w:val="auto"/>
      </w:rPr>
    </w:pPr>
    <w:r>
      <w:rPr>
        <w:color w:val="auto"/>
      </w:rPr>
      <w:tab/>
    </w:r>
    <w:r>
      <w:rPr>
        <w:color w:val="auto"/>
      </w:rPr>
      <w:tab/>
    </w:r>
  </w:p>
  <w:p w:rsidR="00DF01AB" w:rsidRDefault="00DF01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96E" w:rsidRDefault="000A596E" w:rsidP="00A164F9">
      <w:r>
        <w:separator/>
      </w:r>
    </w:p>
  </w:footnote>
  <w:footnote w:type="continuationSeparator" w:id="0">
    <w:p w:rsidR="000A596E" w:rsidRDefault="000A596E" w:rsidP="00A16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DF01AB" w:rsidTr="00E121FB">
      <w:trPr>
        <w:trHeight w:val="486"/>
      </w:trPr>
      <w:tc>
        <w:tcPr>
          <w:tcW w:w="9072" w:type="dxa"/>
          <w:tcBorders>
            <w:top w:val="nil"/>
            <w:left w:val="nil"/>
            <w:bottom w:val="single" w:sz="4" w:space="0" w:color="808080"/>
            <w:right w:val="nil"/>
          </w:tcBorders>
          <w:vAlign w:val="bottom"/>
        </w:tcPr>
        <w:p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rsidR="00DF01AB" w:rsidRDefault="00DF01AB" w:rsidP="00694181">
    <w:pPr>
      <w:pStyle w:val="Zhlav"/>
      <w:tabs>
        <w:tab w:val="clear" w:pos="453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C253D1" w:rsidRDefault="00DF01AB" w:rsidP="00C253D1">
    <w:pPr>
      <w:spacing w:line="240" w:lineRule="atLeast"/>
      <w:rPr>
        <w:color w:val="808080"/>
      </w:rPr>
    </w:pPr>
  </w:p>
  <w:p w:rsidR="00DF01AB" w:rsidRDefault="00DF01AB">
    <w:pPr>
      <w:pStyle w:val="Zhlav"/>
    </w:pPr>
  </w:p>
  <w:p w:rsidR="00DF01AB" w:rsidRDefault="00DF01A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929D0"/>
    <w:rsid w:val="000A596E"/>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4394"/>
    <w:rsid w:val="001648FB"/>
    <w:rsid w:val="001703A7"/>
    <w:rsid w:val="00174A89"/>
    <w:rsid w:val="0018010B"/>
    <w:rsid w:val="00180615"/>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72F"/>
    <w:rsid w:val="00237DFC"/>
    <w:rsid w:val="00241012"/>
    <w:rsid w:val="00244E28"/>
    <w:rsid w:val="0024698E"/>
    <w:rsid w:val="00246F81"/>
    <w:rsid w:val="00257674"/>
    <w:rsid w:val="002725F4"/>
    <w:rsid w:val="0028481C"/>
    <w:rsid w:val="00287A55"/>
    <w:rsid w:val="002A22F8"/>
    <w:rsid w:val="002B0C2A"/>
    <w:rsid w:val="002B1157"/>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686"/>
    <w:rsid w:val="00434020"/>
    <w:rsid w:val="00442DAD"/>
    <w:rsid w:val="00444069"/>
    <w:rsid w:val="004448E7"/>
    <w:rsid w:val="0044536E"/>
    <w:rsid w:val="00446060"/>
    <w:rsid w:val="004471D7"/>
    <w:rsid w:val="00451CFE"/>
    <w:rsid w:val="004551E8"/>
    <w:rsid w:val="00456F83"/>
    <w:rsid w:val="00467176"/>
    <w:rsid w:val="00473194"/>
    <w:rsid w:val="004758F0"/>
    <w:rsid w:val="00477463"/>
    <w:rsid w:val="00480F1B"/>
    <w:rsid w:val="004840E2"/>
    <w:rsid w:val="004849B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0A48"/>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E1528"/>
    <w:rsid w:val="00701692"/>
    <w:rsid w:val="007022E7"/>
    <w:rsid w:val="0071103E"/>
    <w:rsid w:val="00715F28"/>
    <w:rsid w:val="00716249"/>
    <w:rsid w:val="007471D0"/>
    <w:rsid w:val="00750654"/>
    <w:rsid w:val="00752308"/>
    <w:rsid w:val="00752F2B"/>
    <w:rsid w:val="00771201"/>
    <w:rsid w:val="00771DCC"/>
    <w:rsid w:val="00772797"/>
    <w:rsid w:val="00780F3A"/>
    <w:rsid w:val="00787BD1"/>
    <w:rsid w:val="007913F1"/>
    <w:rsid w:val="007961E8"/>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0B1B"/>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72942"/>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1C2C"/>
    <w:rsid w:val="00AD28B7"/>
    <w:rsid w:val="00AD387B"/>
    <w:rsid w:val="00AE0248"/>
    <w:rsid w:val="00AE31A6"/>
    <w:rsid w:val="00AF1199"/>
    <w:rsid w:val="00AF59E5"/>
    <w:rsid w:val="00AF752F"/>
    <w:rsid w:val="00B01640"/>
    <w:rsid w:val="00B10270"/>
    <w:rsid w:val="00B129EC"/>
    <w:rsid w:val="00B14B0B"/>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B7371"/>
    <w:rsid w:val="00CC0D89"/>
    <w:rsid w:val="00CC0F2F"/>
    <w:rsid w:val="00CC2021"/>
    <w:rsid w:val="00CC56AF"/>
    <w:rsid w:val="00CC6A2A"/>
    <w:rsid w:val="00CD1806"/>
    <w:rsid w:val="00CD450C"/>
    <w:rsid w:val="00CD5927"/>
    <w:rsid w:val="00CD7558"/>
    <w:rsid w:val="00CE07E9"/>
    <w:rsid w:val="00CE095A"/>
    <w:rsid w:val="00CE6448"/>
    <w:rsid w:val="00CE6945"/>
    <w:rsid w:val="00CF279E"/>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8D4"/>
    <w:rsid w:val="00D55D28"/>
    <w:rsid w:val="00D60CA0"/>
    <w:rsid w:val="00D616AB"/>
    <w:rsid w:val="00D6216E"/>
    <w:rsid w:val="00D65478"/>
    <w:rsid w:val="00D67C72"/>
    <w:rsid w:val="00D708EB"/>
    <w:rsid w:val="00D724DC"/>
    <w:rsid w:val="00D729AE"/>
    <w:rsid w:val="00D72B53"/>
    <w:rsid w:val="00D75A1B"/>
    <w:rsid w:val="00D95D20"/>
    <w:rsid w:val="00DA0512"/>
    <w:rsid w:val="00DA1C02"/>
    <w:rsid w:val="00DA240B"/>
    <w:rsid w:val="00DA4B0C"/>
    <w:rsid w:val="00DA6A7F"/>
    <w:rsid w:val="00DB0687"/>
    <w:rsid w:val="00DB2A1A"/>
    <w:rsid w:val="00DB7E24"/>
    <w:rsid w:val="00DD0F60"/>
    <w:rsid w:val="00DD75B9"/>
    <w:rsid w:val="00DE0AD4"/>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9025B"/>
    <w:rsid w:val="00E9136D"/>
    <w:rsid w:val="00E92FD7"/>
    <w:rsid w:val="00E93E5C"/>
    <w:rsid w:val="00EA0C15"/>
    <w:rsid w:val="00EA3D83"/>
    <w:rsid w:val="00EA4228"/>
    <w:rsid w:val="00EB0F36"/>
    <w:rsid w:val="00EB4742"/>
    <w:rsid w:val="00EB67B3"/>
    <w:rsid w:val="00EB6B92"/>
    <w:rsid w:val="00EC7D43"/>
    <w:rsid w:val="00ED13DA"/>
    <w:rsid w:val="00ED3060"/>
    <w:rsid w:val="00ED3FE7"/>
    <w:rsid w:val="00ED4805"/>
    <w:rsid w:val="00EF69AC"/>
    <w:rsid w:val="00F01686"/>
    <w:rsid w:val="00F06FE6"/>
    <w:rsid w:val="00F11367"/>
    <w:rsid w:val="00F247E8"/>
    <w:rsid w:val="00F25FDD"/>
    <w:rsid w:val="00F31B7B"/>
    <w:rsid w:val="00F622FB"/>
    <w:rsid w:val="00F6330F"/>
    <w:rsid w:val="00F72CD9"/>
    <w:rsid w:val="00F744D7"/>
    <w:rsid w:val="00F776D1"/>
    <w:rsid w:val="00F871F1"/>
    <w:rsid w:val="00F90812"/>
    <w:rsid w:val="00F910EF"/>
    <w:rsid w:val="00F92EAE"/>
    <w:rsid w:val="00F96E38"/>
    <w:rsid w:val="00F9726B"/>
    <w:rsid w:val="00FA1E13"/>
    <w:rsid w:val="00FA33A6"/>
    <w:rsid w:val="00FA59DE"/>
    <w:rsid w:val="00FB25C5"/>
    <w:rsid w:val="00FC10F1"/>
    <w:rsid w:val="00FC2E3B"/>
    <w:rsid w:val="00FC3432"/>
    <w:rsid w:val="00FC44E2"/>
    <w:rsid w:val="00FC638C"/>
    <w:rsid w:val="00FD2544"/>
    <w:rsid w:val="00FE0C6F"/>
    <w:rsid w:val="00FE50F5"/>
    <w:rsid w:val="00FF1069"/>
    <w:rsid w:val="00FF2F54"/>
    <w:rsid w:val="00FF7B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titul">
    <w:name w:val="Subtitle"/>
    <w:basedOn w:val="Normln"/>
    <w:next w:val="Normln"/>
    <w:link w:val="PodtitulChar"/>
    <w:uiPriority w:val="99"/>
    <w:qFormat/>
    <w:rsid w:val="00857B7E"/>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v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ace">
    <w:name w:val="Quote"/>
    <w:basedOn w:val="Normln"/>
    <w:next w:val="Normln"/>
    <w:link w:val="CitaceChar"/>
    <w:uiPriority w:val="99"/>
    <w:qFormat/>
    <w:rsid w:val="00857B7E"/>
    <w:rPr>
      <w:i/>
      <w:iCs/>
      <w:sz w:val="20"/>
      <w:szCs w:val="20"/>
    </w:rPr>
  </w:style>
  <w:style w:type="character" w:customStyle="1" w:styleId="CitaceChar">
    <w:name w:val="Citace Char"/>
    <w:basedOn w:val="Standardnpsmoodstavce"/>
    <w:link w:val="Citace"/>
    <w:uiPriority w:val="99"/>
    <w:locked/>
    <w:rsid w:val="00857B7E"/>
    <w:rPr>
      <w:rFonts w:eastAsia="Times New Roman" w:cs="Times New Roman"/>
      <w:i/>
    </w:rPr>
  </w:style>
  <w:style w:type="paragraph" w:styleId="Citaceintenzivn">
    <w:name w:val="Intense Quote"/>
    <w:basedOn w:val="Normln"/>
    <w:next w:val="Normln"/>
    <w:link w:val="Citaceintenzivn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ceintenzivnChar">
    <w:name w:val="Citace – intenzivní Char"/>
    <w:basedOn w:val="Standardnpsmoodstavce"/>
    <w:link w:val="Citaceintenzivn"/>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r="http://schemas.openxmlformats.org/officeDocument/2006/relationships" xmlns:w="http://schemas.openxmlformats.org/wordprocessingml/2006/main">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6" ma:contentTypeDescription="Vytvoří nový dokument" ma:contentTypeScope="" ma:versionID="cc3e31d9212a4943cce0f5efce45c1b7">
  <xsd:schema xmlns:xsd="http://www.w3.org/2001/XMLSchema" xmlns:xs="http://www.w3.org/2001/XMLSchema" xmlns:p="http://schemas.microsoft.com/office/2006/metadata/properties" xmlns:ns2="41ec62b2-5769-47c7-89e9-2553fd4e5d10" targetNamespace="http://schemas.microsoft.com/office/2006/metadata/properties" ma:root="true" ma:fieldsID="de77dc9e6cae716d1381eec992066d63"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042F-7B50-402D-9EF8-7FC22D8C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4.xml><?xml version="1.0" encoding="utf-8"?>
<ds:datastoreItem xmlns:ds="http://schemas.openxmlformats.org/officeDocument/2006/customXml" ds:itemID="{AED51F34-B26E-4B75-BA89-B76FDBAA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5</TotalTime>
  <Pages>9</Pages>
  <Words>3139</Words>
  <Characters>18127</Characters>
  <Application>Microsoft Office Word</Application>
  <DocSecurity>0</DocSecurity>
  <Lines>151</Lines>
  <Paragraphs>42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kocourek</cp:lastModifiedBy>
  <cp:revision>2</cp:revision>
  <cp:lastPrinted>2018-12-19T15:19:00Z</cp:lastPrinted>
  <dcterms:created xsi:type="dcterms:W3CDTF">2019-01-08T08:28:00Z</dcterms:created>
  <dcterms:modified xsi:type="dcterms:W3CDTF">2019-01-08T08:28:00Z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