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15" w:rsidRPr="007737E9" w:rsidRDefault="00C83E15" w:rsidP="007737E9">
      <w:pPr>
        <w:pStyle w:val="Nadpis1"/>
      </w:pPr>
      <w:bookmarkStart w:id="0" w:name="_Toc460588410"/>
      <w:bookmarkStart w:id="1" w:name="_Toc460591997"/>
      <w:bookmarkStart w:id="2" w:name="_Toc460592082"/>
      <w:bookmarkStart w:id="3" w:name="_Toc460592704"/>
      <w:bookmarkStart w:id="4" w:name="_Toc467579080"/>
      <w:r w:rsidRPr="007737E9">
        <w:t>Krycí list nabídky</w:t>
      </w:r>
      <w:bookmarkEnd w:id="0"/>
      <w:bookmarkEnd w:id="1"/>
      <w:bookmarkEnd w:id="2"/>
      <w:bookmarkEnd w:id="3"/>
      <w:bookmarkEnd w:id="4"/>
    </w:p>
    <w:p w:rsidR="00C83E15" w:rsidRPr="004B6874" w:rsidRDefault="00C83E15" w:rsidP="00C83E15">
      <w:pPr>
        <w:rPr>
          <w:b/>
        </w:rPr>
      </w:pPr>
      <w:r>
        <w:rPr>
          <w:rFonts w:ascii="Palatino Linotype" w:hAnsi="Palatino Linotype" w:cs="Tahoma"/>
          <w:bCs/>
          <w:sz w:val="28"/>
        </w:rPr>
        <w:t>„</w:t>
      </w:r>
      <w:r w:rsidRPr="004B6874">
        <w:rPr>
          <w:b/>
        </w:rPr>
        <w:t>Dodávka licencí a implementace ekonomického informačního systému (EKIS) včetně schvalování dokladů a podpory systémů“</w:t>
      </w:r>
    </w:p>
    <w:p w:rsidR="00C83E15" w:rsidRDefault="00C83E15" w:rsidP="00C83E15">
      <w:pPr>
        <w:jc w:val="center"/>
        <w:rPr>
          <w:rFonts w:ascii="Palatino Linotype" w:hAnsi="Palatino Linotype"/>
          <w:b/>
          <w:szCs w:val="22"/>
          <w:u w:val="single"/>
        </w:rPr>
      </w:pP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 xml:space="preserve">Zadavatel: </w:t>
      </w: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Název:  </w:t>
      </w:r>
      <w:r>
        <w:rPr>
          <w:rFonts w:ascii="Palatino Linotype" w:hAnsi="Palatino Linotype"/>
          <w:szCs w:val="22"/>
        </w:rPr>
        <w:tab/>
        <w:t>ČESKÁ GEOLOGICKÁ SLUŽBA, státní příspěvková organizace</w:t>
      </w: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Sídlo: </w:t>
      </w:r>
      <w:r>
        <w:rPr>
          <w:rFonts w:ascii="Palatino Linotype" w:hAnsi="Palatino Linotype"/>
          <w:szCs w:val="22"/>
        </w:rPr>
        <w:tab/>
        <w:t>Klárov 131/3, 118 21 Praha 1</w:t>
      </w: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IČO zadavatele: </w:t>
      </w:r>
      <w:r>
        <w:rPr>
          <w:rFonts w:ascii="Palatino Linotype" w:hAnsi="Palatino Linotype"/>
          <w:szCs w:val="22"/>
        </w:rPr>
        <w:tab/>
        <w:t>00025798</w:t>
      </w: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Zastoupený: </w:t>
      </w:r>
      <w:r>
        <w:rPr>
          <w:rFonts w:ascii="Palatino Linotype" w:hAnsi="Palatino Linotype"/>
          <w:szCs w:val="22"/>
        </w:rPr>
        <w:tab/>
        <w:t xml:space="preserve">Mgr. Zdeněk </w:t>
      </w:r>
      <w:proofErr w:type="spellStart"/>
      <w:r>
        <w:rPr>
          <w:rFonts w:ascii="Palatino Linotype" w:hAnsi="Palatino Linotype"/>
          <w:szCs w:val="22"/>
        </w:rPr>
        <w:t>Venera</w:t>
      </w:r>
      <w:proofErr w:type="spellEnd"/>
      <w:r>
        <w:rPr>
          <w:rFonts w:ascii="Palatino Linotype" w:hAnsi="Palatino Linotype"/>
          <w:szCs w:val="22"/>
        </w:rPr>
        <w:t xml:space="preserve">, </w:t>
      </w:r>
      <w:proofErr w:type="spellStart"/>
      <w:r>
        <w:rPr>
          <w:rFonts w:ascii="Palatino Linotype" w:hAnsi="Palatino Linotype"/>
          <w:szCs w:val="22"/>
        </w:rPr>
        <w:t>Ph</w:t>
      </w:r>
      <w:proofErr w:type="spellEnd"/>
      <w:r>
        <w:rPr>
          <w:rFonts w:ascii="Palatino Linotype" w:hAnsi="Palatino Linotype"/>
          <w:szCs w:val="22"/>
        </w:rPr>
        <w:t>. D., ředitel</w:t>
      </w:r>
    </w:p>
    <w:p w:rsidR="00C83E15" w:rsidRDefault="00C83E15" w:rsidP="00C83E15">
      <w:pPr>
        <w:tabs>
          <w:tab w:val="left" w:pos="1800"/>
          <w:tab w:val="left" w:pos="8820"/>
        </w:tabs>
        <w:rPr>
          <w:rFonts w:ascii="Palatino Linotype" w:hAnsi="Palatino Linotype"/>
          <w:b/>
          <w:szCs w:val="22"/>
          <w:u w:val="single"/>
        </w:rPr>
      </w:pPr>
    </w:p>
    <w:p w:rsidR="00C83E15" w:rsidRDefault="00C83E15" w:rsidP="00C83E15">
      <w:pPr>
        <w:tabs>
          <w:tab w:val="left" w:pos="1800"/>
          <w:tab w:val="left" w:pos="8820"/>
        </w:tabs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Uchazeč:</w:t>
      </w: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Název: </w:t>
      </w:r>
      <w:r>
        <w:rPr>
          <w:rFonts w:ascii="Palatino Linotype" w:hAnsi="Palatino Linotype"/>
          <w:szCs w:val="22"/>
        </w:rPr>
        <w:tab/>
        <w:t>MÚZO Praha s.r.o.</w:t>
      </w: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Sídlo: </w:t>
      </w:r>
      <w:r>
        <w:rPr>
          <w:rFonts w:ascii="Palatino Linotype" w:hAnsi="Palatino Linotype"/>
          <w:szCs w:val="22"/>
        </w:rPr>
        <w:tab/>
        <w:t xml:space="preserve">Politických vězňů 15, </w:t>
      </w:r>
      <w:r w:rsidRPr="00F37823">
        <w:rPr>
          <w:rFonts w:ascii="Palatino Linotype" w:hAnsi="Palatino Linotype"/>
          <w:szCs w:val="22"/>
        </w:rPr>
        <w:t>P</w:t>
      </w:r>
      <w:r>
        <w:rPr>
          <w:rFonts w:ascii="Palatino Linotype" w:hAnsi="Palatino Linotype"/>
          <w:szCs w:val="22"/>
        </w:rPr>
        <w:t xml:space="preserve">raha </w:t>
      </w:r>
      <w:r w:rsidRPr="00F37823">
        <w:rPr>
          <w:rFonts w:ascii="Palatino Linotype" w:hAnsi="Palatino Linotype"/>
          <w:szCs w:val="22"/>
        </w:rPr>
        <w:t>1</w:t>
      </w:r>
      <w:r>
        <w:rPr>
          <w:rFonts w:ascii="Palatino Linotype" w:hAnsi="Palatino Linotype"/>
          <w:szCs w:val="22"/>
        </w:rPr>
        <w:t>, 110 00</w:t>
      </w: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IČO: </w:t>
      </w:r>
      <w:r>
        <w:rPr>
          <w:rFonts w:ascii="Palatino Linotype" w:hAnsi="Palatino Linotype"/>
          <w:szCs w:val="22"/>
        </w:rPr>
        <w:tab/>
      </w:r>
      <w:r w:rsidRPr="00F37823">
        <w:rPr>
          <w:rFonts w:ascii="Palatino Linotype" w:hAnsi="Palatino Linotype"/>
          <w:szCs w:val="22"/>
        </w:rPr>
        <w:t>49622897</w:t>
      </w: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DIČ: </w:t>
      </w:r>
      <w:r>
        <w:rPr>
          <w:rFonts w:ascii="Palatino Linotype" w:hAnsi="Palatino Linotype"/>
          <w:szCs w:val="22"/>
        </w:rPr>
        <w:tab/>
        <w:t>CZ</w:t>
      </w:r>
      <w:r w:rsidRPr="00F37823">
        <w:rPr>
          <w:rFonts w:ascii="Palatino Linotype" w:hAnsi="Palatino Linotype"/>
          <w:szCs w:val="22"/>
        </w:rPr>
        <w:t>49622897</w:t>
      </w:r>
    </w:p>
    <w:p w:rsidR="00C83E15" w:rsidRDefault="00C83E15" w:rsidP="00B6192B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Zastoupený (jméno a příjmení): Ing. Petr Zaoral</w:t>
      </w:r>
      <w:r w:rsidR="00B6192B">
        <w:rPr>
          <w:rFonts w:ascii="Palatino Linotype" w:hAnsi="Palatino Linotype"/>
          <w:szCs w:val="22"/>
        </w:rPr>
        <w:t xml:space="preserve">, </w:t>
      </w:r>
      <w:r>
        <w:rPr>
          <w:rFonts w:ascii="Palatino Linotype" w:hAnsi="Palatino Linotype"/>
          <w:szCs w:val="22"/>
        </w:rPr>
        <w:t>jednatel společnosti</w:t>
      </w: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Telefon: </w:t>
      </w:r>
      <w:r>
        <w:rPr>
          <w:rFonts w:ascii="Palatino Linotype" w:hAnsi="Palatino Linotype"/>
          <w:szCs w:val="22"/>
        </w:rPr>
        <w:tab/>
        <w:t>224 091 650</w:t>
      </w: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Mobilní telefon: </w:t>
      </w:r>
      <w:r>
        <w:rPr>
          <w:rFonts w:ascii="Palatino Linotype" w:hAnsi="Palatino Linotype"/>
          <w:szCs w:val="22"/>
        </w:rPr>
        <w:tab/>
        <w:t>604 763 131</w:t>
      </w:r>
    </w:p>
    <w:p w:rsidR="00C83E15" w:rsidRDefault="00C83E15" w:rsidP="00C83E15">
      <w:pPr>
        <w:tabs>
          <w:tab w:val="left" w:pos="1800"/>
          <w:tab w:val="left" w:leader="do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E-mail: </w:t>
      </w:r>
      <w:r>
        <w:rPr>
          <w:rFonts w:ascii="Palatino Linotype" w:hAnsi="Palatino Linotype"/>
          <w:szCs w:val="22"/>
        </w:rPr>
        <w:tab/>
        <w:t>petr.zaoral@muzo.cz</w:t>
      </w:r>
    </w:p>
    <w:p w:rsidR="00C83E15" w:rsidRDefault="00C83E15" w:rsidP="00C83E15">
      <w:pPr>
        <w:tabs>
          <w:tab w:val="left" w:pos="1800"/>
          <w:tab w:val="left" w:pos="8820"/>
        </w:tabs>
        <w:rPr>
          <w:rFonts w:ascii="Palatino Linotype" w:hAnsi="Palatino Linotype"/>
          <w:szCs w:val="22"/>
        </w:rPr>
      </w:pPr>
    </w:p>
    <w:p w:rsidR="00C83E15" w:rsidRDefault="00C83E15" w:rsidP="00C83E15">
      <w:pPr>
        <w:tabs>
          <w:tab w:val="left" w:pos="1800"/>
          <w:tab w:val="left" w:pos="8820"/>
        </w:tabs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Nabídková cena</w:t>
      </w:r>
    </w:p>
    <w:p w:rsidR="00C83E15" w:rsidRDefault="00C83E15" w:rsidP="00C83E15">
      <w:pPr>
        <w:tabs>
          <w:tab w:val="left" w:pos="1800"/>
          <w:tab w:val="left" w:pos="882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Uveďte podle požadavků zadávací dokumentace a v následujícím členění: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07"/>
      </w:tblGrid>
      <w:tr w:rsidR="00C83E15" w:rsidTr="00005E82">
        <w:tc>
          <w:tcPr>
            <w:tcW w:w="2405" w:type="dxa"/>
            <w:shd w:val="clear" w:color="auto" w:fill="E6E6E6"/>
          </w:tcPr>
          <w:p w:rsidR="00C83E15" w:rsidRDefault="00C83E15" w:rsidP="00005E82">
            <w:pPr>
              <w:tabs>
                <w:tab w:val="left" w:pos="1800"/>
                <w:tab w:val="left" w:pos="8820"/>
              </w:tabs>
              <w:jc w:val="left"/>
              <w:rPr>
                <w:rFonts w:ascii="Palatino Linotype" w:hAnsi="Palatino Linotype"/>
                <w:i/>
                <w:szCs w:val="22"/>
              </w:rPr>
            </w:pPr>
            <w:r>
              <w:rPr>
                <w:rFonts w:ascii="Palatino Linotype" w:hAnsi="Palatino Linotype"/>
                <w:i/>
                <w:szCs w:val="22"/>
              </w:rPr>
              <w:t>Nabídková cena</w:t>
            </w:r>
          </w:p>
        </w:tc>
        <w:tc>
          <w:tcPr>
            <w:tcW w:w="6807" w:type="dxa"/>
            <w:shd w:val="clear" w:color="auto" w:fill="E6E6E6"/>
          </w:tcPr>
          <w:p w:rsidR="00C83E15" w:rsidRDefault="00C83E15" w:rsidP="00005E82">
            <w:pPr>
              <w:tabs>
                <w:tab w:val="left" w:pos="1800"/>
                <w:tab w:val="left" w:pos="8820"/>
              </w:tabs>
              <w:rPr>
                <w:rFonts w:ascii="Palatino Linotype" w:hAnsi="Palatino Linotype"/>
                <w:szCs w:val="22"/>
              </w:rPr>
            </w:pPr>
          </w:p>
        </w:tc>
      </w:tr>
      <w:tr w:rsidR="00C83E15" w:rsidTr="00005E82">
        <w:tc>
          <w:tcPr>
            <w:tcW w:w="2405" w:type="dxa"/>
            <w:shd w:val="clear" w:color="auto" w:fill="E6E6E6"/>
          </w:tcPr>
          <w:p w:rsidR="00C83E15" w:rsidRDefault="00C83E15" w:rsidP="00005E82">
            <w:pPr>
              <w:tabs>
                <w:tab w:val="left" w:pos="1800"/>
                <w:tab w:val="left" w:pos="8820"/>
              </w:tabs>
              <w:jc w:val="left"/>
              <w:rPr>
                <w:rFonts w:ascii="Palatino Linotype" w:hAnsi="Palatino Linotype" w:cs="Palatino Linotype"/>
                <w:i/>
                <w:szCs w:val="22"/>
              </w:rPr>
            </w:pPr>
            <w:r>
              <w:rPr>
                <w:rFonts w:ascii="Palatino Linotype" w:hAnsi="Palatino Linotype" w:cs="Palatino Linotype"/>
                <w:i/>
                <w:szCs w:val="22"/>
              </w:rPr>
              <w:t xml:space="preserve">- bez DPH </w:t>
            </w:r>
            <w:r>
              <w:rPr>
                <w:rFonts w:ascii="Palatino Linotype" w:hAnsi="Palatino Linotype" w:cs="Palatino Linotype"/>
                <w:i/>
                <w:szCs w:val="22"/>
              </w:rPr>
              <w:tab/>
            </w:r>
          </w:p>
        </w:tc>
        <w:tc>
          <w:tcPr>
            <w:tcW w:w="6807" w:type="dxa"/>
          </w:tcPr>
          <w:p w:rsidR="00C83E15" w:rsidRDefault="00B6192B" w:rsidP="00005E82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Cs w:val="22"/>
              </w:rPr>
            </w:pPr>
            <w:r w:rsidRPr="00B6192B">
              <w:rPr>
                <w:rFonts w:ascii="Palatino Linotype" w:hAnsi="Palatino Linotype"/>
                <w:szCs w:val="22"/>
              </w:rPr>
              <w:t>1 058 103</w:t>
            </w:r>
            <w:r w:rsidR="00C83E15">
              <w:rPr>
                <w:rFonts w:ascii="Palatino Linotype" w:hAnsi="Palatino Linotype"/>
                <w:szCs w:val="22"/>
              </w:rPr>
              <w:t>,- Kč</w:t>
            </w:r>
          </w:p>
        </w:tc>
      </w:tr>
      <w:tr w:rsidR="00C83E15" w:rsidTr="00005E82">
        <w:tc>
          <w:tcPr>
            <w:tcW w:w="2405" w:type="dxa"/>
            <w:shd w:val="clear" w:color="auto" w:fill="E6E6E6"/>
          </w:tcPr>
          <w:p w:rsidR="00C83E15" w:rsidRDefault="00C83E15" w:rsidP="00005E82">
            <w:pPr>
              <w:tabs>
                <w:tab w:val="left" w:pos="1800"/>
                <w:tab w:val="left" w:pos="8820"/>
              </w:tabs>
              <w:jc w:val="left"/>
              <w:rPr>
                <w:rFonts w:ascii="Palatino Linotype" w:hAnsi="Palatino Linotype"/>
                <w:i/>
                <w:szCs w:val="22"/>
              </w:rPr>
            </w:pPr>
            <w:r>
              <w:rPr>
                <w:rFonts w:ascii="Palatino Linotype" w:hAnsi="Palatino Linotype" w:cs="Palatino Linotype"/>
                <w:i/>
                <w:szCs w:val="22"/>
              </w:rPr>
              <w:t>- sazba DPH</w:t>
            </w:r>
          </w:p>
        </w:tc>
        <w:tc>
          <w:tcPr>
            <w:tcW w:w="6807" w:type="dxa"/>
          </w:tcPr>
          <w:p w:rsidR="00C83E15" w:rsidRDefault="00C83E15" w:rsidP="00005E82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21 %</w:t>
            </w:r>
          </w:p>
        </w:tc>
      </w:tr>
      <w:tr w:rsidR="00C83E15" w:rsidTr="00005E82">
        <w:tc>
          <w:tcPr>
            <w:tcW w:w="2405" w:type="dxa"/>
            <w:shd w:val="clear" w:color="auto" w:fill="E6E6E6"/>
          </w:tcPr>
          <w:p w:rsidR="00C83E15" w:rsidRDefault="00C83E15" w:rsidP="00005E82">
            <w:pPr>
              <w:tabs>
                <w:tab w:val="left" w:pos="1800"/>
                <w:tab w:val="left" w:pos="8820"/>
              </w:tabs>
              <w:jc w:val="left"/>
              <w:rPr>
                <w:rFonts w:ascii="Palatino Linotype" w:hAnsi="Palatino Linotype"/>
                <w:i/>
                <w:szCs w:val="22"/>
              </w:rPr>
            </w:pPr>
            <w:r>
              <w:rPr>
                <w:rFonts w:ascii="Palatino Linotype" w:hAnsi="Palatino Linotype"/>
                <w:i/>
                <w:szCs w:val="22"/>
              </w:rPr>
              <w:t xml:space="preserve">- </w:t>
            </w:r>
            <w:r>
              <w:rPr>
                <w:rFonts w:ascii="Palatino Linotype" w:hAnsi="Palatino Linotype" w:cs="Palatino Linotype"/>
                <w:i/>
                <w:szCs w:val="22"/>
              </w:rPr>
              <w:t>výše DPH</w:t>
            </w:r>
          </w:p>
        </w:tc>
        <w:tc>
          <w:tcPr>
            <w:tcW w:w="6807" w:type="dxa"/>
          </w:tcPr>
          <w:p w:rsidR="00C83E15" w:rsidRDefault="00B6192B" w:rsidP="00005E82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Cs w:val="22"/>
              </w:rPr>
            </w:pPr>
            <w:r w:rsidRPr="00B6192B">
              <w:rPr>
                <w:rFonts w:ascii="Palatino Linotype" w:hAnsi="Palatino Linotype"/>
                <w:szCs w:val="22"/>
              </w:rPr>
              <w:t>222 202</w:t>
            </w:r>
            <w:r w:rsidR="00C83E15">
              <w:rPr>
                <w:rFonts w:ascii="Palatino Linotype" w:hAnsi="Palatino Linotype"/>
                <w:szCs w:val="22"/>
              </w:rPr>
              <w:t>,- Kč</w:t>
            </w:r>
          </w:p>
        </w:tc>
      </w:tr>
      <w:tr w:rsidR="00C83E15" w:rsidTr="00005E82">
        <w:tc>
          <w:tcPr>
            <w:tcW w:w="2405" w:type="dxa"/>
            <w:shd w:val="clear" w:color="auto" w:fill="E6E6E6"/>
          </w:tcPr>
          <w:p w:rsidR="00C83E15" w:rsidRDefault="00C83E15" w:rsidP="00005E82">
            <w:pPr>
              <w:tabs>
                <w:tab w:val="left" w:pos="1800"/>
                <w:tab w:val="left" w:pos="8820"/>
              </w:tabs>
              <w:jc w:val="left"/>
              <w:rPr>
                <w:rFonts w:ascii="Palatino Linotype" w:hAnsi="Palatino Linotype" w:cs="Palatino Linotype"/>
                <w:i/>
                <w:szCs w:val="22"/>
              </w:rPr>
            </w:pPr>
            <w:r>
              <w:rPr>
                <w:rFonts w:ascii="Palatino Linotype" w:hAnsi="Palatino Linotype" w:cs="Palatino Linotype"/>
                <w:i/>
                <w:szCs w:val="22"/>
              </w:rPr>
              <w:t xml:space="preserve">- s DPH </w:t>
            </w:r>
            <w:r>
              <w:rPr>
                <w:rFonts w:ascii="Palatino Linotype" w:hAnsi="Palatino Linotype" w:cs="Palatino Linotype"/>
                <w:i/>
                <w:szCs w:val="22"/>
              </w:rPr>
              <w:tab/>
            </w:r>
          </w:p>
        </w:tc>
        <w:tc>
          <w:tcPr>
            <w:tcW w:w="6807" w:type="dxa"/>
          </w:tcPr>
          <w:p w:rsidR="00C83E15" w:rsidRDefault="00D407A3" w:rsidP="00D407A3">
            <w:pPr>
              <w:tabs>
                <w:tab w:val="left" w:pos="1800"/>
                <w:tab w:val="decimal" w:pos="6732"/>
                <w:tab w:val="left" w:pos="8820"/>
              </w:tabs>
              <w:jc w:val="right"/>
              <w:rPr>
                <w:rFonts w:ascii="Palatino Linotype" w:hAnsi="Palatino Linotype"/>
                <w:szCs w:val="22"/>
              </w:rPr>
            </w:pPr>
            <w:r>
              <w:rPr>
                <w:rFonts w:ascii="Palatino Linotype" w:hAnsi="Palatino Linotype"/>
                <w:szCs w:val="22"/>
              </w:rPr>
              <w:t>1 280 305</w:t>
            </w:r>
            <w:r w:rsidR="00C83E15" w:rsidRPr="009B7C7F">
              <w:rPr>
                <w:rFonts w:ascii="Palatino Linotype" w:hAnsi="Palatino Linotype"/>
                <w:szCs w:val="22"/>
              </w:rPr>
              <w:t>,-</w:t>
            </w:r>
            <w:r w:rsidR="00C83E15">
              <w:rPr>
                <w:rFonts w:ascii="Palatino Linotype" w:hAnsi="Palatino Linotype"/>
                <w:szCs w:val="22"/>
              </w:rPr>
              <w:t xml:space="preserve"> Kč</w:t>
            </w:r>
          </w:p>
        </w:tc>
      </w:tr>
    </w:tbl>
    <w:p w:rsidR="00C83E15" w:rsidRDefault="00C83E15" w:rsidP="00C83E15">
      <w:pPr>
        <w:rPr>
          <w:rFonts w:ascii="Palatino Linotype" w:hAnsi="Palatino Linotype"/>
          <w:szCs w:val="22"/>
        </w:rPr>
      </w:pPr>
    </w:p>
    <w:p w:rsidR="00C83E15" w:rsidRDefault="00C83E15" w:rsidP="00C83E15">
      <w:pPr>
        <w:rPr>
          <w:rFonts w:ascii="Palatino Linotype" w:hAnsi="Palatino Linotype"/>
          <w:szCs w:val="22"/>
        </w:rPr>
      </w:pPr>
    </w:p>
    <w:p w:rsidR="00C83E15" w:rsidRDefault="00C83E15" w:rsidP="00C83E15">
      <w:pPr>
        <w:rPr>
          <w:rFonts w:ascii="Palatino Linotype" w:hAnsi="Palatino Linotype"/>
          <w:szCs w:val="22"/>
        </w:rPr>
      </w:pPr>
    </w:p>
    <w:p w:rsidR="00C83E15" w:rsidRDefault="00C83E15" w:rsidP="00C83E15">
      <w:p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V Praze dne </w:t>
      </w:r>
      <w:proofErr w:type="gramStart"/>
      <w:r>
        <w:rPr>
          <w:rFonts w:ascii="Palatino Linotype" w:hAnsi="Palatino Linotype"/>
          <w:szCs w:val="22"/>
        </w:rPr>
        <w:t>2</w:t>
      </w:r>
      <w:r w:rsidR="00B6192B">
        <w:rPr>
          <w:rFonts w:ascii="Palatino Linotype" w:hAnsi="Palatino Linotype"/>
          <w:szCs w:val="22"/>
        </w:rPr>
        <w:t>2</w:t>
      </w:r>
      <w:r>
        <w:rPr>
          <w:rFonts w:ascii="Palatino Linotype" w:hAnsi="Palatino Linotype"/>
          <w:szCs w:val="22"/>
        </w:rPr>
        <w:t>.</w:t>
      </w:r>
      <w:r w:rsidR="00B6192B">
        <w:rPr>
          <w:rFonts w:ascii="Palatino Linotype" w:hAnsi="Palatino Linotype"/>
          <w:szCs w:val="22"/>
        </w:rPr>
        <w:t>11</w:t>
      </w:r>
      <w:r>
        <w:rPr>
          <w:rFonts w:ascii="Palatino Linotype" w:hAnsi="Palatino Linotype"/>
          <w:szCs w:val="22"/>
        </w:rPr>
        <w:t>.2016</w:t>
      </w:r>
      <w:proofErr w:type="gramEnd"/>
    </w:p>
    <w:p w:rsidR="00C83E15" w:rsidRDefault="00C83E15" w:rsidP="00C83E15">
      <w:pPr>
        <w:rPr>
          <w:rFonts w:ascii="Palatino Linotype" w:hAnsi="Palatino Linotype"/>
          <w:szCs w:val="22"/>
        </w:rPr>
      </w:pPr>
    </w:p>
    <w:p w:rsidR="00C83E15" w:rsidRDefault="00C83E15" w:rsidP="00C83E15">
      <w:pPr>
        <w:rPr>
          <w:rFonts w:ascii="Palatino Linotype" w:hAnsi="Palatino Linotype"/>
          <w:szCs w:val="22"/>
        </w:rPr>
      </w:pPr>
    </w:p>
    <w:p w:rsidR="00C83E15" w:rsidRDefault="00C83E15" w:rsidP="00C83E15">
      <w:pPr>
        <w:rPr>
          <w:rFonts w:ascii="Palatino Linotype" w:hAnsi="Palatino Linotype"/>
          <w:szCs w:val="22"/>
        </w:rPr>
      </w:pPr>
    </w:p>
    <w:p w:rsidR="00C83E15" w:rsidRDefault="00C83E15" w:rsidP="00C83E15">
      <w:pPr>
        <w:tabs>
          <w:tab w:val="center" w:pos="630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ab/>
        <w:t>………………………..…….</w:t>
      </w:r>
    </w:p>
    <w:p w:rsidR="00C83E15" w:rsidRDefault="00C83E15" w:rsidP="00C83E15">
      <w:pPr>
        <w:tabs>
          <w:tab w:val="center" w:pos="6300"/>
        </w:tabs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ab/>
        <w:t>podpis</w:t>
      </w:r>
    </w:p>
    <w:p w:rsidR="00C83E15" w:rsidRDefault="00C83E15" w:rsidP="00C83E15"/>
    <w:p w:rsidR="00C83E15" w:rsidRDefault="00C83E15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7737E9" w:rsidRDefault="007737E9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C83E15" w:rsidRDefault="00C83E15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C83E15" w:rsidRDefault="00C83E15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C83E15" w:rsidRDefault="00C83E15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B6192B" w:rsidRDefault="00B6192B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B6192B" w:rsidRDefault="00B6192B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B6192B" w:rsidRDefault="00B6192B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B6192B" w:rsidRDefault="00B6192B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B6192B" w:rsidRDefault="00B6192B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B6192B" w:rsidRDefault="00B6192B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C83E15" w:rsidRDefault="00C83E15" w:rsidP="00C83E15">
      <w:pPr>
        <w:tabs>
          <w:tab w:val="left" w:pos="426"/>
          <w:tab w:val="left" w:pos="567"/>
          <w:tab w:val="left" w:pos="851"/>
        </w:tabs>
        <w:rPr>
          <w:b/>
          <w:sz w:val="22"/>
          <w:szCs w:val="22"/>
        </w:rPr>
      </w:pPr>
    </w:p>
    <w:p w:rsidR="00C83E15" w:rsidRDefault="00C83E15" w:rsidP="00C83E15"/>
    <w:p w:rsidR="00C83E15" w:rsidRPr="00EC7439" w:rsidRDefault="00C83E15" w:rsidP="007737E9">
      <w:pPr>
        <w:pStyle w:val="Nadpis1"/>
      </w:pPr>
      <w:bookmarkStart w:id="5" w:name="_Toc460588411"/>
      <w:bookmarkStart w:id="6" w:name="_Toc460591998"/>
      <w:bookmarkStart w:id="7" w:name="_Toc460592083"/>
      <w:bookmarkStart w:id="8" w:name="_Toc460592705"/>
      <w:bookmarkStart w:id="9" w:name="_Toc467579081"/>
      <w:r w:rsidRPr="00EC7439">
        <w:lastRenderedPageBreak/>
        <w:t>Obsah</w:t>
      </w:r>
      <w:bookmarkEnd w:id="5"/>
      <w:bookmarkEnd w:id="6"/>
      <w:bookmarkEnd w:id="7"/>
      <w:bookmarkEnd w:id="8"/>
      <w:bookmarkEnd w:id="9"/>
    </w:p>
    <w:p w:rsidR="000515B0" w:rsidRDefault="006208D0">
      <w:pPr>
        <w:pStyle w:val="Obsah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467579080" w:history="1">
        <w:r w:rsidR="000515B0" w:rsidRPr="00C270A9">
          <w:rPr>
            <w:rStyle w:val="Hypertextovodkaz"/>
            <w:noProof/>
          </w:rPr>
          <w:t>1.</w:t>
        </w:r>
        <w:r w:rsidR="000515B0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0515B0" w:rsidRPr="00C270A9">
          <w:rPr>
            <w:rStyle w:val="Hypertextovodkaz"/>
            <w:noProof/>
          </w:rPr>
          <w:t>Krycí list nabídky</w:t>
        </w:r>
        <w:r w:rsidR="000515B0">
          <w:rPr>
            <w:noProof/>
            <w:webHidden/>
          </w:rPr>
          <w:tab/>
        </w:r>
        <w:r w:rsidR="000515B0">
          <w:rPr>
            <w:noProof/>
            <w:webHidden/>
          </w:rPr>
          <w:fldChar w:fldCharType="begin"/>
        </w:r>
        <w:r w:rsidR="000515B0">
          <w:rPr>
            <w:noProof/>
            <w:webHidden/>
          </w:rPr>
          <w:instrText xml:space="preserve"> PAGEREF _Toc467579080 \h </w:instrText>
        </w:r>
        <w:r w:rsidR="000515B0">
          <w:rPr>
            <w:noProof/>
            <w:webHidden/>
          </w:rPr>
        </w:r>
        <w:r w:rsidR="000515B0">
          <w:rPr>
            <w:noProof/>
            <w:webHidden/>
          </w:rPr>
          <w:fldChar w:fldCharType="separate"/>
        </w:r>
        <w:r w:rsidR="00D407A3">
          <w:rPr>
            <w:noProof/>
            <w:webHidden/>
          </w:rPr>
          <w:t>1</w:t>
        </w:r>
        <w:r w:rsidR="000515B0">
          <w:rPr>
            <w:noProof/>
            <w:webHidden/>
          </w:rPr>
          <w:fldChar w:fldCharType="end"/>
        </w:r>
      </w:hyperlink>
    </w:p>
    <w:p w:rsidR="000515B0" w:rsidRDefault="00C61CDA">
      <w:pPr>
        <w:pStyle w:val="Obsah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67579081" w:history="1">
        <w:r w:rsidR="000515B0" w:rsidRPr="00C270A9">
          <w:rPr>
            <w:rStyle w:val="Hypertextovodkaz"/>
            <w:noProof/>
          </w:rPr>
          <w:t>2.</w:t>
        </w:r>
        <w:r w:rsidR="000515B0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0515B0" w:rsidRPr="00C270A9">
          <w:rPr>
            <w:rStyle w:val="Hypertextovodkaz"/>
            <w:noProof/>
          </w:rPr>
          <w:t>Obsah</w:t>
        </w:r>
        <w:r w:rsidR="000515B0">
          <w:rPr>
            <w:noProof/>
            <w:webHidden/>
          </w:rPr>
          <w:tab/>
        </w:r>
        <w:r w:rsidR="000515B0">
          <w:rPr>
            <w:noProof/>
            <w:webHidden/>
          </w:rPr>
          <w:fldChar w:fldCharType="begin"/>
        </w:r>
        <w:r w:rsidR="000515B0">
          <w:rPr>
            <w:noProof/>
            <w:webHidden/>
          </w:rPr>
          <w:instrText xml:space="preserve"> PAGEREF _Toc467579081 \h </w:instrText>
        </w:r>
        <w:r w:rsidR="000515B0">
          <w:rPr>
            <w:noProof/>
            <w:webHidden/>
          </w:rPr>
        </w:r>
        <w:r w:rsidR="000515B0">
          <w:rPr>
            <w:noProof/>
            <w:webHidden/>
          </w:rPr>
          <w:fldChar w:fldCharType="separate"/>
        </w:r>
        <w:r w:rsidR="00D407A3">
          <w:rPr>
            <w:noProof/>
            <w:webHidden/>
          </w:rPr>
          <w:t>2</w:t>
        </w:r>
        <w:r w:rsidR="000515B0">
          <w:rPr>
            <w:noProof/>
            <w:webHidden/>
          </w:rPr>
          <w:fldChar w:fldCharType="end"/>
        </w:r>
      </w:hyperlink>
    </w:p>
    <w:p w:rsidR="000515B0" w:rsidRDefault="00C61CDA">
      <w:pPr>
        <w:pStyle w:val="Obsah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67579082" w:history="1">
        <w:r w:rsidR="000515B0" w:rsidRPr="00C270A9">
          <w:rPr>
            <w:rStyle w:val="Hypertextovodkaz"/>
            <w:noProof/>
          </w:rPr>
          <w:t>3.</w:t>
        </w:r>
        <w:r w:rsidR="000515B0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0515B0" w:rsidRPr="00C270A9">
          <w:rPr>
            <w:rStyle w:val="Hypertextovodkaz"/>
            <w:noProof/>
          </w:rPr>
          <w:t>Předmět nabídky a nabídková cena</w:t>
        </w:r>
        <w:r w:rsidR="000515B0">
          <w:rPr>
            <w:noProof/>
            <w:webHidden/>
          </w:rPr>
          <w:tab/>
        </w:r>
        <w:r w:rsidR="000515B0">
          <w:rPr>
            <w:noProof/>
            <w:webHidden/>
          </w:rPr>
          <w:fldChar w:fldCharType="begin"/>
        </w:r>
        <w:r w:rsidR="000515B0">
          <w:rPr>
            <w:noProof/>
            <w:webHidden/>
          </w:rPr>
          <w:instrText xml:space="preserve"> PAGEREF _Toc467579082 \h </w:instrText>
        </w:r>
        <w:r w:rsidR="000515B0">
          <w:rPr>
            <w:noProof/>
            <w:webHidden/>
          </w:rPr>
        </w:r>
        <w:r w:rsidR="000515B0">
          <w:rPr>
            <w:noProof/>
            <w:webHidden/>
          </w:rPr>
          <w:fldChar w:fldCharType="separate"/>
        </w:r>
        <w:r w:rsidR="00D407A3">
          <w:rPr>
            <w:noProof/>
            <w:webHidden/>
          </w:rPr>
          <w:t>3</w:t>
        </w:r>
        <w:r w:rsidR="000515B0">
          <w:rPr>
            <w:noProof/>
            <w:webHidden/>
          </w:rPr>
          <w:fldChar w:fldCharType="end"/>
        </w:r>
      </w:hyperlink>
    </w:p>
    <w:p w:rsidR="000515B0" w:rsidRDefault="00C61CDA">
      <w:pPr>
        <w:pStyle w:val="Obsah2"/>
        <w:tabs>
          <w:tab w:val="left" w:pos="8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7579086" w:history="1">
        <w:r w:rsidR="000515B0" w:rsidRPr="00C270A9">
          <w:rPr>
            <w:rStyle w:val="Hypertextovodkaz"/>
            <w:noProof/>
          </w:rPr>
          <w:t>3.1.</w:t>
        </w:r>
        <w:r w:rsidR="000515B0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0515B0" w:rsidRPr="00C270A9">
          <w:rPr>
            <w:rStyle w:val="Hypertextovodkaz"/>
            <w:noProof/>
          </w:rPr>
          <w:t>Předmět plnění</w:t>
        </w:r>
        <w:r w:rsidR="000515B0">
          <w:rPr>
            <w:noProof/>
            <w:webHidden/>
          </w:rPr>
          <w:tab/>
        </w:r>
        <w:r w:rsidR="000515B0">
          <w:rPr>
            <w:noProof/>
            <w:webHidden/>
          </w:rPr>
          <w:fldChar w:fldCharType="begin"/>
        </w:r>
        <w:r w:rsidR="000515B0">
          <w:rPr>
            <w:noProof/>
            <w:webHidden/>
          </w:rPr>
          <w:instrText xml:space="preserve"> PAGEREF _Toc467579086 \h </w:instrText>
        </w:r>
        <w:r w:rsidR="000515B0">
          <w:rPr>
            <w:noProof/>
            <w:webHidden/>
          </w:rPr>
        </w:r>
        <w:r w:rsidR="000515B0">
          <w:rPr>
            <w:noProof/>
            <w:webHidden/>
          </w:rPr>
          <w:fldChar w:fldCharType="separate"/>
        </w:r>
        <w:r w:rsidR="00D407A3">
          <w:rPr>
            <w:noProof/>
            <w:webHidden/>
          </w:rPr>
          <w:t>3</w:t>
        </w:r>
        <w:r w:rsidR="000515B0">
          <w:rPr>
            <w:noProof/>
            <w:webHidden/>
          </w:rPr>
          <w:fldChar w:fldCharType="end"/>
        </w:r>
      </w:hyperlink>
    </w:p>
    <w:p w:rsidR="000515B0" w:rsidRDefault="00C61CDA">
      <w:pPr>
        <w:pStyle w:val="Obsah2"/>
        <w:tabs>
          <w:tab w:val="left" w:pos="8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7579087" w:history="1">
        <w:r w:rsidR="000515B0" w:rsidRPr="00C270A9">
          <w:rPr>
            <w:rStyle w:val="Hypertextovodkaz"/>
            <w:noProof/>
          </w:rPr>
          <w:t>3.2.</w:t>
        </w:r>
        <w:r w:rsidR="000515B0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0515B0" w:rsidRPr="00C270A9">
          <w:rPr>
            <w:rStyle w:val="Hypertextovodkaz"/>
            <w:noProof/>
          </w:rPr>
          <w:t>Harmonogram plnění</w:t>
        </w:r>
        <w:r w:rsidR="000515B0">
          <w:rPr>
            <w:noProof/>
            <w:webHidden/>
          </w:rPr>
          <w:tab/>
        </w:r>
        <w:r w:rsidR="000515B0">
          <w:rPr>
            <w:noProof/>
            <w:webHidden/>
          </w:rPr>
          <w:fldChar w:fldCharType="begin"/>
        </w:r>
        <w:r w:rsidR="000515B0">
          <w:rPr>
            <w:noProof/>
            <w:webHidden/>
          </w:rPr>
          <w:instrText xml:space="preserve"> PAGEREF _Toc467579087 \h </w:instrText>
        </w:r>
        <w:r w:rsidR="000515B0">
          <w:rPr>
            <w:noProof/>
            <w:webHidden/>
          </w:rPr>
        </w:r>
        <w:r w:rsidR="000515B0">
          <w:rPr>
            <w:noProof/>
            <w:webHidden/>
          </w:rPr>
          <w:fldChar w:fldCharType="separate"/>
        </w:r>
        <w:r w:rsidR="00D407A3">
          <w:rPr>
            <w:noProof/>
            <w:webHidden/>
          </w:rPr>
          <w:t>8</w:t>
        </w:r>
        <w:r w:rsidR="000515B0">
          <w:rPr>
            <w:noProof/>
            <w:webHidden/>
          </w:rPr>
          <w:fldChar w:fldCharType="end"/>
        </w:r>
      </w:hyperlink>
    </w:p>
    <w:p w:rsidR="000515B0" w:rsidRDefault="00C61CDA">
      <w:pPr>
        <w:pStyle w:val="Obsah2"/>
        <w:tabs>
          <w:tab w:val="left" w:pos="8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67579088" w:history="1">
        <w:r w:rsidR="000515B0" w:rsidRPr="00C270A9">
          <w:rPr>
            <w:rStyle w:val="Hypertextovodkaz"/>
            <w:noProof/>
          </w:rPr>
          <w:t>3.3.</w:t>
        </w:r>
        <w:r w:rsidR="000515B0"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="000515B0" w:rsidRPr="00C270A9">
          <w:rPr>
            <w:rStyle w:val="Hypertextovodkaz"/>
            <w:noProof/>
          </w:rPr>
          <w:t>Nabídková cena</w:t>
        </w:r>
        <w:r w:rsidR="000515B0">
          <w:rPr>
            <w:noProof/>
            <w:webHidden/>
          </w:rPr>
          <w:tab/>
        </w:r>
        <w:r w:rsidR="000515B0">
          <w:rPr>
            <w:noProof/>
            <w:webHidden/>
          </w:rPr>
          <w:fldChar w:fldCharType="begin"/>
        </w:r>
        <w:r w:rsidR="000515B0">
          <w:rPr>
            <w:noProof/>
            <w:webHidden/>
          </w:rPr>
          <w:instrText xml:space="preserve"> PAGEREF _Toc467579088 \h </w:instrText>
        </w:r>
        <w:r w:rsidR="000515B0">
          <w:rPr>
            <w:noProof/>
            <w:webHidden/>
          </w:rPr>
        </w:r>
        <w:r w:rsidR="000515B0">
          <w:rPr>
            <w:noProof/>
            <w:webHidden/>
          </w:rPr>
          <w:fldChar w:fldCharType="separate"/>
        </w:r>
        <w:r w:rsidR="00D407A3">
          <w:rPr>
            <w:noProof/>
            <w:webHidden/>
          </w:rPr>
          <w:t>9</w:t>
        </w:r>
        <w:r w:rsidR="000515B0">
          <w:rPr>
            <w:noProof/>
            <w:webHidden/>
          </w:rPr>
          <w:fldChar w:fldCharType="end"/>
        </w:r>
      </w:hyperlink>
    </w:p>
    <w:p w:rsidR="000515B0" w:rsidRDefault="00C61CDA">
      <w:pPr>
        <w:pStyle w:val="Obsah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67579089" w:history="1">
        <w:r w:rsidR="000515B0" w:rsidRPr="00C270A9">
          <w:rPr>
            <w:rStyle w:val="Hypertextovodkaz"/>
            <w:noProof/>
          </w:rPr>
          <w:t>4.</w:t>
        </w:r>
        <w:r w:rsidR="000515B0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0515B0" w:rsidRPr="00C270A9">
          <w:rPr>
            <w:rStyle w:val="Hypertextovodkaz"/>
            <w:noProof/>
          </w:rPr>
          <w:t>Doklady k prokázání kvalifikace</w:t>
        </w:r>
        <w:r w:rsidR="000515B0">
          <w:rPr>
            <w:noProof/>
            <w:webHidden/>
          </w:rPr>
          <w:tab/>
        </w:r>
        <w:r w:rsidR="000515B0">
          <w:rPr>
            <w:noProof/>
            <w:webHidden/>
          </w:rPr>
          <w:fldChar w:fldCharType="begin"/>
        </w:r>
        <w:r w:rsidR="000515B0">
          <w:rPr>
            <w:noProof/>
            <w:webHidden/>
          </w:rPr>
          <w:instrText xml:space="preserve"> PAGEREF _Toc467579089 \h </w:instrText>
        </w:r>
        <w:r w:rsidR="000515B0">
          <w:rPr>
            <w:noProof/>
            <w:webHidden/>
          </w:rPr>
        </w:r>
        <w:r w:rsidR="000515B0">
          <w:rPr>
            <w:noProof/>
            <w:webHidden/>
          </w:rPr>
          <w:fldChar w:fldCharType="separate"/>
        </w:r>
        <w:r w:rsidR="00D407A3">
          <w:rPr>
            <w:noProof/>
            <w:webHidden/>
          </w:rPr>
          <w:t>10</w:t>
        </w:r>
        <w:r w:rsidR="000515B0">
          <w:rPr>
            <w:noProof/>
            <w:webHidden/>
          </w:rPr>
          <w:fldChar w:fldCharType="end"/>
        </w:r>
      </w:hyperlink>
    </w:p>
    <w:p w:rsidR="000515B0" w:rsidRDefault="00C61CDA">
      <w:pPr>
        <w:pStyle w:val="Obsah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67579091" w:history="1">
        <w:r w:rsidR="000515B0" w:rsidRPr="00C270A9">
          <w:rPr>
            <w:rStyle w:val="Hypertextovodkaz"/>
            <w:noProof/>
          </w:rPr>
          <w:t>5.</w:t>
        </w:r>
        <w:r w:rsidR="000515B0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0515B0" w:rsidRPr="00C270A9">
          <w:rPr>
            <w:rStyle w:val="Hypertextovodkaz"/>
            <w:noProof/>
          </w:rPr>
          <w:t>Návrh smlouvy</w:t>
        </w:r>
        <w:r w:rsidR="000515B0">
          <w:rPr>
            <w:noProof/>
            <w:webHidden/>
          </w:rPr>
          <w:tab/>
        </w:r>
        <w:r w:rsidR="000515B0">
          <w:rPr>
            <w:noProof/>
            <w:webHidden/>
          </w:rPr>
          <w:fldChar w:fldCharType="begin"/>
        </w:r>
        <w:r w:rsidR="000515B0">
          <w:rPr>
            <w:noProof/>
            <w:webHidden/>
          </w:rPr>
          <w:instrText xml:space="preserve"> PAGEREF _Toc467579091 \h </w:instrText>
        </w:r>
        <w:r w:rsidR="000515B0">
          <w:rPr>
            <w:noProof/>
            <w:webHidden/>
          </w:rPr>
        </w:r>
        <w:r w:rsidR="000515B0">
          <w:rPr>
            <w:noProof/>
            <w:webHidden/>
          </w:rPr>
          <w:fldChar w:fldCharType="separate"/>
        </w:r>
        <w:r w:rsidR="00D407A3">
          <w:rPr>
            <w:noProof/>
            <w:webHidden/>
          </w:rPr>
          <w:t>10</w:t>
        </w:r>
        <w:r w:rsidR="000515B0">
          <w:rPr>
            <w:noProof/>
            <w:webHidden/>
          </w:rPr>
          <w:fldChar w:fldCharType="end"/>
        </w:r>
      </w:hyperlink>
    </w:p>
    <w:p w:rsidR="000515B0" w:rsidRDefault="00C61CDA">
      <w:pPr>
        <w:pStyle w:val="Obsah1"/>
        <w:tabs>
          <w:tab w:val="left" w:pos="400"/>
          <w:tab w:val="right" w:leader="dot" w:pos="9628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67579092" w:history="1">
        <w:r w:rsidR="000515B0" w:rsidRPr="00C270A9">
          <w:rPr>
            <w:rStyle w:val="Hypertextovodkaz"/>
            <w:noProof/>
          </w:rPr>
          <w:t>6.</w:t>
        </w:r>
        <w:r w:rsidR="000515B0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0515B0" w:rsidRPr="00C270A9">
          <w:rPr>
            <w:rStyle w:val="Hypertextovodkaz"/>
            <w:noProof/>
          </w:rPr>
          <w:t>Přílohy</w:t>
        </w:r>
        <w:r w:rsidR="000515B0">
          <w:rPr>
            <w:noProof/>
            <w:webHidden/>
          </w:rPr>
          <w:tab/>
        </w:r>
        <w:r w:rsidR="000515B0">
          <w:rPr>
            <w:noProof/>
            <w:webHidden/>
          </w:rPr>
          <w:fldChar w:fldCharType="begin"/>
        </w:r>
        <w:r w:rsidR="000515B0">
          <w:rPr>
            <w:noProof/>
            <w:webHidden/>
          </w:rPr>
          <w:instrText xml:space="preserve"> PAGEREF _Toc467579092 \h </w:instrText>
        </w:r>
        <w:r w:rsidR="000515B0">
          <w:rPr>
            <w:noProof/>
            <w:webHidden/>
          </w:rPr>
        </w:r>
        <w:r w:rsidR="000515B0">
          <w:rPr>
            <w:noProof/>
            <w:webHidden/>
          </w:rPr>
          <w:fldChar w:fldCharType="separate"/>
        </w:r>
        <w:r w:rsidR="00D407A3">
          <w:rPr>
            <w:noProof/>
            <w:webHidden/>
          </w:rPr>
          <w:t>10</w:t>
        </w:r>
        <w:r w:rsidR="000515B0">
          <w:rPr>
            <w:noProof/>
            <w:webHidden/>
          </w:rPr>
          <w:fldChar w:fldCharType="end"/>
        </w:r>
      </w:hyperlink>
    </w:p>
    <w:p w:rsidR="009E39C0" w:rsidRDefault="006208D0" w:rsidP="00C83E15">
      <w:r>
        <w:rPr>
          <w:rFonts w:asciiTheme="minorHAnsi" w:hAnsiTheme="minorHAnsi" w:cstheme="minorHAnsi"/>
          <w:b/>
          <w:bCs/>
        </w:rPr>
        <w:fldChar w:fldCharType="end"/>
      </w:r>
    </w:p>
    <w:p w:rsidR="009E39C0" w:rsidRDefault="009E39C0" w:rsidP="00C83E15"/>
    <w:p w:rsidR="00C83E15" w:rsidRDefault="00C83E15" w:rsidP="00C83E15"/>
    <w:p w:rsidR="00C83E15" w:rsidRDefault="00C83E15" w:rsidP="00C83E15">
      <w:pPr>
        <w:pStyle w:val="Odsazen1"/>
        <w:tabs>
          <w:tab w:val="left" w:pos="360"/>
          <w:tab w:val="left" w:pos="3600"/>
        </w:tabs>
        <w:ind w:left="360"/>
        <w:rPr>
          <w:rFonts w:ascii="Palatino Linotype" w:hAnsi="Palatino Linotype" w:cs="Times New Roman"/>
          <w:szCs w:val="22"/>
        </w:rPr>
      </w:pPr>
    </w:p>
    <w:p w:rsidR="00C83E15" w:rsidRDefault="00C83E15" w:rsidP="00C83E15"/>
    <w:p w:rsidR="00C83E15" w:rsidRDefault="00C83E15" w:rsidP="00C83E15">
      <w:pPr>
        <w:pStyle w:val="Odsazen1"/>
        <w:tabs>
          <w:tab w:val="left" w:pos="3600"/>
        </w:tabs>
        <w:ind w:left="360"/>
        <w:rPr>
          <w:rFonts w:ascii="Palatino Linotype" w:hAnsi="Palatino Linotype" w:cs="Times New Roman"/>
          <w:szCs w:val="22"/>
        </w:rPr>
      </w:pP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</w:p>
    <w:p w:rsidR="00C83E15" w:rsidRDefault="00C83E15" w:rsidP="00C83E15">
      <w:r>
        <w:br w:type="page"/>
      </w:r>
    </w:p>
    <w:p w:rsidR="00B6192B" w:rsidRDefault="00B6192B" w:rsidP="00B6192B">
      <w:pPr>
        <w:pStyle w:val="Nadpis1"/>
      </w:pPr>
      <w:bookmarkStart w:id="10" w:name="_Toc460588413"/>
      <w:bookmarkStart w:id="11" w:name="_Toc460592000"/>
      <w:bookmarkStart w:id="12" w:name="_Toc460592085"/>
      <w:bookmarkStart w:id="13" w:name="_Toc460592707"/>
      <w:bookmarkStart w:id="14" w:name="_Toc467579082"/>
      <w:bookmarkStart w:id="15" w:name="_Toc460588412"/>
      <w:bookmarkStart w:id="16" w:name="_Toc460591999"/>
      <w:bookmarkStart w:id="17" w:name="_Toc460592084"/>
      <w:bookmarkStart w:id="18" w:name="_Toc460592706"/>
      <w:r w:rsidRPr="007737E9">
        <w:lastRenderedPageBreak/>
        <w:t xml:space="preserve">Předmět </w:t>
      </w:r>
      <w:r>
        <w:t xml:space="preserve">nabídky </w:t>
      </w:r>
      <w:r w:rsidRPr="007737E9">
        <w:t>a nabídková cena</w:t>
      </w:r>
      <w:bookmarkEnd w:id="10"/>
      <w:bookmarkEnd w:id="11"/>
      <w:bookmarkEnd w:id="12"/>
      <w:bookmarkEnd w:id="13"/>
      <w:bookmarkEnd w:id="14"/>
    </w:p>
    <w:p w:rsidR="00D04F3D" w:rsidRPr="00D04F3D" w:rsidRDefault="00D04F3D" w:rsidP="00D04F3D">
      <w:r>
        <w:t>Předmětem této nabídky je dodávka EKIS dodavatele MÚZO Praha s.</w:t>
      </w:r>
      <w:proofErr w:type="gramStart"/>
      <w:r>
        <w:t>r.o..</w:t>
      </w:r>
      <w:proofErr w:type="gramEnd"/>
      <w:r>
        <w:t xml:space="preserve"> Detailní rozsah nabídky je popsán v následujících kapitolách, detailní popis systému je uveden v přílohách této nabídky.</w:t>
      </w:r>
    </w:p>
    <w:p w:rsidR="00B6192B" w:rsidRPr="00595A15" w:rsidRDefault="00B6192B" w:rsidP="00B6192B">
      <w:pPr>
        <w:pStyle w:val="Odstavecseseznamem"/>
        <w:numPr>
          <w:ilvl w:val="0"/>
          <w:numId w:val="3"/>
        </w:numPr>
        <w:rPr>
          <w:vanish/>
        </w:rPr>
      </w:pPr>
    </w:p>
    <w:p w:rsidR="00B6192B" w:rsidRPr="00595A15" w:rsidRDefault="00B6192B" w:rsidP="00B6192B">
      <w:pPr>
        <w:pStyle w:val="Odstavecseseznamem"/>
        <w:numPr>
          <w:ilvl w:val="0"/>
          <w:numId w:val="3"/>
        </w:numPr>
        <w:rPr>
          <w:vanish/>
        </w:rPr>
      </w:pPr>
    </w:p>
    <w:p w:rsidR="00B6192B" w:rsidRPr="00595A15" w:rsidRDefault="00B6192B" w:rsidP="00B6192B">
      <w:pPr>
        <w:pStyle w:val="Odstavecseseznamem"/>
        <w:numPr>
          <w:ilvl w:val="0"/>
          <w:numId w:val="3"/>
        </w:numPr>
        <w:rPr>
          <w:vanish/>
        </w:rPr>
      </w:pPr>
    </w:p>
    <w:p w:rsidR="00B6192B" w:rsidRPr="00B6192B" w:rsidRDefault="00B6192B" w:rsidP="00B6192B">
      <w:pPr>
        <w:pStyle w:val="Odstavecseseznamem"/>
        <w:keepNext/>
        <w:keepLines/>
        <w:numPr>
          <w:ilvl w:val="0"/>
          <w:numId w:val="14"/>
        </w:numPr>
        <w:spacing w:before="240" w:after="120"/>
        <w:contextualSpacing/>
        <w:outlineLvl w:val="1"/>
        <w:rPr>
          <w:rFonts w:eastAsiaTheme="majorEastAsia" w:cstheme="majorBidi"/>
          <w:b/>
          <w:bCs/>
          <w:vanish/>
          <w:sz w:val="24"/>
          <w:szCs w:val="24"/>
        </w:rPr>
      </w:pPr>
      <w:bookmarkStart w:id="19" w:name="_Toc460593501"/>
      <w:bookmarkStart w:id="20" w:name="_Toc460593957"/>
      <w:bookmarkStart w:id="21" w:name="_Toc460594042"/>
      <w:bookmarkStart w:id="22" w:name="_Toc460594096"/>
      <w:bookmarkStart w:id="23" w:name="_Toc460594476"/>
      <w:bookmarkStart w:id="24" w:name="_Toc467577445"/>
      <w:bookmarkStart w:id="25" w:name="_Toc467578247"/>
      <w:bookmarkStart w:id="26" w:name="_Toc467578513"/>
      <w:bookmarkStart w:id="27" w:name="_Toc467578837"/>
      <w:bookmarkStart w:id="28" w:name="_Toc467579070"/>
      <w:bookmarkStart w:id="29" w:name="_Toc467579083"/>
      <w:bookmarkStart w:id="30" w:name="_Ref460594967"/>
      <w:bookmarkStart w:id="31" w:name="_Ref46059497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B6192B" w:rsidRPr="00B6192B" w:rsidRDefault="00B6192B" w:rsidP="00B6192B">
      <w:pPr>
        <w:pStyle w:val="Odstavecseseznamem"/>
        <w:keepNext/>
        <w:keepLines/>
        <w:numPr>
          <w:ilvl w:val="0"/>
          <w:numId w:val="14"/>
        </w:numPr>
        <w:spacing w:before="240" w:after="120"/>
        <w:contextualSpacing/>
        <w:outlineLvl w:val="1"/>
        <w:rPr>
          <w:rFonts w:eastAsiaTheme="majorEastAsia" w:cstheme="majorBidi"/>
          <w:b/>
          <w:bCs/>
          <w:vanish/>
          <w:sz w:val="24"/>
          <w:szCs w:val="24"/>
        </w:rPr>
      </w:pPr>
      <w:bookmarkStart w:id="32" w:name="_Toc467577446"/>
      <w:bookmarkStart w:id="33" w:name="_Toc467578248"/>
      <w:bookmarkStart w:id="34" w:name="_Toc467578514"/>
      <w:bookmarkStart w:id="35" w:name="_Toc467578838"/>
      <w:bookmarkStart w:id="36" w:name="_Toc467579071"/>
      <w:bookmarkStart w:id="37" w:name="_Toc467579084"/>
      <w:bookmarkEnd w:id="32"/>
      <w:bookmarkEnd w:id="33"/>
      <w:bookmarkEnd w:id="34"/>
      <w:bookmarkEnd w:id="35"/>
      <w:bookmarkEnd w:id="36"/>
      <w:bookmarkEnd w:id="37"/>
    </w:p>
    <w:p w:rsidR="00B6192B" w:rsidRPr="00B6192B" w:rsidRDefault="00B6192B" w:rsidP="00B6192B">
      <w:pPr>
        <w:pStyle w:val="Odstavecseseznamem"/>
        <w:keepNext/>
        <w:keepLines/>
        <w:numPr>
          <w:ilvl w:val="0"/>
          <w:numId w:val="14"/>
        </w:numPr>
        <w:spacing w:before="240" w:after="120"/>
        <w:contextualSpacing/>
        <w:outlineLvl w:val="1"/>
        <w:rPr>
          <w:rFonts w:eastAsiaTheme="majorEastAsia" w:cstheme="majorBidi"/>
          <w:b/>
          <w:bCs/>
          <w:vanish/>
          <w:sz w:val="24"/>
          <w:szCs w:val="24"/>
        </w:rPr>
      </w:pPr>
      <w:bookmarkStart w:id="38" w:name="_Toc467577447"/>
      <w:bookmarkStart w:id="39" w:name="_Toc467578249"/>
      <w:bookmarkStart w:id="40" w:name="_Toc467578515"/>
      <w:bookmarkStart w:id="41" w:name="_Toc467578839"/>
      <w:bookmarkStart w:id="42" w:name="_Toc467579072"/>
      <w:bookmarkStart w:id="43" w:name="_Toc467579085"/>
      <w:bookmarkEnd w:id="38"/>
      <w:bookmarkEnd w:id="39"/>
      <w:bookmarkEnd w:id="40"/>
      <w:bookmarkEnd w:id="41"/>
      <w:bookmarkEnd w:id="42"/>
      <w:bookmarkEnd w:id="43"/>
    </w:p>
    <w:p w:rsidR="00B6192B" w:rsidRPr="00D04F3D" w:rsidRDefault="00B6192B" w:rsidP="00D04F3D">
      <w:pPr>
        <w:pStyle w:val="Nadpis2"/>
      </w:pPr>
      <w:bookmarkStart w:id="44" w:name="_Toc467579086"/>
      <w:r w:rsidRPr="00D04F3D">
        <w:t>Předmět plnění</w:t>
      </w:r>
      <w:bookmarkEnd w:id="30"/>
      <w:bookmarkEnd w:id="31"/>
      <w:bookmarkEnd w:id="44"/>
    </w:p>
    <w:p w:rsidR="00B6192B" w:rsidRPr="00DB29A4" w:rsidRDefault="00B6192B" w:rsidP="00B6192B">
      <w:r w:rsidRPr="00DB29A4">
        <w:t xml:space="preserve">Předmětem </w:t>
      </w:r>
      <w:r>
        <w:t xml:space="preserve">nabídky </w:t>
      </w:r>
      <w:r w:rsidRPr="00DB29A4">
        <w:t>je provedení souhrnu následujících činností:</w:t>
      </w:r>
    </w:p>
    <w:p w:rsidR="00B6192B" w:rsidRPr="00E05C22" w:rsidRDefault="00B6192B" w:rsidP="00B6192B">
      <w:pPr>
        <w:rPr>
          <w:b/>
        </w:rPr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6" w:lineRule="auto"/>
        <w:contextualSpacing/>
      </w:pPr>
      <w:r>
        <w:t xml:space="preserve">Kompletní dodání a implementace nového EKIS , který bude vyhovovat požadavkům zadavatele – České geologické služby, státní příspěvkové organizace (dále jen ČGS) na řádné vedení </w:t>
      </w:r>
      <w:r>
        <w:rPr>
          <w:rFonts w:cs="Arial"/>
        </w:rPr>
        <w:t>účetnictví, rozpočtu, evidence majetku a výkaznictví</w:t>
      </w:r>
      <w:r>
        <w:t xml:space="preserve"> ve vazbě na stávající účtovou osnovu ČGS a platnou legislativu ČR případně EU, včetně zajištění průběžné aktualizace.</w:t>
      </w:r>
    </w:p>
    <w:p w:rsidR="00B6192B" w:rsidRDefault="00B6192B" w:rsidP="00B6192B">
      <w:pPr>
        <w:pStyle w:val="Odstavecseseznamem"/>
        <w:spacing w:line="256" w:lineRule="auto"/>
        <w:ind w:left="775"/>
      </w:pPr>
    </w:p>
    <w:p w:rsidR="00B6192B" w:rsidRPr="00472238" w:rsidRDefault="00B6192B" w:rsidP="00B6192B">
      <w:pPr>
        <w:pStyle w:val="Odstavecseseznamem"/>
        <w:numPr>
          <w:ilvl w:val="0"/>
          <w:numId w:val="6"/>
        </w:numPr>
        <w:spacing w:after="160" w:line="256" w:lineRule="auto"/>
        <w:contextualSpacing/>
      </w:pPr>
      <w:r w:rsidRPr="00472238">
        <w:t>D</w:t>
      </w:r>
      <w:r>
        <w:t xml:space="preserve">odání potřebných licencí pro bezproblémové užívání EKIS zadavatelem. Minimální počty </w:t>
      </w:r>
      <w:r w:rsidRPr="00472238">
        <w:t>uživatelů a druhy požadovaných modulů jsou uvedeny tabulce č. 1: Minimální počty uživatelů a druhy požadovaných modulů/licencí.  Jednotlivé moduly budou obsahovat informace minimálně v rozsahu stávajícího EKIS ČGS IN-SY-CO a to zejména v rozsahu uvedeném v tabulce č. 2: Obecné požadavky.</w:t>
      </w:r>
    </w:p>
    <w:p w:rsidR="00B6192B" w:rsidRDefault="00B6192B" w:rsidP="00B6192B">
      <w:pPr>
        <w:pStyle w:val="Odstavecseseznamem"/>
        <w:spacing w:line="256" w:lineRule="auto"/>
        <w:ind w:left="775"/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4" w:lineRule="auto"/>
        <w:contextualSpacing/>
      </w:pPr>
      <w:r>
        <w:t>Možnost individuálně nastavovat a sledovat čerpání rozpočtů středisek, projektů a zakázek s neomezeným přístupem uživatelů a přímým propojením s EKIS a automatickou on-line aktualizací s účetnictvím.</w:t>
      </w:r>
    </w:p>
    <w:p w:rsidR="00B6192B" w:rsidRDefault="00B6192B" w:rsidP="00B6192B">
      <w:pPr>
        <w:pStyle w:val="Odstavecseseznamem"/>
        <w:spacing w:line="254" w:lineRule="auto"/>
        <w:ind w:left="775"/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4" w:lineRule="auto"/>
        <w:contextualSpacing/>
      </w:pPr>
      <w:r>
        <w:t>Možnost individuálně sledovat vybrané druhy nákladů, tvorba manažerských sestav podle potřeb vybraných uživatelů s přímým propojením s EKIS a automatickou on-line vazbou na účetnictví.</w:t>
      </w:r>
    </w:p>
    <w:p w:rsidR="00B6192B" w:rsidRDefault="00B6192B" w:rsidP="00B6192B">
      <w:pPr>
        <w:pStyle w:val="Odstavecseseznamem"/>
        <w:spacing w:line="254" w:lineRule="auto"/>
        <w:ind w:left="775"/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4" w:lineRule="auto"/>
        <w:contextualSpacing/>
      </w:pPr>
      <w:r>
        <w:t>Kompletní dodání a zavedení elektronického systému oběhu a schvalování dokladů uvnitř organizace (</w:t>
      </w:r>
      <w:proofErr w:type="spellStart"/>
      <w:r>
        <w:t>Workflow</w:t>
      </w:r>
      <w:proofErr w:type="spellEnd"/>
      <w:r>
        <w:t xml:space="preserve">) a to i v přímé vazbě na řídící kontrolu a rozpočty a komunikace prostřednictvím </w:t>
      </w:r>
      <w:proofErr w:type="spellStart"/>
      <w:r>
        <w:t>webmailu</w:t>
      </w:r>
      <w:proofErr w:type="spellEnd"/>
      <w:r>
        <w:t xml:space="preserve"> ČGS s možností vzdáleného přístupu a s přímým propojením s EKIS  a automatickou on-line vazbou na účetnictví a systém spisové služby ČGS.</w:t>
      </w:r>
    </w:p>
    <w:p w:rsidR="00B6192B" w:rsidRDefault="00B6192B" w:rsidP="00B6192B">
      <w:pPr>
        <w:pStyle w:val="Odstavecseseznamem"/>
        <w:spacing w:line="254" w:lineRule="auto"/>
        <w:ind w:left="775"/>
      </w:pPr>
    </w:p>
    <w:p w:rsidR="00B6192B" w:rsidRDefault="00B6192B" w:rsidP="00B6192B">
      <w:pPr>
        <w:pStyle w:val="Odstavecseseznamem"/>
        <w:spacing w:line="254" w:lineRule="auto"/>
        <w:ind w:left="775"/>
      </w:pPr>
      <w:r>
        <w:t xml:space="preserve">Systém </w:t>
      </w:r>
      <w:proofErr w:type="spellStart"/>
      <w:r>
        <w:t>workflow</w:t>
      </w:r>
      <w:proofErr w:type="spellEnd"/>
      <w:r>
        <w:t xml:space="preserve"> bude vyhovovat platné legislativě ČR a vnitřním předpisům ČGS.</w:t>
      </w:r>
    </w:p>
    <w:p w:rsidR="00B6192B" w:rsidRDefault="00B6192B" w:rsidP="00B6192B">
      <w:pPr>
        <w:pStyle w:val="Odstavecseseznamem"/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6" w:lineRule="auto"/>
        <w:contextualSpacing/>
      </w:pPr>
      <w:r>
        <w:t xml:space="preserve">Součástí dodávky ad 1-5) je i </w:t>
      </w:r>
      <w:proofErr w:type="spellStart"/>
      <w:r>
        <w:t>předimplementační</w:t>
      </w:r>
      <w:proofErr w:type="spellEnd"/>
      <w:r>
        <w:t xml:space="preserve"> analýza, pilotní projekt a migrace dat ze stávajících systémů ČGS a nastavení počátečních stavů v účetním roce 2017, převody majetku apod. Součástí analýzy bude i zajištění vazby na systém Spisové služby ČGS.</w:t>
      </w:r>
    </w:p>
    <w:p w:rsidR="00B6192B" w:rsidRDefault="00B6192B" w:rsidP="00B6192B">
      <w:pPr>
        <w:pStyle w:val="Odstavecseseznamem"/>
        <w:ind w:left="775"/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6" w:lineRule="auto"/>
        <w:contextualSpacing/>
      </w:pPr>
      <w:r>
        <w:t xml:space="preserve">Podpora a aplikační správa dodaných systémů na dobu neurčitou včetně veškerých aktualizací po dobu 4 let v ceně nabídky, podpora ve stejném rozsahu a ceně na další roky. </w:t>
      </w:r>
      <w:proofErr w:type="spellStart"/>
      <w:r>
        <w:t>Hotline</w:t>
      </w:r>
      <w:proofErr w:type="spellEnd"/>
      <w:r>
        <w:t xml:space="preserve"> v pracovních dnech 8-16h, odstranění funkčních závad systémů nejpozději do 24 hodin od nahlášení.</w:t>
      </w:r>
    </w:p>
    <w:p w:rsidR="00B6192B" w:rsidRPr="00E05C22" w:rsidRDefault="00B6192B" w:rsidP="00B6192B">
      <w:pPr>
        <w:pStyle w:val="Odstavecseseznamem"/>
        <w:spacing w:line="256" w:lineRule="auto"/>
        <w:ind w:left="775"/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6" w:lineRule="auto"/>
        <w:contextualSpacing/>
      </w:pPr>
      <w:r>
        <w:t>EKIS splňuje požadavky napojení na externí systémy v rámci platné legislativy ČR případně EU, pro státní příspěvkové organizace v oblasti účetnictví, výkaznictví a archivace, skartace, včetně zajištění průběžné aktualizace a to zejména v rozsahu vyplývajících:</w:t>
      </w:r>
    </w:p>
    <w:p w:rsidR="00B6192B" w:rsidRDefault="00B6192B" w:rsidP="00B6192B">
      <w:pPr>
        <w:numPr>
          <w:ilvl w:val="0"/>
          <w:numId w:val="7"/>
        </w:numPr>
        <w:ind w:left="1134" w:hanging="283"/>
      </w:pPr>
      <w:r>
        <w:t xml:space="preserve">ze zákona o účetnictví (563/1991 Sb.), </w:t>
      </w:r>
    </w:p>
    <w:p w:rsidR="00B6192B" w:rsidRDefault="00B6192B" w:rsidP="00B6192B">
      <w:pPr>
        <w:numPr>
          <w:ilvl w:val="0"/>
          <w:numId w:val="7"/>
        </w:numPr>
        <w:ind w:left="1134" w:hanging="283"/>
      </w:pPr>
      <w:r>
        <w:t xml:space="preserve">z prováděcích vyhlášek (410/2009 Sb. Pro OSS, PO a St. f., 500/2002 Sb. pro podnikatele, 504/2002 Sb. pro NO), </w:t>
      </w:r>
    </w:p>
    <w:p w:rsidR="00B6192B" w:rsidRDefault="00B6192B" w:rsidP="00B6192B">
      <w:pPr>
        <w:numPr>
          <w:ilvl w:val="0"/>
          <w:numId w:val="7"/>
        </w:numPr>
        <w:ind w:left="1134" w:hanging="283"/>
      </w:pPr>
      <w:r>
        <w:t xml:space="preserve">z vyhlášky 383/2009 Sb.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</w:t>
      </w:r>
    </w:p>
    <w:p w:rsidR="00B6192B" w:rsidRDefault="00B6192B" w:rsidP="00B6192B">
      <w:pPr>
        <w:numPr>
          <w:ilvl w:val="0"/>
          <w:numId w:val="7"/>
        </w:numPr>
        <w:ind w:left="1134" w:hanging="283"/>
      </w:pPr>
      <w:r>
        <w:t>z vyhlášky 5/2014 Sb. o způsobu, termínech a rozsahu údajů předkládaných pro hodnocení plnění státního rozpočtu (finanční výkazy a plán SPO),</w:t>
      </w:r>
    </w:p>
    <w:p w:rsidR="00B6192B" w:rsidRDefault="00B6192B" w:rsidP="00B6192B">
      <w:pPr>
        <w:numPr>
          <w:ilvl w:val="0"/>
          <w:numId w:val="7"/>
        </w:numPr>
        <w:ind w:left="1134" w:hanging="283"/>
      </w:pPr>
      <w:r>
        <w:t>ze zák. 235/2004 Sb. o dani z přidané hodnoty,</w:t>
      </w:r>
    </w:p>
    <w:p w:rsidR="00B6192B" w:rsidRDefault="00B6192B" w:rsidP="00B6192B">
      <w:pPr>
        <w:numPr>
          <w:ilvl w:val="0"/>
          <w:numId w:val="7"/>
        </w:numPr>
        <w:ind w:left="1134" w:hanging="283"/>
      </w:pPr>
      <w:r>
        <w:t>ze zák. 320/2001 Sb. o finanční kontrole.</w:t>
      </w:r>
    </w:p>
    <w:p w:rsidR="00B6192B" w:rsidRDefault="00B6192B" w:rsidP="00B6192B">
      <w:pPr>
        <w:pStyle w:val="Odstavecseseznamem"/>
      </w:pPr>
    </w:p>
    <w:p w:rsidR="00B6192B" w:rsidRPr="00595A15" w:rsidRDefault="00B6192B" w:rsidP="00B6192B">
      <w:pPr>
        <w:pStyle w:val="Odstavecseseznamem"/>
        <w:numPr>
          <w:ilvl w:val="0"/>
          <w:numId w:val="6"/>
        </w:numPr>
        <w:spacing w:after="160" w:line="256" w:lineRule="auto"/>
        <w:contextualSpacing/>
      </w:pPr>
      <w:r w:rsidRPr="00595A15">
        <w:t xml:space="preserve">EKIS umožní účtování mezd přes rozhraní se stávajícím mzdovým systémem ČGS (název mzdového  systému:  MZDY CONPREX, verze 26_20  , pracuje pod OS:  W XP, W7, W8  i W10 (32 i 64bitovýchverzích), pro přenos dat do účetního SW </w:t>
      </w:r>
      <w:r>
        <w:t xml:space="preserve">budou </w:t>
      </w:r>
      <w:r w:rsidRPr="00595A15">
        <w:t>použ</w:t>
      </w:r>
      <w:r>
        <w:t xml:space="preserve">ity </w:t>
      </w:r>
      <w:r w:rsidRPr="00595A15">
        <w:t>textové soubory TXT nebo CSV) a dále přímé propojení s registrem smluv dle platné legislativy ČR.</w:t>
      </w:r>
    </w:p>
    <w:p w:rsidR="00B6192B" w:rsidRDefault="00B6192B" w:rsidP="00B6192B">
      <w:pPr>
        <w:pStyle w:val="Odstavecseseznamem"/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6" w:lineRule="auto"/>
        <w:contextualSpacing/>
      </w:pPr>
      <w:r w:rsidRPr="00595A15">
        <w:t xml:space="preserve">EKIS bude provozován v uceleném konzistentním uživatelsky přívětivém a jednoduchém prostředí, technologie musí být implementovatelná na technickou infrastrukturu ČGS. </w:t>
      </w:r>
    </w:p>
    <w:p w:rsidR="00B6192B" w:rsidRPr="00595A15" w:rsidRDefault="00B6192B" w:rsidP="00B6192B">
      <w:pPr>
        <w:pStyle w:val="Odstavecseseznamem"/>
        <w:spacing w:after="160" w:line="256" w:lineRule="auto"/>
        <w:ind w:left="775"/>
        <w:contextualSpacing/>
      </w:pPr>
      <w:r>
        <w:t>P</w:t>
      </w:r>
      <w:r w:rsidRPr="00595A15">
        <w:t xml:space="preserve">ro provoz nabízeného řešení EKIS </w:t>
      </w:r>
      <w:r>
        <w:t xml:space="preserve">poskytne ČGS </w:t>
      </w:r>
      <w:r w:rsidRPr="00595A15">
        <w:t>sv</w:t>
      </w:r>
      <w:r>
        <w:t>ou</w:t>
      </w:r>
      <w:r w:rsidRPr="00595A15">
        <w:t xml:space="preserve"> ICT infrastruktur</w:t>
      </w:r>
      <w:r>
        <w:t>u</w:t>
      </w:r>
      <w:r w:rsidRPr="00595A15">
        <w:t>,</w:t>
      </w:r>
      <w:r>
        <w:t xml:space="preserve"> </w:t>
      </w:r>
      <w:r w:rsidRPr="00595A15">
        <w:t>kterou tvoří servery s operačním systémem MS Windows Server 2012 R2 Standard nebo Linux SLES 11 SP4. Databázovou vrstvu pak tvoří MS SQL Server 2014 Standard (licencován</w:t>
      </w:r>
      <w:r>
        <w:t xml:space="preserve"> </w:t>
      </w:r>
      <w:r w:rsidRPr="00595A15">
        <w:t xml:space="preserve">Per </w:t>
      </w:r>
      <w:proofErr w:type="spellStart"/>
      <w:r w:rsidRPr="00595A15">
        <w:t>Core</w:t>
      </w:r>
      <w:proofErr w:type="spellEnd"/>
      <w:r w:rsidRPr="00595A15">
        <w:t xml:space="preserve">), která musí být použita i pro nabízené řešení EKIS. Na pracovních stanicích, kde bude používáno nabízené řešení EKIS běží MS Windows 7 Pro. Autentizaci uživatelů přistupujících do nabízeného řešení EKIS bude zajišťovat stávající služba </w:t>
      </w:r>
      <w:proofErr w:type="spellStart"/>
      <w:r w:rsidRPr="00595A15">
        <w:t>Active</w:t>
      </w:r>
      <w:proofErr w:type="spellEnd"/>
      <w:r w:rsidRPr="00595A15">
        <w:t xml:space="preserve"> </w:t>
      </w:r>
      <w:proofErr w:type="spellStart"/>
      <w:r w:rsidRPr="00595A15">
        <w:t>Directory</w:t>
      </w:r>
      <w:proofErr w:type="spellEnd"/>
      <w:r w:rsidRPr="00595A15">
        <w:t xml:space="preserve"> 2012. Všechny ostatní licence nutné pro správný chod nabízeného řešení EKIS včetně</w:t>
      </w:r>
      <w:r>
        <w:t xml:space="preserve"> </w:t>
      </w:r>
      <w:r w:rsidRPr="00595A15">
        <w:t xml:space="preserve">případného </w:t>
      </w:r>
      <w:proofErr w:type="spellStart"/>
      <w:r w:rsidRPr="00595A15">
        <w:t>maintenance</w:t>
      </w:r>
      <w:proofErr w:type="spellEnd"/>
      <w:r w:rsidRPr="00595A15">
        <w:t xml:space="preserve"> musejí být součástí nabídkové ceny s výjimkou licencí na MS Office</w:t>
      </w:r>
      <w:r>
        <w:t xml:space="preserve"> </w:t>
      </w:r>
      <w:r w:rsidRPr="00595A15">
        <w:t>resp. MS Excel.</w:t>
      </w:r>
    </w:p>
    <w:p w:rsidR="00B6192B" w:rsidRDefault="00B6192B" w:rsidP="00B6192B">
      <w:pPr>
        <w:pStyle w:val="Odstavecseseznamem"/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6" w:lineRule="auto"/>
        <w:contextualSpacing/>
        <w:jc w:val="left"/>
      </w:pPr>
      <w:r>
        <w:t>Odezvy na uživatelské operace se systémem nepřekročí dobu 10s.</w:t>
      </w:r>
    </w:p>
    <w:p w:rsidR="00B6192B" w:rsidRDefault="00B6192B" w:rsidP="00B6192B">
      <w:pPr>
        <w:pStyle w:val="Odstavecseseznamem"/>
        <w:ind w:left="775"/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6" w:lineRule="auto"/>
        <w:contextualSpacing/>
        <w:jc w:val="left"/>
      </w:pPr>
      <w:r w:rsidRPr="00595A15">
        <w:t>EKIS bude podporovat webový přístup ke službám IS a s tím související možnost dálkového přístupu mimo počítačovou síť ČGS (terminál apod.).</w:t>
      </w:r>
    </w:p>
    <w:p w:rsidR="00B6192B" w:rsidRDefault="00B6192B" w:rsidP="00B6192B">
      <w:pPr>
        <w:pStyle w:val="Odstavecseseznamem"/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6" w:lineRule="auto"/>
        <w:contextualSpacing/>
        <w:jc w:val="left"/>
      </w:pPr>
      <w:r w:rsidRPr="00595A15">
        <w:t>Výstupy z EKIS do formátů MS Office.</w:t>
      </w:r>
    </w:p>
    <w:p w:rsidR="00B6192B" w:rsidRDefault="00B6192B" w:rsidP="00B6192B">
      <w:pPr>
        <w:pStyle w:val="Odstavecseseznamem"/>
      </w:pPr>
    </w:p>
    <w:p w:rsidR="00B6192B" w:rsidRDefault="00B6192B" w:rsidP="00B6192B">
      <w:pPr>
        <w:pStyle w:val="Odstavecseseznamem"/>
        <w:numPr>
          <w:ilvl w:val="0"/>
          <w:numId w:val="6"/>
        </w:numPr>
        <w:spacing w:after="160" w:line="256" w:lineRule="auto"/>
        <w:contextualSpacing/>
        <w:jc w:val="left"/>
      </w:pPr>
      <w:r w:rsidRPr="00595A15">
        <w:t>Výstupy analytických sestav v souladu s iniciativou open data v příslušných strukturách a formátech.</w:t>
      </w:r>
    </w:p>
    <w:p w:rsidR="00B6192B" w:rsidRDefault="00B6192B" w:rsidP="00B6192B">
      <w:pPr>
        <w:pStyle w:val="Odstavecseseznamem"/>
      </w:pPr>
    </w:p>
    <w:p w:rsidR="00B6192B" w:rsidRPr="00B32ACE" w:rsidRDefault="00B6192B" w:rsidP="00B6192B">
      <w:pPr>
        <w:pStyle w:val="Odstavecseseznamem"/>
        <w:ind w:left="360"/>
      </w:pPr>
      <w:r w:rsidRPr="00E1367F">
        <w:rPr>
          <w:b/>
        </w:rPr>
        <w:t>V rámci realizace předmětu plnění bude objednateli předána následující dokumentace</w:t>
      </w:r>
      <w:r w:rsidRPr="00B32ACE">
        <w:t>:</w:t>
      </w:r>
    </w:p>
    <w:p w:rsidR="00B6192B" w:rsidRPr="00B32ACE" w:rsidRDefault="00B6192B" w:rsidP="00B6192B">
      <w:pPr>
        <w:pStyle w:val="Odstavecseseznamem"/>
        <w:numPr>
          <w:ilvl w:val="0"/>
          <w:numId w:val="8"/>
        </w:numPr>
        <w:contextualSpacing/>
      </w:pPr>
      <w:r w:rsidRPr="00B32ACE">
        <w:t>Elektronická nápověda</w:t>
      </w:r>
    </w:p>
    <w:p w:rsidR="00B6192B" w:rsidRPr="00B32ACE" w:rsidRDefault="00B6192B" w:rsidP="00B6192B">
      <w:pPr>
        <w:pStyle w:val="Odstavecseseznamem"/>
        <w:numPr>
          <w:ilvl w:val="0"/>
          <w:numId w:val="8"/>
        </w:numPr>
        <w:contextualSpacing/>
      </w:pPr>
      <w:r w:rsidRPr="00B32ACE">
        <w:t>Provozní dokumentace</w:t>
      </w:r>
    </w:p>
    <w:p w:rsidR="00B6192B" w:rsidRPr="00B32ACE" w:rsidRDefault="00B6192B" w:rsidP="00B6192B">
      <w:pPr>
        <w:pStyle w:val="Odstavecseseznamem"/>
        <w:numPr>
          <w:ilvl w:val="0"/>
          <w:numId w:val="8"/>
        </w:numPr>
        <w:contextualSpacing/>
      </w:pPr>
      <w:r w:rsidRPr="00B32ACE">
        <w:t>Licenční dokumentace</w:t>
      </w:r>
    </w:p>
    <w:p w:rsidR="00B6192B" w:rsidRPr="00B32ACE" w:rsidRDefault="00B6192B" w:rsidP="00B6192B">
      <w:pPr>
        <w:pStyle w:val="Odstavecseseznamem"/>
        <w:numPr>
          <w:ilvl w:val="0"/>
          <w:numId w:val="8"/>
        </w:numPr>
        <w:contextualSpacing/>
      </w:pPr>
      <w:r w:rsidRPr="00B32ACE">
        <w:t>Ostatní dokumentace dle této smlouvy</w:t>
      </w:r>
    </w:p>
    <w:p w:rsidR="00B6192B" w:rsidRDefault="00B6192B" w:rsidP="00B6192B">
      <w:pPr>
        <w:pStyle w:val="Odstavecseseznamem"/>
        <w:ind w:left="0"/>
      </w:pPr>
    </w:p>
    <w:p w:rsidR="00B6192B" w:rsidRPr="00B32ACE" w:rsidRDefault="00B6192B" w:rsidP="00B6192B">
      <w:pPr>
        <w:pStyle w:val="Odstavecseseznamem"/>
        <w:ind w:left="0"/>
      </w:pPr>
      <w:r w:rsidRPr="00B32ACE">
        <w:t>Dokumentaci předá zhotovitel objednateli v českém jazyce v elektronické podobě a též ve formátu CHM (standar</w:t>
      </w:r>
      <w:r>
        <w:t>d</w:t>
      </w:r>
      <w:r w:rsidRPr="00B32ACE">
        <w:t xml:space="preserve">ní formát </w:t>
      </w:r>
      <w:proofErr w:type="spellStart"/>
      <w:r w:rsidRPr="00B32ACE">
        <w:t>help</w:t>
      </w:r>
      <w:proofErr w:type="spellEnd"/>
      <w:r w:rsidRPr="00B32ACE">
        <w:t xml:space="preserve"> souborů systému Windows) a bude aktualizována s každou novou verzí dodaných systémů. Provozní dokumentace bude obsahovat instalační příručku pro správce a administrátora dodaných systémů.</w:t>
      </w:r>
    </w:p>
    <w:p w:rsidR="00B6192B" w:rsidRDefault="00B6192B" w:rsidP="00B6192B">
      <w:pPr>
        <w:rPr>
          <w:b/>
        </w:rPr>
      </w:pPr>
    </w:p>
    <w:p w:rsidR="00B6192B" w:rsidRDefault="00B6192B" w:rsidP="00B6192B"/>
    <w:p w:rsidR="00B6192B" w:rsidRDefault="00B6192B" w:rsidP="00B6192B">
      <w:r>
        <w:t>Tabulka č. 1: Minimální počty uživatelů a druhy požadovaných modulů/licencí</w:t>
      </w:r>
    </w:p>
    <w:tbl>
      <w:tblPr>
        <w:tblW w:w="5602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126"/>
      </w:tblGrid>
      <w:tr w:rsidR="00B6192B" w:rsidRPr="00FC10FB" w:rsidTr="00B6192B">
        <w:trPr>
          <w:trHeight w:val="330"/>
          <w:tblHeader/>
        </w:trPr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6192B" w:rsidRPr="00FC10FB" w:rsidRDefault="00B6192B" w:rsidP="00B6192B">
            <w:pPr>
              <w:jc w:val="left"/>
              <w:rPr>
                <w:color w:val="000000"/>
                <w:sz w:val="16"/>
                <w:szCs w:val="16"/>
              </w:rPr>
            </w:pPr>
            <w:r w:rsidRPr="00FC10FB">
              <w:rPr>
                <w:color w:val="000000"/>
                <w:sz w:val="16"/>
                <w:szCs w:val="16"/>
              </w:rPr>
              <w:t>Modul / licence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B6192B" w:rsidRDefault="00B6192B" w:rsidP="00B6192B">
            <w:pPr>
              <w:jc w:val="left"/>
              <w:rPr>
                <w:color w:val="000000"/>
                <w:sz w:val="16"/>
                <w:szCs w:val="16"/>
              </w:rPr>
            </w:pPr>
            <w:r w:rsidRPr="00FC10FB">
              <w:rPr>
                <w:color w:val="000000"/>
                <w:sz w:val="16"/>
                <w:szCs w:val="16"/>
              </w:rPr>
              <w:t>Minimální počet</w:t>
            </w:r>
          </w:p>
          <w:p w:rsidR="00B6192B" w:rsidRPr="00FC10FB" w:rsidRDefault="00B6192B" w:rsidP="00B6192B">
            <w:pPr>
              <w:jc w:val="left"/>
              <w:rPr>
                <w:color w:val="000000"/>
                <w:sz w:val="16"/>
                <w:szCs w:val="16"/>
              </w:rPr>
            </w:pPr>
            <w:r w:rsidRPr="00FC10FB">
              <w:rPr>
                <w:color w:val="000000"/>
                <w:sz w:val="16"/>
                <w:szCs w:val="16"/>
              </w:rPr>
              <w:t>konkurenčních uživatelů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Podvojné účetnictví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8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Závazky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6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Pohledávky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9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Banka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6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Pokladna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8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Příkazy k úhradě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5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Smlouvy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15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Objednávky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15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majetku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6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Skladové hospodářství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8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Kniha jízd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50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Cestovní příkazy - tuzemské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50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Cestovní příkazy - zahraniční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50</w:t>
            </w:r>
          </w:p>
        </w:tc>
      </w:tr>
      <w:tr w:rsidR="00B6192B" w:rsidRPr="00FC10FB" w:rsidTr="00B6192B">
        <w:trPr>
          <w:trHeight w:val="315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Manažerský informační systém*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350</w:t>
            </w:r>
          </w:p>
        </w:tc>
      </w:tr>
      <w:tr w:rsidR="00B6192B" w:rsidRPr="00FC10FB" w:rsidTr="00B6192B">
        <w:trPr>
          <w:trHeight w:val="330"/>
        </w:trPr>
        <w:tc>
          <w:tcPr>
            <w:tcW w:w="3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El. </w:t>
            </w:r>
            <w:proofErr w:type="gramStart"/>
            <w:r w:rsidRPr="00FC10FB">
              <w:rPr>
                <w:sz w:val="16"/>
                <w:szCs w:val="16"/>
              </w:rPr>
              <w:t>oběh</w:t>
            </w:r>
            <w:proofErr w:type="gramEnd"/>
            <w:r w:rsidRPr="00FC10FB">
              <w:rPr>
                <w:sz w:val="16"/>
                <w:szCs w:val="16"/>
              </w:rPr>
              <w:t xml:space="preserve"> a schvalování dokladů 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C10FB">
              <w:rPr>
                <w:sz w:val="16"/>
                <w:szCs w:val="16"/>
              </w:rPr>
              <w:t>workflow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350</w:t>
            </w:r>
          </w:p>
        </w:tc>
      </w:tr>
    </w:tbl>
    <w:p w:rsidR="00B6192B" w:rsidRDefault="00B6192B" w:rsidP="00B6192B"/>
    <w:p w:rsidR="00B6192B" w:rsidRDefault="00B6192B" w:rsidP="00B6192B">
      <w:r>
        <w:t>Tabulka č. 2: Obecné požadavky</w:t>
      </w:r>
    </w:p>
    <w:tbl>
      <w:tblPr>
        <w:tblW w:w="956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2"/>
        <w:gridCol w:w="1573"/>
        <w:gridCol w:w="1690"/>
      </w:tblGrid>
      <w:tr w:rsidR="00B6192B" w:rsidRPr="00FC10FB" w:rsidTr="00B6192B">
        <w:trPr>
          <w:trHeight w:val="20"/>
          <w:tblHeader/>
        </w:trPr>
        <w:tc>
          <w:tcPr>
            <w:tcW w:w="63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Obecné požadavky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Minimální funkcionalita systému</w:t>
            </w: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Nutno doprogramovat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Správa uživatelů a přístupových oprávnění;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zaměstnanců a organizační struktury z pohledu útvarů, účetních středisek a rozpočtových míst;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Vedení účetnictví a výkaznictví;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Rozpočtování a napojení na IISSP;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Evidence a správa závazků a pohledávek vč. procesu fakturace s nezbytným oběhem účetních dokladů (WF);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smluvních vztahů a objednávek;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Pokladna;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Styk s bankou;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obchodních partnerů, zakázek a veřejných soutěží;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majetku a jeho odepisování;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Vedení účetnictví a výkaznictví;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Vedení účetnictví ČGS dle účetního standardu a platné legislativy a musí umožnit tvorbu všech legislativních výkazů.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umožní definici neomezené účetní analytiky či jiným způsobem zajistí detailní sledování identifikace koruny a příslušnost jednotlivých účetních záznamů k jiným objektům (smlouvy, projekty, objednávky, majetek, u dotací rovněž k podrozvaze, a pohledávkám…)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v účetních záznamech zadávat údaje i v cizí měně.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vést libovolný počet definovatelných účetních řad.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vést saldokonto nad libovolným analytickým účtem.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automatické i manuální párování saldokontních účtů.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Automatická tvorba kurzových rozdílů, přecenění pohledávek a tvorba opravných položek.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Pro potřeby uživatelů musí být k dispozici sada standardních účetních sestav (např. rozvaha, výkaz zisku a ztrát, přehled o peněžních tocích, přehled o změnách vlastního kapitálu, příloha k účetní závěrce, hlavní kniha, obratová předvaha, deník, výkazy hospodaření, stavy na účtech atd.), Hlavní kniha, obratová předvaha, přehled hospodaření, stavy na účtech budou k dispozici jak za celou organizaci, tak i za jednotlivá střediska a výkaz ZAM – výkaz o zaměstnanosti regulované vládou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Jednotlivé účetní záznamy musí být provázány s prvotními doklady, ke kterým náleží (např. faktury, smlouvy, bankovní výpisy, …).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musí umožnit definovat pro každý rok jiné nezávislé účetní prostředí (různá účtová osnova – různé analytiky, různé číselné řady, různé číselníky a jejich průběžnou úpravu či doplnění)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musí disponovat automatickou účetní závěrkou dle legislativy, včetně všech požadovaných výkazů, která umožní uživatelům definovat způsob uzavírání jednotlivých účtů a definovat převodové můstky pro tvorbu počátečních stavů v dalším účetním období (roce).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Účetní uzávěrka automaticky uzavře účet v uzavíraném období a vytvoří počáteční stavy období příštího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musí umožnit možnost účtování v rozdílných účetních období. Tedy možnost účtovat v dalším měsíci ještě před uzavřením měsíce předcházejícího včetně přelomu roku.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Výkaznictví - Centrální systém účetních informací státu (CSUIS)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vedení účetnictví ČGS dle účetního standardu a platné legislativy a musí umožnit tvorbu všech legislativních výkazů, předpokládaný počet legislativních výkazů: do 20 KS.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předávání účetních výkazů specifikovaných legislativou.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Jednotlivé přehledy budou obsahovat jednoduché i složitější filtrování s možností uložení předdefinovaných filtrů.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Evidence a správa závazků a pohledávek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přijatých faktur, dobropisů, zálohových faktur a zálohových listů, objednávek a ostatních výdajů včetně jejich vazby na účetní doklady a čerpání rozpočtu;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tvorba a Evidence vydaných faktur, dobropisů, zálohových faktur a zálohových listů, objednávek a ostatních příjmů včetně jejich vazby na účetní doklady a rozpočet;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 Nezbytnou podmínkou evidence je řádně nastavený oběh účetních dokladů (interní WF v procesu fakturace)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Kniha závazků a pohledávek a jejich vazba na účetnictví a PAP;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Kniha podmíněných závazků a pohledávek a jejich vazba na účetnictví a PAP;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věcných břemen a záruk;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DPH a tvorba odvodu DPH.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Jednotlivé účetní záznamy musí být provázány s prvotními doklady, ke kterým náleží (např. faktury, smlouvy, bankovní výpisy, …).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Evidence smluvních vztahů a objednávek;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smluvních vztahů i víceletých, včetně jejích celkových finančních limitů a limitů pro jednotlivé roky včetně návaznosti na rozpočet a podrozvahu.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fakturačních etap, platebních kalendářů a faktur k jednotlivým smluvním vztahům a jejich vazeb na účetní doklady a čerpání rozpočtu;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elektronických dokumentů ke každému smluvnímu vztahu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evidenci přijatých faktur, dobropisů, zálohových faktur a zálohových listů a ostatních výdajů včetně jejich vazby na účetní doklady a čerpání rozpočtu.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tvorbu a evidenci vydaných faktur, dobropisů, zálohových faktur a zálohových listů a ostatních příjmů včetně jejich vazby na účetní doklady a rozpočet.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Jednotlivé účetní záznamy musí být provázány s prvotními doklady, ke kterým náleží (např. faktury, smlouvy, bankovní výpisy, …).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Tvorba a Evidence objednávek a jejich vazby na smluvní vztahy.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Pokladna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jednotlivých pokladen a jejich vazeb na organizační strukturu a účetní střediska a to i valutových pokladen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Tvorba a evidence přijatých a vydaných pokladních dokladů včetně jejich vazeb na účetnictví, rozpočet a ostatní prvotní doklady;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Úhrady faktur, objednávek a žádanek pokladními doklady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Styk s bankou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Tvorba souborů pro ČNB obsahující příkazy k úhradě volitelně ve formátu specifikovaném pro potřeby platebního styku IISSP;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Import souborů z ČNB;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Tvorba a import souborů ostatních komerčních bank – konkrétně KB;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Automatická identifikace řádků bankovních výpisů s jednotlivými platbami a úhradami dle nastavitelných kritérií</w:t>
            </w:r>
            <w:r w:rsidRPr="00FC10FB">
              <w:rPr>
                <w:b/>
                <w:bCs/>
                <w:sz w:val="16"/>
                <w:szCs w:val="16"/>
              </w:rPr>
              <w:t xml:space="preserve"> </w:t>
            </w:r>
            <w:r w:rsidRPr="00FC10FB">
              <w:rPr>
                <w:sz w:val="16"/>
                <w:szCs w:val="16"/>
              </w:rPr>
              <w:t>za účelem zaúčtování;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Ruční identifikace řádků bankovních výpisů s jednotlivými platbami a úhradami za účelem zaúčtování;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Provázání bankovních výpisů s účetními doklady a rozpočtem;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Import kurzovních lístků z ČNB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Možnost definovat použití různých druhů a typů kurzů pro jednotlivé procesy a funkce systému.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integraci na ČNB (ABO-K) v plném rozsahu.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rozhraní na další komerční banky, v současné době používané rozhraní KB. Systém dále bude připraven na případné modifikace či přidávání rozhraní na jiné banky.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ruční identifikaci řádků bankovních výpisů s jednotlivými platbami a úhradami za účelem zaúčtování.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evidenci a správu kurzovních lístků ČNB, Import kurzů bude probíhat automaticky.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Při platbě kartou a jejím zaúčtování systém umožní párování a evidenci platebního příkazu s bankovním výpisem.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Evidence obchodních partnerů, zakázek a veřejných soutěží;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obchodních partnerů včetně všech nezbytných kontaktních údajů (jedinečnost), rozdělení na pobočky a včetně návaznosti zaniklých firem na jejich nástupce;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Klasifikace obchodních partnerů dle požadavků PAP;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Provázání obchodních partnerů s účetními doklady, prvotními doklady a údaji pro PAP;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jednotlivých zakázek s možným napojením na partnery, účetní doklady a prvotní doklady;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Evidence majetku, jeho odepisování a inventarizace;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majetkových karet rozčleněných dle druhů majetku, kategorizace majetku, účtových skupin a dalších uživatelsky definovatelných třídění;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evidenci všech pohybů, které se udály na jednotlivých kartách majetků a to včetně přecenění, odpisového plánu a jeho změny;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Tvorba odpisů dle novelizace vyhlášky č. 410/2009, českého účetního standardu č. 708 a </w:t>
            </w:r>
            <w:proofErr w:type="spellStart"/>
            <w:r w:rsidRPr="00FC10FB">
              <w:rPr>
                <w:sz w:val="16"/>
                <w:szCs w:val="16"/>
              </w:rPr>
              <w:t>vnitroorganizační</w:t>
            </w:r>
            <w:proofErr w:type="spellEnd"/>
            <w:r w:rsidRPr="00FC10FB">
              <w:rPr>
                <w:sz w:val="16"/>
                <w:szCs w:val="16"/>
              </w:rPr>
              <w:t xml:space="preserve"> směrnice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Možnost automatické tvorby účetních dokladů na základě vybraných majetkových pohybů.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umožní identifikovat (filtrovat) majetek financovaný/kofinancovaný z fondů EU (při zakládání karty majetku do zvláštního pole ručně vyplnit název projektu, např. OPŽP, </w:t>
            </w:r>
            <w:proofErr w:type="spellStart"/>
            <w:r w:rsidRPr="00FC10FB">
              <w:rPr>
                <w:sz w:val="16"/>
                <w:szCs w:val="16"/>
              </w:rPr>
              <w:t>Life</w:t>
            </w:r>
            <w:proofErr w:type="spellEnd"/>
            <w:r w:rsidRPr="00FC10FB">
              <w:rPr>
                <w:sz w:val="16"/>
                <w:szCs w:val="16"/>
              </w:rPr>
              <w:t>+, EHP a Norské fondy…)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doplňovat při pořízení majetku evidenční čísla faktur na karty majetku prostřednictvím výběru z databáze faktur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oddělenou evidenci drobného majetku na jednotlivá regionální pracoviště a ústředí, včetně dokume</w:t>
            </w:r>
            <w:r>
              <w:rPr>
                <w:sz w:val="16"/>
                <w:szCs w:val="16"/>
              </w:rPr>
              <w:t>n</w:t>
            </w:r>
            <w:r w:rsidRPr="00FC10FB">
              <w:rPr>
                <w:sz w:val="16"/>
                <w:szCs w:val="16"/>
              </w:rPr>
              <w:t>tovaného a schvalovaného převádění těchto majetků (včetně odděleného nastavení rolí správců majetku za jednotlivá regionální pracoviště)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Vazba na IISSP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Předávání účetních výkazů specifikovaných vyhláškou 383/2009 Sb. do IISSP;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Předávání finančních výkazů specifikovaných vyhláškou 5/2014 Sb. do IISSP;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Import identifikace koruny a ostatních rozpočtových dimenzí z IISSP;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Předávání rozpočtových opatření ke schválení do IISSP;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Tvorba rozpočtových rezervací a jejich předávání do IISSP (tj. včetně identifikace rezervace a jejího řádku u každé platby);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Realizace platebního styku s ČNB dle specifikace IISSP;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Předávání opravných rozpočtových dokladů o čerpání do IISSP;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Veškeré požadavky vyplývající z platné dokumentace IISSP.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Rozpočet a rozpočtování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Položky rozpočtu budou umožňovat strukturované členění (rozpad) do dalších účetních položek se všemi náležitostmi pro řádnou identifikaci koruny v dimenzích identifikace koruny dle IISSP a libovolných dalších, a aby bylo možné s těmito položkami dále pracovat.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musí umožnit u rezervací evidovat kompletní identifikaci koruny i vazbu na smlouvu, projekt či akci.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zabezpečí, aby jakékoliv uhrazovací procesy již při zadání průběžně kontrolovaly soulad s rezervací i </w:t>
            </w:r>
            <w:proofErr w:type="spellStart"/>
            <w:r w:rsidRPr="00FC10FB">
              <w:rPr>
                <w:sz w:val="16"/>
                <w:szCs w:val="16"/>
              </w:rPr>
              <w:t>nepřekročitelnost</w:t>
            </w:r>
            <w:proofErr w:type="spellEnd"/>
            <w:r w:rsidRPr="00FC10FB">
              <w:rPr>
                <w:sz w:val="16"/>
                <w:szCs w:val="16"/>
              </w:rPr>
              <w:t xml:space="preserve"> rozpočtu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pohled na rozpočet dle zdroje financování.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kompletní rozhraní pro komunikaci s ISSP.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Import identifikace koruny a ostatních rozpočtových dimenzí z IISSP dle platné legislativy.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předávání rozpočtových opatření ke schválení do IISSP.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tvorbu rozpočtových rezervací a jejich předávání do IISSP (tj. včetně identifikace rezervace a jejího řádku u každé platby).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Pomocný analytický přehled (PAP)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vykazování dle PAP.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bude obsahovat knihu závazků a pohledávek a jejich vazbu na účetnictví a PAP.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klasifikaci obchodních partnerů dle požadavků PAP včetně kontroly IČO u subjektů, které IČO mají přiděleno, alternativní evidenci a rozlišení dle států u subjektů, které IČO přiděleno nemají (zahraniční subjekty, fyzické osoby nepodnikající).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provázání obchodních partnerů i jednotlivých zakázek s účetními doklady, prvotními doklady a údaji pro PAP.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evidenci majetkových karet rozčleněných dle druhů majetku, kategorizace majetku, střediska, účtových skupin, dle požadavků PAP a dalších uživatelsky definovatelných třídění.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Skladové hospodářství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ind w:firstLineChars="100" w:firstLine="160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vést skladové hospodářství a operativní evidenci.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ind w:firstLineChars="100" w:firstLine="160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inventarizaci zásob - ruční nebo pomocí terminálů (čteček čárových kódů)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Evidence drobného a dlo</w:t>
            </w:r>
            <w:r>
              <w:rPr>
                <w:b/>
                <w:bCs/>
                <w:sz w:val="16"/>
                <w:szCs w:val="16"/>
              </w:rPr>
              <w:t>u</w:t>
            </w:r>
            <w:r w:rsidRPr="00FC10FB">
              <w:rPr>
                <w:b/>
                <w:bCs/>
                <w:sz w:val="16"/>
                <w:szCs w:val="16"/>
              </w:rPr>
              <w:t>hodobého majetku vedeného na podrozvahových účtech; odpisování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inventarizaci majetku pomocí čárových kódů.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Evidenci všech pohybů, které se udály na jednotlivých kartách majetků, a to včetně odpisového plánu a jeho změny.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tvorbu odpisů dle platné legislativy.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možnost automatické tvorby účetních dokladů na základě vybraných majetkových pohybů.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z karty majetku zobrazit všechny dokumenty, které se k majetku váží.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vazbu majetku na dodavatele i konkrétní zakázky (smlouvy).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inventarizaci majetku - ruční nebo pomocí terminálů (čteček čárových kódů)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Dostupnost inventurních soupisů dle platné legislativy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umožní  tvorbu sestav majetku dle zadaných parametrů (odpisy, </w:t>
            </w:r>
            <w:proofErr w:type="gramStart"/>
            <w:r w:rsidRPr="00FC10FB">
              <w:rPr>
                <w:sz w:val="16"/>
                <w:szCs w:val="16"/>
              </w:rPr>
              <w:t>přecenění..)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změny majetku včetně jeho technického zhodnocení s ukládáním historických hodnot.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evidenci věcných břemen.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Vnitropodnikové účetnictví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umožní pokladní operace i v cizí měně.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provázanost účetních záznamů k jednotlivým projektům, a to jak interním tak externím. Evidence projektů bude obsahovat i základní údaje o projektu nefinančního charakteru (Název, popis, délka atd.)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definovat různou strukturu účetních středisek a rozpočtových míst a jejich návaznost na organizační strukturu.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Pro jednotlivé typy dokladů ekonomického informačního systému bude možné zvolit různé číselné řady.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Rozhraní na okolní systémy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Rozhraní pro import organizační struktury a zaměstnanců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Rozhraní pro import účetních záznamů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Rozhraní pro import záznamů analytického členění (údajů pro PAP)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Rozhraní pro import údajů o mzdách (pro rezervování a zaúčtování)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Rozhraní pro import údajů o identifikace koruny z IISSP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Rozhraní na IISSP (rezervace. ROP, přeúčtování skutečnosti)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Rozhraní na CSUIS (předávání výkazů, zprávy </w:t>
            </w:r>
            <w:proofErr w:type="spellStart"/>
            <w:r w:rsidRPr="00FC10FB">
              <w:rPr>
                <w:sz w:val="16"/>
                <w:szCs w:val="16"/>
              </w:rPr>
              <w:t>INBOXu</w:t>
            </w:r>
            <w:proofErr w:type="spellEnd"/>
            <w:r w:rsidRPr="00FC10FB">
              <w:rPr>
                <w:sz w:val="16"/>
                <w:szCs w:val="16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Rozhraní pro import akcí z EDS/SMVS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Schvalovací rozhraní na EDS/SMVS (rezervace, ROP)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Rozhraní na ČNB a KB (soubory příkazů k úhradě, bankovní výpisy)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Rozhraní pro ověření údajů partnerů na rejstřík ARES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Rozhraní pro ověření údajů v rejstříku nespolehlivých plátců DPH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Rozhraní pro Import a zpracování souborů ISDOC (elektronických faktur)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Rozhraní pro předávání mezd z SW CONPREX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umožní import dat ve formátu </w:t>
            </w:r>
            <w:proofErr w:type="spellStart"/>
            <w:r w:rsidRPr="00FC10FB">
              <w:rPr>
                <w:sz w:val="16"/>
                <w:szCs w:val="16"/>
              </w:rPr>
              <w:t>xls</w:t>
            </w:r>
            <w:proofErr w:type="spellEnd"/>
            <w:r w:rsidRPr="00FC10FB">
              <w:rPr>
                <w:sz w:val="16"/>
                <w:szCs w:val="16"/>
              </w:rPr>
              <w:t xml:space="preserve"> (XML) do modulů zabývajících se účetnictvím příp. dotacemi a jejich následné zaúčtování dle předem definovaných parametrů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Ekonomický střednědobý registr smluv a objednávek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bude obsahovat evidenci věcných břemen a záruk v přehledném pohledu.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bude obsahovat evidenci smluvních vztahů i víceletých, a všechny jejich finanční atributy, včetně jejích celkových finančních limitů a limitů pro jednotlivé roky včetně návaznosti na rozpočet, rozvahu a podrozvahu.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sledovat platební kalendář jak z globálního pohledu, tak z pohledu jednotlivých smluvních vztahů, a to s důrazem na identifikaci koruny a se střednědobým pohledem. (Přehled za více let.)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bude obsahovat všechny smlouvy a jejich finanční atributy. Rámcové smlouvy, které nemají přímý dopad do účetnictví, budou pouze formou evidence jejich náležitostí a finančních atributů evidovány v systému a jejich prováděcí smlouvy či objednávky budou s nimi svázány.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evidenci obchodních partnerů včetně všech nezbytných kontaktních údajů, rozdělení na pobočky, včetně návaznosti zaniklých firem na jejich nástupce.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evidenci zakázek a smluv včetně provázanosti na rozpočet.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umožní evidenci rámcových smluv a provázanost na smlouvy prováděcí (objednávky), které mohou být na různé dodavatele.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V rámci evidence smluv systém umožní k danému záznamu vložit přílohy reprezentující návrh smlouvy, podepsanou smlouvu.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b/>
                <w:bCs/>
                <w:sz w:val="16"/>
                <w:szCs w:val="16"/>
              </w:rPr>
            </w:pPr>
            <w:r w:rsidRPr="00FC10FB">
              <w:rPr>
                <w:b/>
                <w:bCs/>
                <w:sz w:val="16"/>
                <w:szCs w:val="16"/>
              </w:rPr>
              <w:t>Ostatní požadavky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 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bude obsahovat možnosti exportu aktuálního pohledu dat. Export dat bude možný alespoň ve formě </w:t>
            </w:r>
            <w:proofErr w:type="spellStart"/>
            <w:r w:rsidRPr="00FC10FB">
              <w:rPr>
                <w:sz w:val="16"/>
                <w:szCs w:val="16"/>
              </w:rPr>
              <w:t>xls</w:t>
            </w:r>
            <w:proofErr w:type="spellEnd"/>
            <w:r w:rsidRPr="00FC10FB">
              <w:rPr>
                <w:sz w:val="16"/>
                <w:szCs w:val="16"/>
              </w:rPr>
              <w:t xml:space="preserve"> a </w:t>
            </w:r>
            <w:proofErr w:type="spellStart"/>
            <w:r w:rsidRPr="00FC10FB">
              <w:rPr>
                <w:sz w:val="16"/>
                <w:szCs w:val="16"/>
              </w:rPr>
              <w:t>pdf</w:t>
            </w:r>
            <w:proofErr w:type="spellEnd"/>
            <w:r w:rsidRPr="00FC10FB">
              <w:rPr>
                <w:sz w:val="16"/>
                <w:szCs w:val="16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 xml:space="preserve">Systém za účelem auditů a kontrol umožní auditorský pohled, tedy přístup do všech entit pouze pro čtení bez možnosti zápisu (aktualizace dat).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bude obsahovat standardní kontrolní mechanismy (vyplňování povinných položek, kontrola duplicity záznamu, kontrola formátu jednotlivých položek, logická návaznost konkrétních dat atd.).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Evidence cenin (pokutových bloků, kolků, známek…)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  <w:tr w:rsidR="00B6192B" w:rsidRPr="00FC10FB" w:rsidTr="00B6192B">
        <w:trPr>
          <w:trHeight w:val="20"/>
        </w:trPr>
        <w:tc>
          <w:tcPr>
            <w:tcW w:w="63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B" w:rsidRPr="00FC10FB" w:rsidRDefault="00B6192B" w:rsidP="00B6192B">
            <w:pPr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Systém umožní publikovat "Open Data" dle struktury dat portálu MŽP, příp. dalších státních orgánů či institucí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Ano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92B" w:rsidRPr="00FC10FB" w:rsidRDefault="00B6192B" w:rsidP="00B6192B">
            <w:pPr>
              <w:jc w:val="center"/>
              <w:rPr>
                <w:sz w:val="16"/>
                <w:szCs w:val="16"/>
              </w:rPr>
            </w:pPr>
            <w:r w:rsidRPr="00FC10FB">
              <w:rPr>
                <w:sz w:val="16"/>
                <w:szCs w:val="16"/>
              </w:rPr>
              <w:t>x</w:t>
            </w:r>
          </w:p>
        </w:tc>
      </w:tr>
    </w:tbl>
    <w:p w:rsidR="00B6192B" w:rsidRDefault="00B6192B" w:rsidP="00B6192B">
      <w:pPr>
        <w:spacing w:before="120" w:after="120"/>
      </w:pPr>
    </w:p>
    <w:p w:rsidR="00D04F3D" w:rsidRPr="00D04F3D" w:rsidRDefault="00D04F3D" w:rsidP="00D04F3D">
      <w:pPr>
        <w:pStyle w:val="Nadpis2"/>
      </w:pPr>
      <w:bookmarkStart w:id="45" w:name="_Toc467579087"/>
      <w:r w:rsidRPr="00D04F3D">
        <w:t>Harmonogram plnění</w:t>
      </w:r>
      <w:bookmarkEnd w:id="45"/>
    </w:p>
    <w:p w:rsidR="00D04F3D" w:rsidRDefault="00D04F3D" w:rsidP="00D04F3D">
      <w:r>
        <w:t>Veškeré dříve uvedené požadavky a činnosti související s plněním předmětu nabídky zajistí dodavatel na svoje náklady tak, aby nový EKIS včetně všech výše uvedených požadavků u všech uživatelů  ČGS řádně fungoval nejpozději:</w:t>
      </w:r>
    </w:p>
    <w:p w:rsidR="00D04F3D" w:rsidRDefault="00D04F3D" w:rsidP="00D04F3D"/>
    <w:p w:rsidR="00D04F3D" w:rsidRDefault="00D04F3D" w:rsidP="00D04F3D">
      <w:pPr>
        <w:rPr>
          <w:b/>
        </w:rPr>
      </w:pPr>
      <w:r>
        <w:t>Ad 1+2)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od </w:t>
      </w:r>
      <w:proofErr w:type="gramStart"/>
      <w:r>
        <w:rPr>
          <w:b/>
        </w:rPr>
        <w:t>1.1.2017</w:t>
      </w:r>
      <w:proofErr w:type="gramEnd"/>
    </w:p>
    <w:p w:rsidR="00D04F3D" w:rsidRDefault="00D04F3D" w:rsidP="00D04F3D">
      <w:r>
        <w:t>Ad 3+4+5)</w:t>
      </w:r>
      <w:r>
        <w:tab/>
      </w:r>
      <w:r>
        <w:tab/>
      </w:r>
      <w:r>
        <w:tab/>
      </w:r>
      <w:r>
        <w:rPr>
          <w:b/>
        </w:rPr>
        <w:t xml:space="preserve">od </w:t>
      </w:r>
      <w:proofErr w:type="gramStart"/>
      <w:r>
        <w:rPr>
          <w:b/>
        </w:rPr>
        <w:t>1.3.2017</w:t>
      </w:r>
      <w:proofErr w:type="gramEnd"/>
    </w:p>
    <w:p w:rsidR="00D04F3D" w:rsidRDefault="00D04F3D" w:rsidP="00D04F3D">
      <w:pPr>
        <w:ind w:left="2835" w:hanging="2835"/>
      </w:pPr>
      <w:r>
        <w:t>Ad 6)</w:t>
      </w:r>
      <w:r>
        <w:tab/>
      </w:r>
      <w:r>
        <w:tab/>
      </w:r>
      <w:r>
        <w:rPr>
          <w:b/>
        </w:rPr>
        <w:t xml:space="preserve">do </w:t>
      </w:r>
      <w:proofErr w:type="gramStart"/>
      <w:r>
        <w:rPr>
          <w:b/>
        </w:rPr>
        <w:t>20.12.2016</w:t>
      </w:r>
      <w:proofErr w:type="gramEnd"/>
      <w:r>
        <w:rPr>
          <w:b/>
        </w:rPr>
        <w:t>,</w:t>
      </w:r>
      <w:r>
        <w:t xml:space="preserve"> nastavení počátečních stavů podle potřeb ČGS po účetní závěrce roku 2016 , nejpozději do 28.2.2017</w:t>
      </w:r>
    </w:p>
    <w:p w:rsidR="00D04F3D" w:rsidRDefault="00D04F3D" w:rsidP="00D04F3D">
      <w:r>
        <w:t>Ad 7)</w:t>
      </w:r>
      <w:r>
        <w:tab/>
      </w:r>
      <w:r>
        <w:tab/>
      </w:r>
      <w:r>
        <w:tab/>
      </w:r>
      <w:r>
        <w:tab/>
        <w:t xml:space="preserve">termín plnění </w:t>
      </w:r>
      <w:r>
        <w:rPr>
          <w:b/>
        </w:rPr>
        <w:t xml:space="preserve">od </w:t>
      </w:r>
      <w:proofErr w:type="gramStart"/>
      <w:r>
        <w:rPr>
          <w:b/>
        </w:rPr>
        <w:t>1.1.2017</w:t>
      </w:r>
      <w:proofErr w:type="gramEnd"/>
      <w:r>
        <w:t xml:space="preserve"> na dobu neurčitou</w:t>
      </w:r>
    </w:p>
    <w:p w:rsidR="00D04F3D" w:rsidRDefault="00D04F3D" w:rsidP="00D04F3D">
      <w:r>
        <w:t>Školení vybraných uživatelů</w:t>
      </w:r>
      <w:r>
        <w:tab/>
      </w:r>
      <w:r w:rsidRPr="001C2049">
        <w:rPr>
          <w:b/>
        </w:rPr>
        <w:t xml:space="preserve">do </w:t>
      </w:r>
      <w:proofErr w:type="gramStart"/>
      <w:r w:rsidRPr="001C2049">
        <w:rPr>
          <w:b/>
        </w:rPr>
        <w:t>31.12.2016</w:t>
      </w:r>
      <w:proofErr w:type="gramEnd"/>
      <w:r>
        <w:rPr>
          <w:b/>
        </w:rPr>
        <w:t xml:space="preserve"> </w:t>
      </w:r>
      <w:r w:rsidRPr="001C2049">
        <w:t>(</w:t>
      </w:r>
      <w:r>
        <w:t xml:space="preserve">rozsah </w:t>
      </w:r>
      <w:r w:rsidRPr="001C2049">
        <w:t>na základě implementační analýzy)</w:t>
      </w:r>
    </w:p>
    <w:p w:rsidR="00D04F3D" w:rsidRDefault="00D04F3D" w:rsidP="00D04F3D">
      <w:pPr>
        <w:rPr>
          <w:b/>
        </w:rPr>
      </w:pPr>
      <w:r>
        <w:t>Školení zbývajících uživatelů</w:t>
      </w:r>
      <w:r>
        <w:tab/>
      </w:r>
      <w:r>
        <w:rPr>
          <w:b/>
        </w:rPr>
        <w:t xml:space="preserve">do </w:t>
      </w:r>
      <w:proofErr w:type="gramStart"/>
      <w:r>
        <w:rPr>
          <w:b/>
        </w:rPr>
        <w:t>31.3.2017</w:t>
      </w:r>
      <w:proofErr w:type="gramEnd"/>
    </w:p>
    <w:p w:rsidR="00D04F3D" w:rsidRDefault="00D04F3D" w:rsidP="00D04F3D">
      <w:r w:rsidRPr="001C2049">
        <w:t>Migrace dat základní</w:t>
      </w:r>
      <w:r>
        <w:rPr>
          <w:b/>
        </w:rPr>
        <w:tab/>
      </w:r>
      <w:r>
        <w:rPr>
          <w:b/>
        </w:rPr>
        <w:tab/>
      </w:r>
      <w:r w:rsidRPr="001C2049">
        <w:rPr>
          <w:b/>
        </w:rPr>
        <w:t xml:space="preserve">do </w:t>
      </w:r>
      <w:proofErr w:type="gramStart"/>
      <w:r w:rsidRPr="001C2049">
        <w:rPr>
          <w:b/>
        </w:rPr>
        <w:t>31.12.2016</w:t>
      </w:r>
      <w:proofErr w:type="gramEnd"/>
      <w:r>
        <w:rPr>
          <w:b/>
        </w:rPr>
        <w:t xml:space="preserve"> </w:t>
      </w:r>
      <w:r w:rsidRPr="001C2049">
        <w:t>(</w:t>
      </w:r>
      <w:r>
        <w:t xml:space="preserve">rozsah </w:t>
      </w:r>
      <w:r w:rsidRPr="001C2049">
        <w:t>na základě implementační analýzy)</w:t>
      </w:r>
    </w:p>
    <w:p w:rsidR="00D04F3D" w:rsidRDefault="00D04F3D" w:rsidP="00D04F3D">
      <w:r>
        <w:t>Migrace zbývajících dat</w:t>
      </w:r>
      <w:r>
        <w:tab/>
      </w:r>
      <w:r>
        <w:tab/>
      </w:r>
      <w:r>
        <w:rPr>
          <w:b/>
        </w:rPr>
        <w:t xml:space="preserve">do </w:t>
      </w:r>
      <w:proofErr w:type="gramStart"/>
      <w:r>
        <w:rPr>
          <w:b/>
        </w:rPr>
        <w:t>31.3.2017</w:t>
      </w:r>
      <w:proofErr w:type="gramEnd"/>
    </w:p>
    <w:p w:rsidR="00B6192B" w:rsidRDefault="00B6192B" w:rsidP="00B6192B">
      <w:r>
        <w:br w:type="page"/>
      </w:r>
    </w:p>
    <w:p w:rsidR="00B6192B" w:rsidRPr="00DB29A4" w:rsidRDefault="00B6192B" w:rsidP="00D04F3D">
      <w:pPr>
        <w:pStyle w:val="Nadpis2"/>
      </w:pPr>
      <w:bookmarkStart w:id="46" w:name="_Toc467579088"/>
      <w:r w:rsidRPr="00DB29A4">
        <w:t>Nabídková cena</w:t>
      </w:r>
      <w:bookmarkEnd w:id="46"/>
    </w:p>
    <w:p w:rsidR="00B6192B" w:rsidRDefault="00B6192B" w:rsidP="00B6192B">
      <w:r w:rsidRPr="00595A15">
        <w:t>Dále je uveden položkový rozpočet dodávky EKIS.</w:t>
      </w:r>
    </w:p>
    <w:p w:rsidR="001D1297" w:rsidRDefault="001D1297" w:rsidP="00B6192B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01"/>
        <w:gridCol w:w="4923"/>
        <w:gridCol w:w="1559"/>
        <w:gridCol w:w="1134"/>
        <w:gridCol w:w="1417"/>
      </w:tblGrid>
      <w:tr w:rsidR="001D1297" w:rsidRPr="001D1297" w:rsidTr="001D1297">
        <w:trPr>
          <w:trHeight w:val="570"/>
        </w:trPr>
        <w:tc>
          <w:tcPr>
            <w:tcW w:w="601" w:type="dxa"/>
            <w:shd w:val="clear" w:color="auto" w:fill="D9D9D9" w:themeFill="background1" w:themeFillShade="D9"/>
            <w:noWrap/>
            <w:hideMark/>
          </w:tcPr>
          <w:p w:rsidR="001D1297" w:rsidRPr="001D1297" w:rsidRDefault="001D1297" w:rsidP="001D1297">
            <w:r w:rsidRPr="001D1297">
              <w:t>Část</w:t>
            </w:r>
          </w:p>
        </w:tc>
        <w:tc>
          <w:tcPr>
            <w:tcW w:w="4923" w:type="dxa"/>
            <w:shd w:val="clear" w:color="auto" w:fill="D9D9D9" w:themeFill="background1" w:themeFillShade="D9"/>
            <w:noWrap/>
            <w:hideMark/>
          </w:tcPr>
          <w:p w:rsidR="001D1297" w:rsidRPr="001D1297" w:rsidRDefault="001D1297" w:rsidP="001D1297">
            <w:r w:rsidRPr="001D1297">
              <w:t>Popis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1D1297" w:rsidRDefault="001D1297" w:rsidP="001D1297">
            <w:pPr>
              <w:jc w:val="center"/>
            </w:pPr>
            <w:r>
              <w:t>C</w:t>
            </w:r>
            <w:r w:rsidRPr="001D1297">
              <w:t>ena</w:t>
            </w:r>
          </w:p>
          <w:p w:rsidR="001D1297" w:rsidRPr="001D1297" w:rsidRDefault="001D1297" w:rsidP="001D1297">
            <w:pPr>
              <w:jc w:val="center"/>
            </w:pPr>
            <w:r w:rsidRPr="001D1297">
              <w:t>(Kč bez DPH)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1D1297" w:rsidRDefault="001D1297" w:rsidP="001D1297">
            <w:pPr>
              <w:jc w:val="center"/>
            </w:pPr>
            <w:r w:rsidRPr="001D1297">
              <w:t>21% DPH</w:t>
            </w:r>
          </w:p>
          <w:p w:rsidR="001D1297" w:rsidRPr="001D1297" w:rsidRDefault="001D1297" w:rsidP="001D1297">
            <w:pPr>
              <w:jc w:val="center"/>
            </w:pPr>
            <w:r>
              <w:t>(Kč)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1D1297" w:rsidRDefault="001D1297" w:rsidP="001D1297">
            <w:pPr>
              <w:jc w:val="center"/>
            </w:pPr>
            <w:r>
              <w:t>C</w:t>
            </w:r>
            <w:r w:rsidRPr="001D1297">
              <w:t>ena</w:t>
            </w:r>
          </w:p>
          <w:p w:rsidR="001D1297" w:rsidRPr="001D1297" w:rsidRDefault="001D1297" w:rsidP="001D1297">
            <w:pPr>
              <w:jc w:val="center"/>
            </w:pPr>
            <w:r w:rsidRPr="001D1297">
              <w:t>(Kč vč</w:t>
            </w:r>
            <w:r>
              <w:t>.</w:t>
            </w:r>
            <w:r w:rsidRPr="001D1297">
              <w:t xml:space="preserve"> DPH)</w:t>
            </w:r>
          </w:p>
        </w:tc>
      </w:tr>
      <w:tr w:rsidR="001D1297" w:rsidRPr="001D1297" w:rsidTr="001D1297">
        <w:trPr>
          <w:trHeight w:val="300"/>
        </w:trPr>
        <w:tc>
          <w:tcPr>
            <w:tcW w:w="601" w:type="dxa"/>
            <w:noWrap/>
            <w:hideMark/>
          </w:tcPr>
          <w:p w:rsidR="001D1297" w:rsidRPr="001D1297" w:rsidRDefault="001D1297" w:rsidP="001D1297">
            <w:r w:rsidRPr="001D1297">
              <w:t>1.</w:t>
            </w:r>
          </w:p>
        </w:tc>
        <w:tc>
          <w:tcPr>
            <w:tcW w:w="4923" w:type="dxa"/>
            <w:noWrap/>
            <w:hideMark/>
          </w:tcPr>
          <w:p w:rsidR="001D1297" w:rsidRPr="001D1297" w:rsidRDefault="001D1297" w:rsidP="001D1297">
            <w:r w:rsidRPr="001D1297">
              <w:t>Kompletní dodání a implementace nového EKIS , který bude vyhovovat požadavkům zadavatele – České geologické služby, státní příspěvkové organizace (dále jen ČGS) na řádné vedení účetnictví, rozpočtu, evidence majetku a výkaznictví ve vazbě na stávající účtovou osnovu ČGS a platnou legislativu ČR případně EU, včetně zajištění průběžné aktualizace.</w:t>
            </w:r>
          </w:p>
        </w:tc>
        <w:tc>
          <w:tcPr>
            <w:tcW w:w="1559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96</w:t>
            </w:r>
            <w:r>
              <w:t> </w:t>
            </w:r>
            <w:r w:rsidRPr="001D1297">
              <w:t>000</w:t>
            </w:r>
            <w:r>
              <w:t>,-</w:t>
            </w:r>
          </w:p>
        </w:tc>
        <w:tc>
          <w:tcPr>
            <w:tcW w:w="1134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20 160</w:t>
            </w:r>
            <w:r>
              <w:t>,-</w:t>
            </w:r>
          </w:p>
        </w:tc>
        <w:tc>
          <w:tcPr>
            <w:tcW w:w="1417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116 160</w:t>
            </w:r>
            <w:r>
              <w:t>,-</w:t>
            </w:r>
          </w:p>
        </w:tc>
      </w:tr>
      <w:tr w:rsidR="001D1297" w:rsidRPr="001D1297" w:rsidTr="001D1297">
        <w:trPr>
          <w:trHeight w:val="300"/>
        </w:trPr>
        <w:tc>
          <w:tcPr>
            <w:tcW w:w="601" w:type="dxa"/>
            <w:noWrap/>
            <w:hideMark/>
          </w:tcPr>
          <w:p w:rsidR="001D1297" w:rsidRPr="001D1297" w:rsidRDefault="001D1297" w:rsidP="001D1297">
            <w:r w:rsidRPr="001D1297">
              <w:t>2.</w:t>
            </w:r>
          </w:p>
        </w:tc>
        <w:tc>
          <w:tcPr>
            <w:tcW w:w="4923" w:type="dxa"/>
            <w:noWrap/>
            <w:hideMark/>
          </w:tcPr>
          <w:p w:rsidR="001D1297" w:rsidRPr="001D1297" w:rsidRDefault="001D1297" w:rsidP="00C61CDA">
            <w:r w:rsidRPr="001D1297">
              <w:t xml:space="preserve">Dodání potřebných licencí pro bezproblémové užívání EKIS zadavatelem. Minimální počty uživatelů a druhy požadovaných modulů jsou uvedeny v tabulce č. 1 v </w:t>
            </w:r>
            <w:bookmarkStart w:id="47" w:name="_GoBack"/>
            <w:r w:rsidRPr="001D1297">
              <w:t>odst</w:t>
            </w:r>
            <w:bookmarkEnd w:id="47"/>
            <w:r w:rsidRPr="001D1297">
              <w:t xml:space="preserve">avci </w:t>
            </w:r>
            <w:r w:rsidR="00C61CDA">
              <w:t>3</w:t>
            </w:r>
            <w:r w:rsidRPr="001D1297">
              <w:t xml:space="preserve">.1 Předmět plnění. Jednotlivé moduly budou obsahovat informace minimálně v rozsahu stávajícího EKIS ČGS IN-SY-CO a to zejména v rozsahu uvedeném v tabulce č. 2 v odstavci </w:t>
            </w:r>
            <w:r w:rsidR="00C61CDA">
              <w:t>3</w:t>
            </w:r>
            <w:r w:rsidRPr="001D1297">
              <w:t>.1 Předmět plnění.</w:t>
            </w:r>
          </w:p>
        </w:tc>
        <w:tc>
          <w:tcPr>
            <w:tcW w:w="1559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493 432</w:t>
            </w:r>
            <w:r>
              <w:t>,-</w:t>
            </w:r>
          </w:p>
        </w:tc>
        <w:tc>
          <w:tcPr>
            <w:tcW w:w="1134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103 621</w:t>
            </w:r>
            <w:r>
              <w:t>,-</w:t>
            </w:r>
          </w:p>
        </w:tc>
        <w:tc>
          <w:tcPr>
            <w:tcW w:w="1417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597 053</w:t>
            </w:r>
            <w:r>
              <w:t>,-</w:t>
            </w:r>
          </w:p>
        </w:tc>
      </w:tr>
      <w:tr w:rsidR="001D1297" w:rsidRPr="001D1297" w:rsidTr="001D1297">
        <w:trPr>
          <w:trHeight w:val="300"/>
        </w:trPr>
        <w:tc>
          <w:tcPr>
            <w:tcW w:w="601" w:type="dxa"/>
            <w:noWrap/>
            <w:hideMark/>
          </w:tcPr>
          <w:p w:rsidR="001D1297" w:rsidRPr="001D1297" w:rsidRDefault="001D1297" w:rsidP="001D1297">
            <w:r w:rsidRPr="001D1297">
              <w:t>3.</w:t>
            </w:r>
          </w:p>
        </w:tc>
        <w:tc>
          <w:tcPr>
            <w:tcW w:w="4923" w:type="dxa"/>
            <w:noWrap/>
            <w:hideMark/>
          </w:tcPr>
          <w:p w:rsidR="001D1297" w:rsidRPr="001D1297" w:rsidRDefault="001D1297" w:rsidP="001D1297">
            <w:r w:rsidRPr="001D1297">
              <w:t>Možnost individuálně nastavovat a sledovat čerpání rozpočtů středisek, projektů a zakázek s neomezeným přístupem uživatelů a přímým propojením s EKIS a automatickou on-line aktualizací s účetnictvím.</w:t>
            </w:r>
          </w:p>
        </w:tc>
        <w:tc>
          <w:tcPr>
            <w:tcW w:w="1559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45 000</w:t>
            </w:r>
            <w:r>
              <w:t>,-</w:t>
            </w:r>
          </w:p>
        </w:tc>
        <w:tc>
          <w:tcPr>
            <w:tcW w:w="1134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9 450</w:t>
            </w:r>
            <w:r>
              <w:t>,-</w:t>
            </w:r>
          </w:p>
        </w:tc>
        <w:tc>
          <w:tcPr>
            <w:tcW w:w="1417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54 450</w:t>
            </w:r>
            <w:r>
              <w:t>,-</w:t>
            </w:r>
          </w:p>
        </w:tc>
      </w:tr>
      <w:tr w:rsidR="001D1297" w:rsidRPr="001D1297" w:rsidTr="001D1297">
        <w:trPr>
          <w:trHeight w:val="300"/>
        </w:trPr>
        <w:tc>
          <w:tcPr>
            <w:tcW w:w="601" w:type="dxa"/>
            <w:noWrap/>
            <w:hideMark/>
          </w:tcPr>
          <w:p w:rsidR="001D1297" w:rsidRPr="001D1297" w:rsidRDefault="001D1297" w:rsidP="001D1297">
            <w:r w:rsidRPr="001D1297">
              <w:t>4.</w:t>
            </w:r>
          </w:p>
        </w:tc>
        <w:tc>
          <w:tcPr>
            <w:tcW w:w="4923" w:type="dxa"/>
            <w:noWrap/>
            <w:hideMark/>
          </w:tcPr>
          <w:p w:rsidR="001D1297" w:rsidRPr="001D1297" w:rsidRDefault="001D1297" w:rsidP="001D1297">
            <w:r w:rsidRPr="001D1297">
              <w:t>Možnost individuálně sledovat vybrané druhy nákladů, tvorba manažerských sestav podle potřeb vybraných uživatelů s přímým propojením s EKIS a automatickou on-line vazbou na účetnictví.</w:t>
            </w:r>
          </w:p>
        </w:tc>
        <w:tc>
          <w:tcPr>
            <w:tcW w:w="1559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0</w:t>
            </w:r>
            <w:r>
              <w:t>,-</w:t>
            </w:r>
          </w:p>
        </w:tc>
        <w:tc>
          <w:tcPr>
            <w:tcW w:w="1134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0</w:t>
            </w:r>
            <w:r>
              <w:t>,-</w:t>
            </w:r>
          </w:p>
        </w:tc>
        <w:tc>
          <w:tcPr>
            <w:tcW w:w="1417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0</w:t>
            </w:r>
            <w:r>
              <w:t>,-</w:t>
            </w:r>
          </w:p>
        </w:tc>
      </w:tr>
      <w:tr w:rsidR="001D1297" w:rsidRPr="001D1297" w:rsidTr="001D1297">
        <w:trPr>
          <w:trHeight w:val="300"/>
        </w:trPr>
        <w:tc>
          <w:tcPr>
            <w:tcW w:w="601" w:type="dxa"/>
            <w:noWrap/>
            <w:hideMark/>
          </w:tcPr>
          <w:p w:rsidR="001D1297" w:rsidRPr="001D1297" w:rsidRDefault="001D1297" w:rsidP="001D1297">
            <w:r w:rsidRPr="001D1297">
              <w:t>5.</w:t>
            </w:r>
          </w:p>
        </w:tc>
        <w:tc>
          <w:tcPr>
            <w:tcW w:w="4923" w:type="dxa"/>
            <w:noWrap/>
            <w:hideMark/>
          </w:tcPr>
          <w:p w:rsidR="001D1297" w:rsidRPr="001D1297" w:rsidRDefault="001D1297" w:rsidP="001D1297">
            <w:r w:rsidRPr="001D1297">
              <w:t>Kompletní dodání a zavedení elektronického systému oběhu a schvalování dokladů uvnitř organizace (</w:t>
            </w:r>
            <w:proofErr w:type="spellStart"/>
            <w:r w:rsidRPr="001D1297">
              <w:t>Workflow</w:t>
            </w:r>
            <w:proofErr w:type="spellEnd"/>
            <w:r w:rsidRPr="001D1297">
              <w:t xml:space="preserve">) a to i v přímé vazbě na řídící kontrolu a rozpočty a komunikace prostřednictvím </w:t>
            </w:r>
            <w:proofErr w:type="spellStart"/>
            <w:r w:rsidRPr="001D1297">
              <w:t>webmailu</w:t>
            </w:r>
            <w:proofErr w:type="spellEnd"/>
            <w:r w:rsidRPr="001D1297">
              <w:t xml:space="preserve"> ČGS s možností vzdáleného přístupu a s přímým propojením s EKIS  a automatickou on-line vazbou na účetnictví a systém spisové služby ČGS.</w:t>
            </w:r>
          </w:p>
        </w:tc>
        <w:tc>
          <w:tcPr>
            <w:tcW w:w="1559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0</w:t>
            </w:r>
            <w:r>
              <w:t>,-</w:t>
            </w:r>
          </w:p>
        </w:tc>
        <w:tc>
          <w:tcPr>
            <w:tcW w:w="1134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0</w:t>
            </w:r>
            <w:r>
              <w:t>,-</w:t>
            </w:r>
          </w:p>
        </w:tc>
        <w:tc>
          <w:tcPr>
            <w:tcW w:w="1417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0</w:t>
            </w:r>
            <w:r>
              <w:t>,-</w:t>
            </w:r>
          </w:p>
        </w:tc>
      </w:tr>
      <w:tr w:rsidR="001D1297" w:rsidRPr="001D1297" w:rsidTr="001D1297">
        <w:trPr>
          <w:trHeight w:val="300"/>
        </w:trPr>
        <w:tc>
          <w:tcPr>
            <w:tcW w:w="601" w:type="dxa"/>
            <w:noWrap/>
            <w:hideMark/>
          </w:tcPr>
          <w:p w:rsidR="001D1297" w:rsidRPr="001D1297" w:rsidRDefault="001D1297" w:rsidP="001D1297">
            <w:r w:rsidRPr="001D1297">
              <w:t>6.</w:t>
            </w:r>
          </w:p>
        </w:tc>
        <w:tc>
          <w:tcPr>
            <w:tcW w:w="4923" w:type="dxa"/>
            <w:noWrap/>
            <w:hideMark/>
          </w:tcPr>
          <w:p w:rsidR="001D1297" w:rsidRPr="001D1297" w:rsidRDefault="001D1297" w:rsidP="001D1297">
            <w:r w:rsidRPr="001D1297">
              <w:t xml:space="preserve">Součástí dodávky ad 1-5) je i </w:t>
            </w:r>
            <w:proofErr w:type="spellStart"/>
            <w:r w:rsidRPr="001D1297">
              <w:t>předimplementační</w:t>
            </w:r>
            <w:proofErr w:type="spellEnd"/>
            <w:r w:rsidRPr="001D1297">
              <w:t xml:space="preserve"> analýza, pilotní projekt a migrace dat ze stávajících systémů ČGS a nastavení počátečních stavů v účetním roce 2017, převody majetku apod. Součástí analýzy bude i zajištění vazby na systém Spisové služby ČGS.</w:t>
            </w:r>
          </w:p>
        </w:tc>
        <w:tc>
          <w:tcPr>
            <w:tcW w:w="1559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36 000</w:t>
            </w:r>
            <w:r>
              <w:t>,-</w:t>
            </w:r>
          </w:p>
        </w:tc>
        <w:tc>
          <w:tcPr>
            <w:tcW w:w="1134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7 560</w:t>
            </w:r>
            <w:r>
              <w:t>,-</w:t>
            </w:r>
          </w:p>
        </w:tc>
        <w:tc>
          <w:tcPr>
            <w:tcW w:w="1417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43 560</w:t>
            </w:r>
            <w:r>
              <w:t>,-</w:t>
            </w:r>
          </w:p>
        </w:tc>
      </w:tr>
      <w:tr w:rsidR="001D1297" w:rsidRPr="001D1297" w:rsidTr="001D1297">
        <w:trPr>
          <w:trHeight w:val="300"/>
        </w:trPr>
        <w:tc>
          <w:tcPr>
            <w:tcW w:w="601" w:type="dxa"/>
            <w:noWrap/>
            <w:hideMark/>
          </w:tcPr>
          <w:p w:rsidR="001D1297" w:rsidRPr="001D1297" w:rsidRDefault="001D1297" w:rsidP="001D1297">
            <w:r w:rsidRPr="001D1297">
              <w:t>7.</w:t>
            </w:r>
          </w:p>
        </w:tc>
        <w:tc>
          <w:tcPr>
            <w:tcW w:w="4923" w:type="dxa"/>
            <w:noWrap/>
            <w:hideMark/>
          </w:tcPr>
          <w:p w:rsidR="001D1297" w:rsidRPr="001D1297" w:rsidRDefault="001D1297" w:rsidP="001D1297">
            <w:r w:rsidRPr="001D1297">
              <w:t xml:space="preserve">Podpora a aplikační správa dodaných systémů na dobu neurčitou včetně veškerých aktualizací po dobu 4 let v ceně nabídky, podpora ve stejném rozsahu a ceně na další roky. </w:t>
            </w:r>
            <w:proofErr w:type="spellStart"/>
            <w:r w:rsidRPr="001D1297">
              <w:t>Hotline</w:t>
            </w:r>
            <w:proofErr w:type="spellEnd"/>
            <w:r w:rsidRPr="001D1297">
              <w:t xml:space="preserve"> v pracovních dnech 8-16h, odstranění funkčních závad systémů nejpozději do 24 hodin od nahlášení.</w:t>
            </w:r>
          </w:p>
        </w:tc>
        <w:tc>
          <w:tcPr>
            <w:tcW w:w="1559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387 671</w:t>
            </w:r>
            <w:r>
              <w:t>,-</w:t>
            </w:r>
          </w:p>
        </w:tc>
        <w:tc>
          <w:tcPr>
            <w:tcW w:w="1134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81 411</w:t>
            </w:r>
            <w:r>
              <w:t>,-</w:t>
            </w:r>
          </w:p>
        </w:tc>
        <w:tc>
          <w:tcPr>
            <w:tcW w:w="1417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469 082</w:t>
            </w:r>
            <w:r>
              <w:t>,-</w:t>
            </w:r>
          </w:p>
        </w:tc>
      </w:tr>
      <w:tr w:rsidR="001D1297" w:rsidRPr="001D1297" w:rsidTr="001D1297">
        <w:trPr>
          <w:trHeight w:val="315"/>
        </w:trPr>
        <w:tc>
          <w:tcPr>
            <w:tcW w:w="601" w:type="dxa"/>
            <w:noWrap/>
            <w:hideMark/>
          </w:tcPr>
          <w:p w:rsidR="001D1297" w:rsidRPr="001D1297" w:rsidRDefault="001D1297" w:rsidP="001D1297">
            <w:r w:rsidRPr="001D1297">
              <w:t>8.</w:t>
            </w:r>
          </w:p>
        </w:tc>
        <w:tc>
          <w:tcPr>
            <w:tcW w:w="4923" w:type="dxa"/>
            <w:noWrap/>
            <w:hideMark/>
          </w:tcPr>
          <w:p w:rsidR="001D1297" w:rsidRPr="001D1297" w:rsidRDefault="001D1297" w:rsidP="001D1297">
            <w:r w:rsidRPr="001D1297">
              <w:t>Roční cena za podporu a aplikační správu dodaných systémů (cena dle bodu 7 vydělená 4).</w:t>
            </w:r>
          </w:p>
        </w:tc>
        <w:tc>
          <w:tcPr>
            <w:tcW w:w="1559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96 918</w:t>
            </w:r>
            <w:r>
              <w:t>,-</w:t>
            </w:r>
          </w:p>
        </w:tc>
        <w:tc>
          <w:tcPr>
            <w:tcW w:w="1134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20 353</w:t>
            </w:r>
            <w:r>
              <w:t>,-</w:t>
            </w:r>
          </w:p>
        </w:tc>
        <w:tc>
          <w:tcPr>
            <w:tcW w:w="1417" w:type="dxa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117 270</w:t>
            </w:r>
            <w:r>
              <w:t>,-</w:t>
            </w:r>
          </w:p>
        </w:tc>
      </w:tr>
      <w:tr w:rsidR="001D1297" w:rsidRPr="001D1297" w:rsidTr="001D1297">
        <w:trPr>
          <w:trHeight w:val="300"/>
        </w:trPr>
        <w:tc>
          <w:tcPr>
            <w:tcW w:w="5524" w:type="dxa"/>
            <w:gridSpan w:val="2"/>
            <w:shd w:val="clear" w:color="auto" w:fill="D9D9D9" w:themeFill="background1" w:themeFillShade="D9"/>
            <w:noWrap/>
            <w:hideMark/>
          </w:tcPr>
          <w:p w:rsidR="001D1297" w:rsidRPr="001D1297" w:rsidRDefault="001D1297" w:rsidP="001D1297">
            <w:r w:rsidRPr="001D1297">
              <w:t>Celkem</w:t>
            </w:r>
            <w:r>
              <w:t xml:space="preserve"> (bez části 8.)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1 058 103</w:t>
            </w:r>
            <w:r>
              <w:t>,-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222 202</w:t>
            </w:r>
            <w:r>
              <w:t>,-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:rsidR="001D1297" w:rsidRPr="001D1297" w:rsidRDefault="001D1297" w:rsidP="001D1297">
            <w:pPr>
              <w:jc w:val="right"/>
            </w:pPr>
            <w:r w:rsidRPr="001D1297">
              <w:t>1 280 305</w:t>
            </w:r>
            <w:r>
              <w:t>,-</w:t>
            </w:r>
          </w:p>
        </w:tc>
      </w:tr>
    </w:tbl>
    <w:p w:rsidR="001D1297" w:rsidRDefault="001D1297" w:rsidP="00B6192B"/>
    <w:p w:rsidR="001D1297" w:rsidRDefault="001D1297" w:rsidP="00B6192B"/>
    <w:p w:rsidR="001D1297" w:rsidRDefault="001D1297" w:rsidP="00B6192B"/>
    <w:p w:rsidR="001D1297" w:rsidRDefault="001D1297" w:rsidP="00B6192B"/>
    <w:p w:rsidR="001D1297" w:rsidRDefault="001D1297" w:rsidP="00B6192B"/>
    <w:p w:rsidR="001D1297" w:rsidRDefault="001D1297" w:rsidP="00B6192B"/>
    <w:p w:rsidR="001D1297" w:rsidRDefault="001D1297" w:rsidP="00B6192B"/>
    <w:p w:rsidR="001D1297" w:rsidRDefault="001D1297" w:rsidP="00B6192B"/>
    <w:p w:rsidR="00B6192B" w:rsidRDefault="00B6192B" w:rsidP="00B6192B"/>
    <w:p w:rsidR="00C83E15" w:rsidRPr="008F47CE" w:rsidRDefault="00C83E15" w:rsidP="007737E9">
      <w:pPr>
        <w:pStyle w:val="Nadpis1"/>
      </w:pPr>
      <w:bookmarkStart w:id="48" w:name="_Toc467579089"/>
      <w:r w:rsidRPr="008F47CE">
        <w:t>Doklady k prokázání kvalifikace</w:t>
      </w:r>
      <w:bookmarkEnd w:id="15"/>
      <w:bookmarkEnd w:id="16"/>
      <w:bookmarkEnd w:id="17"/>
      <w:bookmarkEnd w:id="18"/>
      <w:bookmarkEnd w:id="48"/>
    </w:p>
    <w:p w:rsidR="001C2049" w:rsidRDefault="00BD58CF" w:rsidP="001C2049">
      <w:bookmarkStart w:id="49" w:name="_Toc460593493"/>
      <w:bookmarkStart w:id="50" w:name="_Toc460593946"/>
      <w:bookmarkStart w:id="51" w:name="_Toc460594031"/>
      <w:bookmarkStart w:id="52" w:name="_Toc460594085"/>
      <w:bookmarkStart w:id="53" w:name="_Toc460594465"/>
      <w:bookmarkStart w:id="54" w:name="_Toc467577451"/>
      <w:bookmarkEnd w:id="49"/>
      <w:bookmarkEnd w:id="50"/>
      <w:bookmarkEnd w:id="51"/>
      <w:bookmarkEnd w:id="52"/>
      <w:bookmarkEnd w:id="53"/>
      <w:bookmarkEnd w:id="54"/>
      <w:r>
        <w:t>Z</w:t>
      </w:r>
      <w:r w:rsidR="001C2049">
        <w:t>ákladní doklady obvykle předávané v</w:t>
      </w:r>
      <w:r>
        <w:t xml:space="preserve"> prokázání kvalifikace dodavatele v </w:t>
      </w:r>
      <w:r w:rsidR="001C2049">
        <w:t>rámci veřejných zakázek</w:t>
      </w:r>
      <w:r>
        <w:t xml:space="preserve"> jsou přílohou této nabídky</w:t>
      </w:r>
      <w:r w:rsidR="001C2049">
        <w:t>. Případné další požadované doklady (výpis z obchodního rejstříku, živnostenské listy a</w:t>
      </w:r>
      <w:r>
        <w:t> </w:t>
      </w:r>
      <w:r w:rsidR="001C2049">
        <w:t xml:space="preserve">podobně) budou dodány na vyžádání ČGS před případným podpisem smlouvy. </w:t>
      </w:r>
    </w:p>
    <w:p w:rsidR="00D04F3D" w:rsidRPr="00D04F3D" w:rsidRDefault="00D04F3D" w:rsidP="00D04F3D">
      <w:pPr>
        <w:pStyle w:val="Odstavecseseznamem"/>
        <w:keepNext/>
        <w:keepLines/>
        <w:numPr>
          <w:ilvl w:val="0"/>
          <w:numId w:val="14"/>
        </w:numPr>
        <w:spacing w:before="240" w:after="120"/>
        <w:contextualSpacing/>
        <w:outlineLvl w:val="1"/>
        <w:rPr>
          <w:rFonts w:eastAsiaTheme="majorEastAsia" w:cstheme="majorBidi"/>
          <w:b/>
          <w:bCs/>
          <w:vanish/>
          <w:sz w:val="24"/>
          <w:szCs w:val="24"/>
        </w:rPr>
      </w:pPr>
      <w:bookmarkStart w:id="55" w:name="_Toc467578253"/>
      <w:bookmarkStart w:id="56" w:name="_Toc467578520"/>
      <w:bookmarkStart w:id="57" w:name="_Toc467578844"/>
      <w:bookmarkStart w:id="58" w:name="_Toc467579077"/>
      <w:bookmarkStart w:id="59" w:name="_Toc467579090"/>
      <w:bookmarkEnd w:id="55"/>
      <w:bookmarkEnd w:id="56"/>
      <w:bookmarkEnd w:id="57"/>
      <w:bookmarkEnd w:id="58"/>
      <w:bookmarkEnd w:id="59"/>
    </w:p>
    <w:p w:rsidR="00C83E15" w:rsidRPr="007737E9" w:rsidRDefault="00D04F3D" w:rsidP="006208D0">
      <w:pPr>
        <w:pStyle w:val="Nadpis1"/>
      </w:pPr>
      <w:bookmarkStart w:id="60" w:name="_Toc460588414"/>
      <w:bookmarkStart w:id="61" w:name="_Toc460592001"/>
      <w:bookmarkStart w:id="62" w:name="_Toc460592086"/>
      <w:bookmarkStart w:id="63" w:name="_Toc460592708"/>
      <w:bookmarkStart w:id="64" w:name="_Toc467579091"/>
      <w:r>
        <w:t>N</w:t>
      </w:r>
      <w:r w:rsidR="00C83E15" w:rsidRPr="007737E9">
        <w:t>ávrh smlouvy</w:t>
      </w:r>
      <w:bookmarkEnd w:id="60"/>
      <w:bookmarkEnd w:id="61"/>
      <w:bookmarkEnd w:id="62"/>
      <w:bookmarkEnd w:id="63"/>
      <w:bookmarkEnd w:id="64"/>
    </w:p>
    <w:p w:rsidR="00C83E15" w:rsidRDefault="00C83E15" w:rsidP="00C83E15">
      <w:r>
        <w:t xml:space="preserve">Návrh smlouvy </w:t>
      </w:r>
      <w:r w:rsidR="00D04F3D">
        <w:t>není přílohou této nabídky a bude navržen na výzvu ČGS.</w:t>
      </w:r>
    </w:p>
    <w:p w:rsidR="00C83E15" w:rsidRPr="007737E9" w:rsidRDefault="00C83E15" w:rsidP="006208D0">
      <w:pPr>
        <w:pStyle w:val="Nadpis1"/>
      </w:pPr>
      <w:bookmarkStart w:id="65" w:name="_Toc460588415"/>
      <w:bookmarkStart w:id="66" w:name="_Toc460592002"/>
      <w:bookmarkStart w:id="67" w:name="_Toc460592087"/>
      <w:bookmarkStart w:id="68" w:name="_Toc460592709"/>
      <w:bookmarkStart w:id="69" w:name="_Toc467579092"/>
      <w:r w:rsidRPr="007737E9">
        <w:t>Přílohy</w:t>
      </w:r>
      <w:bookmarkEnd w:id="65"/>
      <w:bookmarkEnd w:id="66"/>
      <w:bookmarkEnd w:id="67"/>
      <w:bookmarkEnd w:id="68"/>
      <w:bookmarkEnd w:id="69"/>
    </w:p>
    <w:p w:rsidR="00D04F3D" w:rsidRDefault="00D04F3D" w:rsidP="00D04F3D">
      <w:r>
        <w:t>Příloha č. 1 - Čestné prohlášení prokazující základní kvalifikační předpoklady</w:t>
      </w:r>
    </w:p>
    <w:p w:rsidR="00D04F3D" w:rsidRDefault="00D04F3D" w:rsidP="00D04F3D">
      <w:r>
        <w:t xml:space="preserve">Příloha č. 2 - </w:t>
      </w:r>
      <w:r w:rsidRPr="00671511">
        <w:t>Čestné prohlášení podle § 68 odst. 3 ZVZ</w:t>
      </w:r>
    </w:p>
    <w:p w:rsidR="00D04F3D" w:rsidRDefault="00D04F3D" w:rsidP="00D04F3D">
      <w:r>
        <w:t>Příloha č. 3 - Čestné prohlášení uchazeče – Seznam referenčních zakázek</w:t>
      </w:r>
    </w:p>
    <w:p w:rsidR="00D04F3D" w:rsidRDefault="00D04F3D" w:rsidP="00D04F3D">
      <w:r>
        <w:t>Příloha č. 4 - Čestné prohlášení uchazeče o ekonomické a finanční způsobilosti splnit veřejnou zakázku</w:t>
      </w:r>
    </w:p>
    <w:p w:rsidR="00D04F3D" w:rsidRDefault="00D04F3D" w:rsidP="00D04F3D">
      <w:r>
        <w:t>Příloha č. 5 - Čestné prohlášení uchazeče o neexistenci střetu zájmů</w:t>
      </w:r>
    </w:p>
    <w:p w:rsidR="00D04F3D" w:rsidRDefault="00D04F3D" w:rsidP="00D04F3D">
      <w:r>
        <w:t>Příloha č. 6 - Čestné prohlášení uchazeče – seznam subdodavatelů</w:t>
      </w:r>
    </w:p>
    <w:p w:rsidR="00D04F3D" w:rsidRDefault="00D04F3D" w:rsidP="00D04F3D">
      <w:r>
        <w:t>Příloha č. 7 - Čestné prohlášení uchazeče o pravdivosti a úplnosti nabídky</w:t>
      </w:r>
    </w:p>
    <w:p w:rsidR="00C83E15" w:rsidRDefault="006208D0" w:rsidP="006208D0">
      <w:r w:rsidRPr="006208D0">
        <w:t xml:space="preserve">Příloha č. </w:t>
      </w:r>
      <w:r w:rsidR="00D04F3D">
        <w:t>8</w:t>
      </w:r>
      <w:r w:rsidRPr="006208D0">
        <w:t xml:space="preserve"> - Ekonomický informační systém EIS JASU</w:t>
      </w:r>
      <w:r w:rsidRPr="006208D0">
        <w:rPr>
          <w:vertAlign w:val="superscript"/>
        </w:rPr>
        <w:t>®</w:t>
      </w:r>
      <w:r w:rsidRPr="006208D0">
        <w:t xml:space="preserve"> CS - Popis, výhody a systémové požadavky</w:t>
      </w:r>
    </w:p>
    <w:p w:rsidR="00D04F3D" w:rsidRPr="006208D0" w:rsidRDefault="00D04F3D" w:rsidP="00D04F3D">
      <w:r w:rsidRPr="006208D0">
        <w:t xml:space="preserve">Příloha č. </w:t>
      </w:r>
      <w:r>
        <w:t>9</w:t>
      </w:r>
      <w:r w:rsidRPr="006208D0">
        <w:t xml:space="preserve"> </w:t>
      </w:r>
      <w:r>
        <w:t>–</w:t>
      </w:r>
      <w:r w:rsidRPr="006208D0">
        <w:t xml:space="preserve"> </w:t>
      </w:r>
      <w:r>
        <w:t xml:space="preserve">Manažerský informační systém MIS </w:t>
      </w:r>
      <w:r w:rsidRPr="006208D0">
        <w:t>JASU</w:t>
      </w:r>
      <w:r w:rsidRPr="006208D0">
        <w:rPr>
          <w:vertAlign w:val="superscript"/>
        </w:rPr>
        <w:t>®</w:t>
      </w:r>
      <w:r w:rsidRPr="006208D0">
        <w:t xml:space="preserve"> - Popis</w:t>
      </w:r>
    </w:p>
    <w:p w:rsidR="00D04F3D" w:rsidRPr="006208D0" w:rsidRDefault="00D04F3D" w:rsidP="006208D0"/>
    <w:p w:rsidR="00D54429" w:rsidRDefault="00D54429"/>
    <w:sectPr w:rsidR="00D54429" w:rsidSect="00005E82">
      <w:headerReference w:type="default" r:id="rId8"/>
      <w:footerReference w:type="default" r:id="rId9"/>
      <w:pgSz w:w="11906" w:h="16838"/>
      <w:pgMar w:top="1418" w:right="1134" w:bottom="1134" w:left="1134" w:header="0" w:footer="17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AB" w:rsidRDefault="007D49AB">
      <w:r>
        <w:separator/>
      </w:r>
    </w:p>
  </w:endnote>
  <w:endnote w:type="continuationSeparator" w:id="0">
    <w:p w:rsidR="007D49AB" w:rsidRDefault="007D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49" w:rsidRPr="00CA4DBD" w:rsidRDefault="001C2049" w:rsidP="00005E82">
    <w:pPr>
      <w:pStyle w:val="Zpat1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Nabídka EKIS</w:t>
    </w:r>
    <w:r w:rsidRPr="00CA4DBD">
      <w:rPr>
        <w:rFonts w:ascii="Georgia" w:hAnsi="Georgia"/>
        <w:sz w:val="16"/>
        <w:szCs w:val="16"/>
      </w:rPr>
      <w:t>:</w:t>
    </w:r>
    <w:r w:rsidRPr="00CA4DBD">
      <w:rPr>
        <w:rFonts w:ascii="Georgia" w:hAnsi="Georgia"/>
        <w:sz w:val="16"/>
        <w:szCs w:val="16"/>
      </w:rPr>
      <w:tab/>
      <w:t xml:space="preserve">Strana </w:t>
    </w:r>
    <w:r w:rsidRPr="00CA4DBD">
      <w:rPr>
        <w:rFonts w:ascii="Georgia" w:hAnsi="Georgia"/>
        <w:sz w:val="16"/>
        <w:szCs w:val="16"/>
      </w:rPr>
      <w:fldChar w:fldCharType="begin"/>
    </w:r>
    <w:r w:rsidRPr="00CA4DBD">
      <w:rPr>
        <w:rFonts w:ascii="Georgia" w:hAnsi="Georgia"/>
        <w:sz w:val="16"/>
        <w:szCs w:val="16"/>
      </w:rPr>
      <w:instrText xml:space="preserve"> PAGE </w:instrText>
    </w:r>
    <w:r w:rsidRPr="00CA4DBD">
      <w:rPr>
        <w:rFonts w:ascii="Georgia" w:hAnsi="Georgia"/>
        <w:sz w:val="16"/>
        <w:szCs w:val="16"/>
      </w:rPr>
      <w:fldChar w:fldCharType="separate"/>
    </w:r>
    <w:r w:rsidR="00C61CDA">
      <w:rPr>
        <w:rFonts w:ascii="Georgia" w:hAnsi="Georgia"/>
        <w:noProof/>
        <w:sz w:val="16"/>
        <w:szCs w:val="16"/>
      </w:rPr>
      <w:t>10</w:t>
    </w:r>
    <w:r w:rsidRPr="00CA4DBD">
      <w:rPr>
        <w:rFonts w:ascii="Georgia" w:hAnsi="Georgia"/>
        <w:sz w:val="16"/>
        <w:szCs w:val="16"/>
      </w:rPr>
      <w:fldChar w:fldCharType="end"/>
    </w:r>
  </w:p>
  <w:p w:rsidR="001C2049" w:rsidRPr="00CA4DBD" w:rsidRDefault="001C2049" w:rsidP="00005E82">
    <w:pPr>
      <w:pStyle w:val="Zpat1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rFonts w:ascii="Georgia" w:hAnsi="Georgia"/>
        <w:sz w:val="16"/>
        <w:szCs w:val="16"/>
      </w:rPr>
    </w:pPr>
    <w:r w:rsidRPr="00595A15">
      <w:rPr>
        <w:rFonts w:ascii="Georgia" w:hAnsi="Georgia"/>
        <w:sz w:val="16"/>
        <w:szCs w:val="16"/>
      </w:rPr>
      <w:t>Dodávka licencí a implementace ekonomického informačního systému (EKIS) včetně schvalování dokladů a podpory systémů</w:t>
    </w:r>
    <w:r w:rsidRPr="00CA4DBD">
      <w:rPr>
        <w:rFonts w:ascii="Georgia" w:hAnsi="Georgia"/>
        <w:sz w:val="16"/>
        <w:szCs w:val="16"/>
      </w:rPr>
      <w:tab/>
      <w:t xml:space="preserve">  </w:t>
    </w:r>
  </w:p>
  <w:p w:rsidR="001C2049" w:rsidRPr="00CA4DBD" w:rsidRDefault="001C2049" w:rsidP="00005E82">
    <w:pPr>
      <w:pStyle w:val="Zpat1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AB" w:rsidRDefault="007D49AB">
      <w:r>
        <w:separator/>
      </w:r>
    </w:p>
  </w:footnote>
  <w:footnote w:type="continuationSeparator" w:id="0">
    <w:p w:rsidR="007D49AB" w:rsidRDefault="007D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49" w:rsidRDefault="001C2049">
    <w:pPr>
      <w:pStyle w:val="Zhlav"/>
    </w:pPr>
  </w:p>
  <w:p w:rsidR="001C2049" w:rsidRDefault="001C2049">
    <w:pPr>
      <w:pStyle w:val="Zhlav"/>
    </w:pPr>
    <w:r w:rsidRPr="006624D1">
      <w:rPr>
        <w:noProof/>
      </w:rPr>
      <w:drawing>
        <wp:inline distT="0" distB="0" distL="0" distR="0" wp14:anchorId="2DB462C8" wp14:editId="7C3E4E25">
          <wp:extent cx="5938520" cy="462280"/>
          <wp:effectExtent l="0" t="0" r="508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EA6"/>
    <w:multiLevelType w:val="multilevel"/>
    <w:tmpl w:val="65201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FEA2DC0"/>
    <w:multiLevelType w:val="multilevel"/>
    <w:tmpl w:val="641AC04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pStyle w:val="3rove"/>
      <w:lvlText w:val="3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B1085B"/>
    <w:multiLevelType w:val="hybridMultilevel"/>
    <w:tmpl w:val="D8FAAF9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42BEB"/>
    <w:multiLevelType w:val="multilevel"/>
    <w:tmpl w:val="6E68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3E1D19"/>
    <w:multiLevelType w:val="hybridMultilevel"/>
    <w:tmpl w:val="5192DDF0"/>
    <w:lvl w:ilvl="0" w:tplc="0405000F">
      <w:start w:val="1"/>
      <w:numFmt w:val="decimal"/>
      <w:lvlText w:val="%1.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3662119F"/>
    <w:multiLevelType w:val="multilevel"/>
    <w:tmpl w:val="47ECB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D647C2"/>
    <w:multiLevelType w:val="hybridMultilevel"/>
    <w:tmpl w:val="513E466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3F3506FD"/>
    <w:multiLevelType w:val="multilevel"/>
    <w:tmpl w:val="7B2CEA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3D3452"/>
    <w:multiLevelType w:val="multilevel"/>
    <w:tmpl w:val="F66AD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Neslovannadpis2rovn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pStyle w:val="NeslovanNadpis3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0" w15:restartNumberingAfterBreak="0">
    <w:nsid w:val="4A6D05F7"/>
    <w:multiLevelType w:val="multilevel"/>
    <w:tmpl w:val="A5924E0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4518AB"/>
    <w:multiLevelType w:val="hybridMultilevel"/>
    <w:tmpl w:val="1F6CF4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152E2E"/>
    <w:multiLevelType w:val="hybridMultilevel"/>
    <w:tmpl w:val="5192DDF0"/>
    <w:lvl w:ilvl="0" w:tplc="0405000F">
      <w:start w:val="1"/>
      <w:numFmt w:val="decimal"/>
      <w:lvlText w:val="%1.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15"/>
    <w:rsid w:val="00005E82"/>
    <w:rsid w:val="000515B0"/>
    <w:rsid w:val="001C2049"/>
    <w:rsid w:val="001D1297"/>
    <w:rsid w:val="002949F5"/>
    <w:rsid w:val="004823F0"/>
    <w:rsid w:val="006208D0"/>
    <w:rsid w:val="006C6F58"/>
    <w:rsid w:val="007737E9"/>
    <w:rsid w:val="007D49AB"/>
    <w:rsid w:val="008047CE"/>
    <w:rsid w:val="008C0839"/>
    <w:rsid w:val="009E39C0"/>
    <w:rsid w:val="00B6192B"/>
    <w:rsid w:val="00BD58CF"/>
    <w:rsid w:val="00C61CDA"/>
    <w:rsid w:val="00C83E15"/>
    <w:rsid w:val="00D04F3D"/>
    <w:rsid w:val="00D407A3"/>
    <w:rsid w:val="00D54429"/>
    <w:rsid w:val="00D8678B"/>
    <w:rsid w:val="00F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BC34E-9C70-4A32-B2CE-5982A415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049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05E82"/>
    <w:pPr>
      <w:keepNext/>
      <w:keepLines/>
      <w:numPr>
        <w:numId w:val="12"/>
      </w:numPr>
      <w:spacing w:before="240" w:after="120"/>
      <w:ind w:left="357" w:hanging="357"/>
      <w:contextualSpacing/>
      <w:outlineLvl w:val="0"/>
    </w:pPr>
    <w:rPr>
      <w:rFonts w:eastAsiaTheme="majorEastAsia" w:cstheme="majorBidi"/>
      <w:b/>
      <w:sz w:val="28"/>
      <w:szCs w:val="28"/>
    </w:rPr>
  </w:style>
  <w:style w:type="paragraph" w:styleId="Nadpis2">
    <w:name w:val="heading 2"/>
    <w:basedOn w:val="Nadpis1"/>
    <w:next w:val="Normln"/>
    <w:link w:val="Nadpis2Char"/>
    <w:autoRedefine/>
    <w:qFormat/>
    <w:rsid w:val="00D04F3D"/>
    <w:pPr>
      <w:numPr>
        <w:ilvl w:val="1"/>
        <w:numId w:val="14"/>
      </w:numPr>
      <w:ind w:left="567" w:hanging="567"/>
      <w:outlineLvl w:val="1"/>
    </w:pPr>
    <w:rPr>
      <w:bCs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208D0"/>
    <w:pPr>
      <w:numPr>
        <w:ilvl w:val="2"/>
      </w:numPr>
      <w:ind w:left="709" w:hanging="709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5E82"/>
    <w:rPr>
      <w:rFonts w:ascii="Georgia" w:eastAsiaTheme="majorEastAsia" w:hAnsi="Georgia" w:cstheme="majorBidi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D04F3D"/>
    <w:rPr>
      <w:rFonts w:ascii="Georgia" w:eastAsiaTheme="majorEastAsia" w:hAnsi="Georgia" w:cstheme="majorBidi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208D0"/>
    <w:rPr>
      <w:rFonts w:ascii="Georgia" w:eastAsiaTheme="majorEastAsia" w:hAnsi="Georgia" w:cstheme="majorBidi"/>
      <w:b/>
      <w:bCs/>
      <w:sz w:val="20"/>
      <w:szCs w:val="20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C83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C83E15"/>
    <w:rPr>
      <w:rFonts w:ascii="Georgia" w:eastAsia="Times New Roman" w:hAnsi="Georgia" w:cs="Times New Roman"/>
      <w:sz w:val="20"/>
      <w:szCs w:val="20"/>
      <w:lang w:eastAsia="cs-CZ"/>
    </w:rPr>
  </w:style>
  <w:style w:type="character" w:styleId="Hypertextovodkaz">
    <w:name w:val="Hyperlink"/>
    <w:uiPriority w:val="99"/>
    <w:qFormat/>
    <w:rsid w:val="00C83E15"/>
    <w:rPr>
      <w:rFonts w:ascii="Georgia" w:hAnsi="Georgia"/>
      <w:color w:val="0000FF"/>
      <w:u w:val="single"/>
    </w:rPr>
  </w:style>
  <w:style w:type="paragraph" w:styleId="Obsah1">
    <w:name w:val="toc 1"/>
    <w:basedOn w:val="Normln"/>
    <w:next w:val="Normln"/>
    <w:link w:val="Obsah1Char"/>
    <w:autoRedefine/>
    <w:uiPriority w:val="39"/>
    <w:rsid w:val="00C83E15"/>
    <w:pPr>
      <w:spacing w:before="240" w:after="120"/>
      <w:jc w:val="left"/>
    </w:pPr>
    <w:rPr>
      <w:rFonts w:asciiTheme="minorHAnsi" w:hAnsiTheme="minorHAnsi" w:cstheme="minorHAnsi"/>
      <w:b/>
      <w:bCs/>
    </w:rPr>
  </w:style>
  <w:style w:type="character" w:customStyle="1" w:styleId="Obsah1Char">
    <w:name w:val="Obsah 1 Char"/>
    <w:link w:val="Obsah1"/>
    <w:uiPriority w:val="39"/>
    <w:rsid w:val="00C83E15"/>
    <w:rPr>
      <w:rFonts w:eastAsia="Times New Roman" w:cstheme="minorHAnsi"/>
      <w:b/>
      <w:bC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6208D0"/>
    <w:pPr>
      <w:spacing w:before="120"/>
      <w:ind w:left="200"/>
      <w:jc w:val="left"/>
    </w:pPr>
    <w:rPr>
      <w:rFonts w:asciiTheme="minorHAnsi" w:hAnsiTheme="minorHAnsi" w:cstheme="minorHAnsi"/>
      <w:i/>
      <w:iCs/>
    </w:rPr>
  </w:style>
  <w:style w:type="paragraph" w:styleId="Odstavecseseznamem">
    <w:name w:val="List Paragraph"/>
    <w:basedOn w:val="Normln"/>
    <w:link w:val="OdstavecseseznamemChar"/>
    <w:qFormat/>
    <w:rsid w:val="00C83E15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locked/>
    <w:rsid w:val="00C83E15"/>
    <w:rPr>
      <w:rFonts w:ascii="Georgia" w:eastAsia="Times New Roman" w:hAnsi="Georgia" w:cs="Times New Roman"/>
      <w:sz w:val="20"/>
      <w:szCs w:val="20"/>
      <w:lang w:eastAsia="cs-CZ"/>
    </w:rPr>
  </w:style>
  <w:style w:type="paragraph" w:customStyle="1" w:styleId="Neslovannadpis2rovn">
    <w:name w:val="Nečíslovaný nadpis 2. úrovně"/>
    <w:basedOn w:val="Nadpis2"/>
    <w:next w:val="Normln"/>
    <w:uiPriority w:val="99"/>
    <w:rsid w:val="00C83E15"/>
    <w:pPr>
      <w:numPr>
        <w:numId w:val="1"/>
      </w:numPr>
      <w:ind w:left="576" w:hanging="576"/>
      <w:jc w:val="left"/>
    </w:pPr>
    <w:rPr>
      <w:rFonts w:ascii="Arial" w:hAnsi="Arial"/>
      <w:bCs w:val="0"/>
      <w:i/>
      <w:iCs/>
      <w:kern w:val="24"/>
      <w:sz w:val="40"/>
      <w:szCs w:val="28"/>
    </w:rPr>
  </w:style>
  <w:style w:type="paragraph" w:customStyle="1" w:styleId="NeslovanNadpis3">
    <w:name w:val="Nečíslovaný Nadpis 3"/>
    <w:basedOn w:val="Nadpis3"/>
    <w:next w:val="Normln"/>
    <w:uiPriority w:val="99"/>
    <w:rsid w:val="00C83E15"/>
    <w:pPr>
      <w:keepLines w:val="0"/>
      <w:numPr>
        <w:numId w:val="1"/>
      </w:numPr>
      <w:tabs>
        <w:tab w:val="num" w:pos="360"/>
      </w:tabs>
      <w:ind w:left="0" w:firstLine="0"/>
      <w:jc w:val="left"/>
    </w:pPr>
    <w:rPr>
      <w:rFonts w:ascii="Arial" w:eastAsia="Times New Roman" w:hAnsi="Arial" w:cs="Arial"/>
      <w:b w:val="0"/>
      <w:kern w:val="24"/>
      <w:sz w:val="36"/>
      <w:szCs w:val="26"/>
    </w:rPr>
  </w:style>
  <w:style w:type="paragraph" w:customStyle="1" w:styleId="3rove">
    <w:name w:val="3. úroveň"/>
    <w:basedOn w:val="Odstavecseseznamem"/>
    <w:link w:val="3roveChar"/>
    <w:rsid w:val="00C83E15"/>
    <w:pPr>
      <w:numPr>
        <w:ilvl w:val="2"/>
        <w:numId w:val="2"/>
      </w:numPr>
      <w:tabs>
        <w:tab w:val="num" w:pos="360"/>
      </w:tabs>
      <w:ind w:left="708" w:firstLine="0"/>
      <w:jc w:val="left"/>
    </w:pPr>
    <w:rPr>
      <w:b/>
      <w:sz w:val="22"/>
      <w:szCs w:val="22"/>
    </w:rPr>
  </w:style>
  <w:style w:type="character" w:customStyle="1" w:styleId="3roveChar">
    <w:name w:val="3. úroveň Char"/>
    <w:link w:val="3rove"/>
    <w:rsid w:val="00C83E15"/>
    <w:rPr>
      <w:rFonts w:ascii="Georgia" w:eastAsia="Times New Roman" w:hAnsi="Georgia" w:cs="Times New Roman"/>
      <w:b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E39C0"/>
    <w:pPr>
      <w:ind w:left="400"/>
      <w:jc w:val="left"/>
    </w:pPr>
    <w:rPr>
      <w:rFonts w:asciiTheme="minorHAnsi" w:hAnsiTheme="minorHAnsi" w:cstheme="minorHAnsi"/>
    </w:rPr>
  </w:style>
  <w:style w:type="character" w:customStyle="1" w:styleId="FooterChar">
    <w:name w:val="Footer Char"/>
    <w:basedOn w:val="Standardnpsmoodstavce"/>
    <w:link w:val="Zpat1"/>
    <w:uiPriority w:val="99"/>
    <w:qFormat/>
    <w:rsid w:val="00C83E15"/>
    <w:rPr>
      <w:rFonts w:eastAsia="DejaVu Sans" w:cs="DejaVu Sans"/>
      <w:sz w:val="24"/>
      <w:szCs w:val="24"/>
      <w:lang w:eastAsia="zh-CN" w:bidi="hi-IN"/>
    </w:rPr>
  </w:style>
  <w:style w:type="paragraph" w:customStyle="1" w:styleId="Zpat1">
    <w:name w:val="Zápatí1"/>
    <w:basedOn w:val="Normln"/>
    <w:link w:val="FooterChar"/>
    <w:uiPriority w:val="99"/>
    <w:unhideWhenUsed/>
    <w:qFormat/>
    <w:rsid w:val="00C83E15"/>
    <w:pPr>
      <w:widowControl w:val="0"/>
      <w:tabs>
        <w:tab w:val="center" w:pos="4153"/>
        <w:tab w:val="right" w:pos="8306"/>
      </w:tabs>
      <w:suppressAutoHyphens/>
    </w:pPr>
    <w:rPr>
      <w:rFonts w:asciiTheme="minorHAnsi" w:eastAsia="DejaVu Sans" w:hAnsiTheme="minorHAnsi" w:cs="DejaVu Sans"/>
      <w:sz w:val="24"/>
      <w:szCs w:val="24"/>
      <w:lang w:eastAsia="zh-CN" w:bidi="hi-IN"/>
    </w:rPr>
  </w:style>
  <w:style w:type="paragraph" w:customStyle="1" w:styleId="Odsazen1">
    <w:name w:val="Odsazení 1"/>
    <w:basedOn w:val="Normln"/>
    <w:rsid w:val="00C83E15"/>
    <w:pPr>
      <w:widowControl w:val="0"/>
      <w:suppressAutoHyphens/>
    </w:pPr>
    <w:rPr>
      <w:rFonts w:ascii="Arial" w:hAnsi="Arial" w:cs="Arial"/>
      <w:sz w:val="22"/>
      <w:lang w:eastAsia="ar-SA"/>
    </w:rPr>
  </w:style>
  <w:style w:type="paragraph" w:styleId="Obsah4">
    <w:name w:val="toc 4"/>
    <w:basedOn w:val="Normln"/>
    <w:next w:val="Normln"/>
    <w:autoRedefine/>
    <w:uiPriority w:val="39"/>
    <w:unhideWhenUsed/>
    <w:rsid w:val="009E39C0"/>
    <w:pPr>
      <w:ind w:left="600"/>
      <w:jc w:val="left"/>
    </w:pPr>
    <w:rPr>
      <w:rFonts w:asciiTheme="minorHAnsi" w:hAnsiTheme="minorHAnsi" w:cstheme="minorHAnsi"/>
    </w:rPr>
  </w:style>
  <w:style w:type="paragraph" w:styleId="Obsah5">
    <w:name w:val="toc 5"/>
    <w:basedOn w:val="Normln"/>
    <w:next w:val="Normln"/>
    <w:autoRedefine/>
    <w:uiPriority w:val="39"/>
    <w:unhideWhenUsed/>
    <w:rsid w:val="009E39C0"/>
    <w:pPr>
      <w:ind w:left="800"/>
      <w:jc w:val="left"/>
    </w:pPr>
    <w:rPr>
      <w:rFonts w:asciiTheme="minorHAnsi" w:hAnsiTheme="minorHAnsi" w:cstheme="minorHAnsi"/>
    </w:rPr>
  </w:style>
  <w:style w:type="paragraph" w:styleId="Obsah6">
    <w:name w:val="toc 6"/>
    <w:basedOn w:val="Normln"/>
    <w:next w:val="Normln"/>
    <w:autoRedefine/>
    <w:uiPriority w:val="39"/>
    <w:unhideWhenUsed/>
    <w:rsid w:val="009E39C0"/>
    <w:pPr>
      <w:ind w:left="1000"/>
      <w:jc w:val="left"/>
    </w:pPr>
    <w:rPr>
      <w:rFonts w:asciiTheme="minorHAnsi" w:hAnsiTheme="minorHAnsi" w:cstheme="minorHAnsi"/>
    </w:rPr>
  </w:style>
  <w:style w:type="paragraph" w:styleId="Obsah7">
    <w:name w:val="toc 7"/>
    <w:basedOn w:val="Normln"/>
    <w:next w:val="Normln"/>
    <w:autoRedefine/>
    <w:uiPriority w:val="39"/>
    <w:unhideWhenUsed/>
    <w:rsid w:val="009E39C0"/>
    <w:pPr>
      <w:ind w:left="1200"/>
      <w:jc w:val="left"/>
    </w:pPr>
    <w:rPr>
      <w:rFonts w:asciiTheme="minorHAnsi" w:hAnsiTheme="minorHAnsi" w:cstheme="minorHAnsi"/>
    </w:rPr>
  </w:style>
  <w:style w:type="paragraph" w:styleId="Obsah8">
    <w:name w:val="toc 8"/>
    <w:basedOn w:val="Normln"/>
    <w:next w:val="Normln"/>
    <w:autoRedefine/>
    <w:uiPriority w:val="39"/>
    <w:unhideWhenUsed/>
    <w:rsid w:val="009E39C0"/>
    <w:pPr>
      <w:ind w:left="1400"/>
      <w:jc w:val="left"/>
    </w:pPr>
    <w:rPr>
      <w:rFonts w:asciiTheme="minorHAnsi" w:hAnsiTheme="minorHAnsi" w:cstheme="minorHAnsi"/>
    </w:rPr>
  </w:style>
  <w:style w:type="paragraph" w:styleId="Obsah9">
    <w:name w:val="toc 9"/>
    <w:basedOn w:val="Normln"/>
    <w:next w:val="Normln"/>
    <w:autoRedefine/>
    <w:uiPriority w:val="39"/>
    <w:unhideWhenUsed/>
    <w:rsid w:val="009E39C0"/>
    <w:pPr>
      <w:ind w:left="1600"/>
      <w:jc w:val="left"/>
    </w:pPr>
    <w:rPr>
      <w:rFonts w:asciiTheme="minorHAnsi" w:hAnsiTheme="minorHAnsi" w:cs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9F5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19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92B"/>
    <w:rPr>
      <w:rFonts w:ascii="Georgia" w:eastAsia="Times New Roman" w:hAnsi="Georgia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D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60DC-D8E8-4A93-8065-AB291277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3977</Words>
  <Characters>23469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MÚZO Praha s.r.o.</Company>
  <LinksUpToDate>false</LinksUpToDate>
  <CharactersWithSpaces>27392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Zaoral</dc:creator>
  <cp:keywords/>
  <dc:description/>
  <cp:lastModifiedBy>Petr Zaoral</cp:lastModifiedBy>
  <cp:revision>10</cp:revision>
  <cp:lastPrinted>2016-11-22T11:34:00Z</cp:lastPrinted>
  <dcterms:created xsi:type="dcterms:W3CDTF">2016-11-22T09:15:00Z</dcterms:created>
  <dcterms:modified xsi:type="dcterms:W3CDTF">2016-11-24T14:41:00Z</dcterms:modified>
</cp:coreProperties>
</file>